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D9" w:rsidRDefault="00491239">
      <w:pPr>
        <w:pBdr>
          <w:top w:val="nil"/>
          <w:left w:val="nil"/>
          <w:bottom w:val="nil"/>
          <w:right w:val="nil"/>
          <w:between w:val="nil"/>
        </w:pBdr>
        <w:ind w:right="14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Додаток</w:t>
      </w:r>
    </w:p>
    <w:p w:rsidR="000C02D9" w:rsidRDefault="00491239">
      <w:pPr>
        <w:pBdr>
          <w:top w:val="nil"/>
          <w:left w:val="nil"/>
          <w:bottom w:val="nil"/>
          <w:right w:val="nil"/>
          <w:between w:val="nil"/>
        </w:pBdr>
        <w:ind w:right="1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</w:p>
    <w:p w:rsidR="000C02D9" w:rsidRDefault="00491239">
      <w:pPr>
        <w:pBdr>
          <w:top w:val="nil"/>
          <w:left w:val="nil"/>
          <w:bottom w:val="nil"/>
          <w:right w:val="nil"/>
          <w:between w:val="nil"/>
        </w:pBdr>
        <w:ind w:right="1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результати виконання міської цільової програми</w:t>
      </w:r>
    </w:p>
    <w:p w:rsidR="000C02D9" w:rsidRDefault="00491239">
      <w:pPr>
        <w:pBdr>
          <w:top w:val="nil"/>
          <w:left w:val="nil"/>
          <w:bottom w:val="nil"/>
          <w:right w:val="nil"/>
          <w:between w:val="nil"/>
        </w:pBdr>
        <w:ind w:right="1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«Впровадження стратегічних ініціатив міста Житомира на 2018-2020 роки»</w:t>
      </w:r>
    </w:p>
    <w:p w:rsidR="000C02D9" w:rsidRDefault="00491239">
      <w:pPr>
        <w:pBdr>
          <w:top w:val="nil"/>
          <w:left w:val="nil"/>
          <w:bottom w:val="nil"/>
          <w:right w:val="nil"/>
          <w:between w:val="nil"/>
        </w:pBdr>
        <w:ind w:right="1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ІІ-й</w:t>
      </w:r>
      <w:proofErr w:type="spellEnd"/>
      <w:r>
        <w:rPr>
          <w:color w:val="000000"/>
          <w:sz w:val="28"/>
          <w:szCs w:val="28"/>
        </w:rPr>
        <w:t xml:space="preserve"> квартал 2019 рік</w:t>
      </w:r>
    </w:p>
    <w:p w:rsidR="000C02D9" w:rsidRDefault="000C02D9">
      <w:pPr>
        <w:pBdr>
          <w:top w:val="nil"/>
          <w:left w:val="nil"/>
          <w:bottom w:val="nil"/>
          <w:right w:val="nil"/>
          <w:between w:val="nil"/>
        </w:pBdr>
        <w:ind w:right="140"/>
        <w:jc w:val="center"/>
        <w:rPr>
          <w:color w:val="000000"/>
          <w:sz w:val="28"/>
          <w:szCs w:val="28"/>
        </w:rPr>
      </w:pPr>
    </w:p>
    <w:p w:rsidR="000C02D9" w:rsidRDefault="00491239">
      <w:pPr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Дата і номер рішення міської ради:</w:t>
      </w:r>
      <w:r>
        <w:rPr>
          <w:color w:val="000000"/>
          <w:sz w:val="28"/>
          <w:szCs w:val="28"/>
        </w:rPr>
        <w:t xml:space="preserve"> від 26 червня 2018 року №1052</w:t>
      </w:r>
    </w:p>
    <w:p w:rsidR="000C02D9" w:rsidRDefault="00491239">
      <w:pPr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Відповідальний виконавець Програми: </w:t>
      </w:r>
      <w:r>
        <w:rPr>
          <w:color w:val="000000"/>
          <w:sz w:val="28"/>
          <w:szCs w:val="28"/>
        </w:rPr>
        <w:t>комунальна установа «Агенція розвитку міста» Житомирської міської ради</w:t>
      </w:r>
    </w:p>
    <w:p w:rsidR="000C02D9" w:rsidRDefault="00491239">
      <w:pPr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Термін реалізації Програми: </w:t>
      </w:r>
      <w:r>
        <w:rPr>
          <w:color w:val="000000"/>
          <w:sz w:val="28"/>
          <w:szCs w:val="28"/>
        </w:rPr>
        <w:t>2018-2020 роки</w:t>
      </w:r>
    </w:p>
    <w:p w:rsidR="000C02D9" w:rsidRDefault="00491239">
      <w:pPr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C02D9" w:rsidRDefault="004912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заходів Програми</w:t>
      </w:r>
    </w:p>
    <w:tbl>
      <w:tblPr>
        <w:tblStyle w:val="a5"/>
        <w:tblW w:w="158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984"/>
        <w:gridCol w:w="2268"/>
        <w:gridCol w:w="1418"/>
        <w:gridCol w:w="1267"/>
        <w:gridCol w:w="1548"/>
        <w:gridCol w:w="1550"/>
        <w:gridCol w:w="1666"/>
        <w:gridCol w:w="1537"/>
        <w:gridCol w:w="2238"/>
      </w:tblGrid>
      <w:tr w:rsidR="000C02D9">
        <w:trPr>
          <w:jc w:val="center"/>
        </w:trPr>
        <w:tc>
          <w:tcPr>
            <w:tcW w:w="421" w:type="dxa"/>
            <w:shd w:val="clear" w:color="auto" w:fill="D9E2F3"/>
            <w:vAlign w:val="center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984" w:type="dxa"/>
            <w:shd w:val="clear" w:color="auto" w:fill="D9E2F3"/>
            <w:vAlign w:val="center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Пріоритетні завдання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Зміст заходів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Термін виконання</w:t>
            </w:r>
          </w:p>
        </w:tc>
        <w:tc>
          <w:tcPr>
            <w:tcW w:w="1267" w:type="dxa"/>
            <w:shd w:val="clear" w:color="auto" w:fill="D9E2F3"/>
            <w:vAlign w:val="center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Виконавці</w:t>
            </w:r>
          </w:p>
        </w:tc>
        <w:tc>
          <w:tcPr>
            <w:tcW w:w="1548" w:type="dxa"/>
            <w:shd w:val="clear" w:color="auto" w:fill="D9E2F3"/>
            <w:vAlign w:val="center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Орієнтовний обсяг фінансування відповідно до програми,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1550" w:type="dxa"/>
            <w:shd w:val="clear" w:color="auto" w:fill="D9E2F3"/>
            <w:vAlign w:val="center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Річний обсяг фінансування, тис. грн.</w:t>
            </w:r>
          </w:p>
        </w:tc>
        <w:tc>
          <w:tcPr>
            <w:tcW w:w="1666" w:type="dxa"/>
            <w:shd w:val="clear" w:color="auto" w:fill="D9E2F3"/>
            <w:vAlign w:val="center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Фактично профінансовано у звітному періоді,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1537" w:type="dxa"/>
            <w:shd w:val="clear" w:color="auto" w:fill="D9E2F3"/>
            <w:vAlign w:val="center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Відсоток виконання заходу, %</w:t>
            </w:r>
          </w:p>
        </w:tc>
        <w:tc>
          <w:tcPr>
            <w:tcW w:w="2238" w:type="dxa"/>
            <w:shd w:val="clear" w:color="auto" w:fill="D9E2F3"/>
            <w:vAlign w:val="center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 про виконання або причини невиконання заходу</w:t>
            </w:r>
          </w:p>
        </w:tc>
      </w:tr>
      <w:tr w:rsidR="000C02D9">
        <w:trPr>
          <w:jc w:val="center"/>
        </w:trPr>
        <w:tc>
          <w:tcPr>
            <w:tcW w:w="4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Забезпечити розробку проектів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фандрейзингової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діяльності</w:t>
            </w:r>
          </w:p>
        </w:tc>
        <w:tc>
          <w:tcPr>
            <w:tcW w:w="2268" w:type="dxa"/>
          </w:tcPr>
          <w:p w:rsidR="000C02D9" w:rsidRDefault="00491239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Утримання комунальної установи «Агенція розвитку міста» Житомирської міської ради (в тому числі витрати на оплату товарів, комунальних послуг, </w:t>
            </w:r>
            <w:proofErr w:type="spellStart"/>
            <w:r>
              <w:rPr>
                <w:sz w:val="16"/>
                <w:szCs w:val="16"/>
              </w:rPr>
              <w:t>послуг</w:t>
            </w:r>
            <w:proofErr w:type="spellEnd"/>
            <w:r>
              <w:rPr>
                <w:sz w:val="16"/>
                <w:szCs w:val="16"/>
              </w:rPr>
              <w:t xml:space="preserve"> сторонніх організацій та експертів, оплату пра</w:t>
            </w:r>
            <w:r>
              <w:rPr>
                <w:sz w:val="16"/>
                <w:szCs w:val="16"/>
              </w:rPr>
              <w:t>ці адміністративному персоналу тощо)</w:t>
            </w:r>
          </w:p>
        </w:tc>
        <w:tc>
          <w:tcPr>
            <w:tcW w:w="141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 w:val="restart"/>
          </w:tcPr>
          <w:p w:rsidR="000C02D9" w:rsidRDefault="0049123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Комунальна установа «Агенція розвитку міста» Житомирської міської ради </w:t>
            </w:r>
          </w:p>
        </w:tc>
        <w:tc>
          <w:tcPr>
            <w:tcW w:w="154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7641,0</w:t>
            </w:r>
          </w:p>
        </w:tc>
        <w:tc>
          <w:tcPr>
            <w:tcW w:w="155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1967,9</w:t>
            </w:r>
          </w:p>
        </w:tc>
        <w:tc>
          <w:tcPr>
            <w:tcW w:w="1666" w:type="dxa"/>
            <w:shd w:val="clear" w:color="auto" w:fill="FFFFFF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1057544,60</w:t>
            </w:r>
          </w:p>
        </w:tc>
        <w:tc>
          <w:tcPr>
            <w:tcW w:w="1537" w:type="dxa"/>
            <w:shd w:val="clear" w:color="auto" w:fill="FFFFFF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53,7%</w:t>
            </w:r>
          </w:p>
        </w:tc>
        <w:tc>
          <w:tcPr>
            <w:tcW w:w="2238" w:type="dxa"/>
            <w:shd w:val="clear" w:color="auto" w:fill="FFFFFF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Станом на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30 червня 2019 року установа не мала кредиторської заборгованості</w:t>
            </w:r>
          </w:p>
        </w:tc>
      </w:tr>
      <w:tr w:rsidR="000C02D9">
        <w:trPr>
          <w:jc w:val="center"/>
        </w:trPr>
        <w:tc>
          <w:tcPr>
            <w:tcW w:w="4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84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02D9" w:rsidRDefault="0049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Впровадження механізму державно-приватного партнерства</w:t>
            </w:r>
          </w:p>
        </w:tc>
        <w:tc>
          <w:tcPr>
            <w:tcW w:w="141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20,0%</w:t>
            </w:r>
          </w:p>
        </w:tc>
        <w:tc>
          <w:tcPr>
            <w:tcW w:w="223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Розроблено та затверджено рішенням виконавчого комітету міської ради концептуальну записку проекту «Створення громадської пральні на базі комунального підприємства «Гагарін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ське» Житомирської міської ради», розроблено ТЕО, підготовлено висновок за результатами аналізу ефективності здійснення державно-приватного партнерства проекту.</w:t>
            </w:r>
          </w:p>
        </w:tc>
      </w:tr>
      <w:tr w:rsidR="000C02D9">
        <w:trPr>
          <w:jc w:val="center"/>
        </w:trPr>
        <w:tc>
          <w:tcPr>
            <w:tcW w:w="4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84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02D9" w:rsidRDefault="0049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Впровадження </w:t>
            </w:r>
            <w:proofErr w:type="spellStart"/>
            <w:r>
              <w:rPr>
                <w:sz w:val="16"/>
                <w:szCs w:val="16"/>
              </w:rPr>
              <w:t>ЕСКО-механізму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в бюджетній сфері міста</w:t>
            </w:r>
          </w:p>
        </w:tc>
        <w:tc>
          <w:tcPr>
            <w:tcW w:w="141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2018-2020</w:t>
            </w:r>
          </w:p>
        </w:tc>
        <w:tc>
          <w:tcPr>
            <w:tcW w:w="1267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23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Впровадження заходу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заплановано на 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2019-2020 роки</w:t>
            </w:r>
          </w:p>
        </w:tc>
      </w:tr>
      <w:tr w:rsidR="000C02D9">
        <w:trPr>
          <w:jc w:val="center"/>
        </w:trPr>
        <w:tc>
          <w:tcPr>
            <w:tcW w:w="4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984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02D9" w:rsidRDefault="0049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Впровадження муніципального прокату велосипедів</w:t>
            </w:r>
          </w:p>
        </w:tc>
        <w:tc>
          <w:tcPr>
            <w:tcW w:w="141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23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Впровадження заходу заплановано на 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2019-2020 роки</w:t>
            </w:r>
          </w:p>
        </w:tc>
      </w:tr>
      <w:tr w:rsidR="000C02D9">
        <w:trPr>
          <w:jc w:val="center"/>
        </w:trPr>
        <w:tc>
          <w:tcPr>
            <w:tcW w:w="4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984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02D9" w:rsidRDefault="0049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Написання та структурування проектів, що відповідають концепції інтегрованого розвитку міста</w:t>
            </w:r>
          </w:p>
        </w:tc>
        <w:tc>
          <w:tcPr>
            <w:tcW w:w="141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223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Упродовж І-ІІ-го кварталу 2019 року установою підготовлено та подано на фінансування 4 проектних пропозиції</w:t>
            </w:r>
          </w:p>
        </w:tc>
      </w:tr>
      <w:tr w:rsidR="000C02D9">
        <w:trPr>
          <w:jc w:val="center"/>
        </w:trPr>
        <w:tc>
          <w:tcPr>
            <w:tcW w:w="4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984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02D9" w:rsidRDefault="0049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Адміністрування муніципального фонду підтримки малого та середнього бізнесу</w:t>
            </w:r>
          </w:p>
        </w:tc>
        <w:tc>
          <w:tcPr>
            <w:tcW w:w="141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20,0%</w:t>
            </w:r>
          </w:p>
        </w:tc>
        <w:tc>
          <w:tcPr>
            <w:tcW w:w="223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Муніципальний фонд підтримки малого та середнього бізнесу планується створити та запустити у 2019 році у формі місцевої програми фінансової допомоги суб’єктам господарювання (триває розробка положення)</w:t>
            </w:r>
          </w:p>
        </w:tc>
      </w:tr>
      <w:tr w:rsidR="000C02D9">
        <w:trPr>
          <w:jc w:val="center"/>
        </w:trPr>
        <w:tc>
          <w:tcPr>
            <w:tcW w:w="4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984" w:type="dxa"/>
            <w:vMerge w:val="restart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Забезпечити професійне управління проектами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(впровадження проектів)</w:t>
            </w:r>
          </w:p>
        </w:tc>
        <w:tc>
          <w:tcPr>
            <w:tcW w:w="226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Реставрація пам’ятки архітектури місцевого значення «Водонапірна башта» (охоронний №17)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вул. Пушкінська, 24 в м. Житомирі, в тому числі розробка науково-проектної документації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(Впровадження пілотного проекту в рамках проекту «Інтегрований розвиток міст в Україні»)</w:t>
            </w:r>
          </w:p>
        </w:tc>
        <w:tc>
          <w:tcPr>
            <w:tcW w:w="141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1267" w:type="dxa"/>
            <w:vMerge w:val="restart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Комунальна установа «Агенція розвитку міста» Житомирської міської ради</w:t>
            </w:r>
          </w:p>
        </w:tc>
        <w:tc>
          <w:tcPr>
            <w:tcW w:w="154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3932,0</w:t>
            </w:r>
          </w:p>
        </w:tc>
        <w:tc>
          <w:tcPr>
            <w:tcW w:w="1550" w:type="dxa"/>
            <w:shd w:val="clear" w:color="auto" w:fill="FFFFFF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666" w:type="dxa"/>
            <w:shd w:val="clear" w:color="auto" w:fill="FFFFFF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537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223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Зареєстровано право власності на об’єкт за територіальною гром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адою.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Завершено розробку науково-проектної документації «Реставрація пам’ятки архітектури місцевого значення «Водонапірна башта» (охоронний №17) по вул. Пушкінська, 24 в м. Житомирі» та пройдено державну експертизу. Триває підготовка тендерної документації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C02D9">
        <w:trPr>
          <w:jc w:val="center"/>
        </w:trPr>
        <w:tc>
          <w:tcPr>
            <w:tcW w:w="4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984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02D9" w:rsidRDefault="00491239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Розвиток інфраструктури для підтримки малого та середнього бізнесу (Створення центру підтримки малого та середнього бізнесу)</w:t>
            </w:r>
          </w:p>
        </w:tc>
        <w:tc>
          <w:tcPr>
            <w:tcW w:w="141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4200,0</w:t>
            </w:r>
          </w:p>
        </w:tc>
        <w:tc>
          <w:tcPr>
            <w:tcW w:w="155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23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Впровадження заходу заплановано на 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2019-2020 роки</w:t>
            </w:r>
          </w:p>
        </w:tc>
      </w:tr>
      <w:tr w:rsidR="000C02D9">
        <w:trPr>
          <w:jc w:val="center"/>
        </w:trPr>
        <w:tc>
          <w:tcPr>
            <w:tcW w:w="4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984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02D9" w:rsidRDefault="0049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Впровадження проекту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«Відкрите Місто»</w:t>
            </w:r>
          </w:p>
        </w:tc>
        <w:tc>
          <w:tcPr>
            <w:tcW w:w="141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223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Ініціативу впроваджено</w:t>
            </w:r>
          </w:p>
        </w:tc>
      </w:tr>
      <w:tr w:rsidR="000C02D9">
        <w:trPr>
          <w:jc w:val="center"/>
        </w:trPr>
        <w:tc>
          <w:tcPr>
            <w:tcW w:w="4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984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02D9" w:rsidRDefault="0049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Впровадження проекту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«Міста Доброчесності»</w:t>
            </w:r>
          </w:p>
        </w:tc>
        <w:tc>
          <w:tcPr>
            <w:tcW w:w="141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20,0%</w:t>
            </w:r>
          </w:p>
        </w:tc>
        <w:tc>
          <w:tcPr>
            <w:tcW w:w="223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Організовано та проведено відбір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радника міського голови з питань публічності, підзвітності та запобігання корупції, в т.ч. числі розроблено відповідні нормативні документи. Укладено договір з компанією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SoftPro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щодо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геоінформаційного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порталу міс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</w:p>
        </w:tc>
      </w:tr>
      <w:tr w:rsidR="000C02D9">
        <w:trPr>
          <w:jc w:val="center"/>
        </w:trPr>
        <w:tc>
          <w:tcPr>
            <w:tcW w:w="4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1984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02D9" w:rsidRDefault="00491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Впровадження проекту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«Зелений офіс» (інформаційно-консультаційний центр для мешканців та суб’єктів господарювання)</w:t>
            </w:r>
          </w:p>
        </w:tc>
        <w:tc>
          <w:tcPr>
            <w:tcW w:w="141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223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Ініціативу впроваджено на базі установи</w:t>
            </w:r>
          </w:p>
        </w:tc>
      </w:tr>
      <w:tr w:rsidR="000C02D9">
        <w:trPr>
          <w:jc w:val="center"/>
        </w:trPr>
        <w:tc>
          <w:tcPr>
            <w:tcW w:w="4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1984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Технічний супровід впровадження проекту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термореабілітації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будівель бюджетної сфери міста за рахунок коштів Німецького 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державного 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 розвитку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KfW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267" w:type="dxa"/>
            <w:vMerge/>
          </w:tcPr>
          <w:p w:rsidR="000C02D9" w:rsidRDefault="000C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15,0%</w:t>
            </w:r>
          </w:p>
        </w:tc>
        <w:tc>
          <w:tcPr>
            <w:tcW w:w="223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в стадії підготовки. Упродовж І-ІІ-го кварталу 2019 року підготовлено та укладено Меморандум про співробітництво між містом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KfW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Триває процедура призначення зовнішнього консультанта та підготовка фінансових угод.</w:t>
            </w:r>
          </w:p>
        </w:tc>
      </w:tr>
      <w:tr w:rsidR="000C02D9">
        <w:trPr>
          <w:jc w:val="center"/>
        </w:trPr>
        <w:tc>
          <w:tcPr>
            <w:tcW w:w="4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1984" w:type="dxa"/>
          </w:tcPr>
          <w:p w:rsidR="000C02D9" w:rsidRDefault="000C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Надання технічної підтримки виконавчим органам та комунальним підприємствам міської ради з питань операційного управління  проектами (організація та проведення міжнародних закупівель, погоджувальні та реєстраційні процедури для проектів, що фінансуються 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рахунок коштів МФО або МТД тощо)</w:t>
            </w:r>
          </w:p>
        </w:tc>
        <w:tc>
          <w:tcPr>
            <w:tcW w:w="141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1267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Комунальна установа «Агенція розвитку міста» Житомирської міської ради</w:t>
            </w:r>
          </w:p>
        </w:tc>
        <w:tc>
          <w:tcPr>
            <w:tcW w:w="154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2238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Упродовж 2019 року установою підготовлено, в тому числі: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- 3 проекти рішення виконавчого комітету міської ради;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- 5 проектів рішень сесії міської ради;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документи для погодження обсягу та умов надання місцевої гарантії в Міністерстві фінансів України для 2-х проектів;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документи для погодження в Антимонопольному комітеті України місцевої гарантії для 1-го проекту;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документи для перереєстрації міжнародної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технічної допомоги в Міністерстві економічного розвитку і торгівлі України для 2-ох проектів.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Установою також організовано та проведено урбаністично-культурний фестиваль «Майстерня міста 2019».</w:t>
            </w:r>
          </w:p>
        </w:tc>
      </w:tr>
    </w:tbl>
    <w:p w:rsidR="000C02D9" w:rsidRDefault="000C02D9">
      <w:pPr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color w:val="000000"/>
          <w:sz w:val="28"/>
          <w:szCs w:val="28"/>
        </w:rPr>
      </w:pPr>
    </w:p>
    <w:p w:rsidR="000C02D9" w:rsidRDefault="000C02D9">
      <w:pPr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color w:val="000000"/>
          <w:sz w:val="28"/>
          <w:szCs w:val="28"/>
        </w:rPr>
      </w:pPr>
    </w:p>
    <w:p w:rsidR="000C02D9" w:rsidRDefault="000C02D9">
      <w:pPr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color w:val="000000"/>
          <w:sz w:val="28"/>
          <w:szCs w:val="28"/>
        </w:rPr>
      </w:pPr>
    </w:p>
    <w:p w:rsidR="000C02D9" w:rsidRDefault="000C02D9">
      <w:pPr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color w:val="000000"/>
          <w:sz w:val="28"/>
          <w:szCs w:val="28"/>
        </w:rPr>
      </w:pPr>
    </w:p>
    <w:p w:rsidR="000C02D9" w:rsidRDefault="000C02D9">
      <w:pPr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color w:val="000000"/>
          <w:sz w:val="28"/>
          <w:szCs w:val="28"/>
        </w:rPr>
      </w:pPr>
    </w:p>
    <w:p w:rsidR="000C02D9" w:rsidRDefault="000C02D9">
      <w:pPr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color w:val="000000"/>
          <w:sz w:val="28"/>
          <w:szCs w:val="28"/>
        </w:rPr>
      </w:pPr>
    </w:p>
    <w:p w:rsidR="000C02D9" w:rsidRDefault="00491239">
      <w:pPr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 Виконання результативних показників Програми</w:t>
      </w:r>
    </w:p>
    <w:tbl>
      <w:tblPr>
        <w:tblStyle w:val="a6"/>
        <w:tblW w:w="158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  <w:gridCol w:w="3330"/>
        <w:gridCol w:w="1424"/>
        <w:gridCol w:w="1424"/>
        <w:gridCol w:w="5940"/>
        <w:gridCol w:w="3221"/>
      </w:tblGrid>
      <w:tr w:rsidR="000C02D9">
        <w:trPr>
          <w:jc w:val="center"/>
        </w:trPr>
        <w:tc>
          <w:tcPr>
            <w:tcW w:w="493" w:type="dxa"/>
            <w:shd w:val="clear" w:color="auto" w:fill="D9E2F3"/>
            <w:vAlign w:val="center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3330" w:type="dxa"/>
            <w:shd w:val="clear" w:color="auto" w:fill="D9E2F3"/>
            <w:vAlign w:val="center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 показника</w:t>
            </w:r>
          </w:p>
        </w:tc>
        <w:tc>
          <w:tcPr>
            <w:tcW w:w="1424" w:type="dxa"/>
            <w:shd w:val="clear" w:color="auto" w:fill="D9E2F3"/>
            <w:vAlign w:val="center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Планове значення показника, на 2019 рік</w:t>
            </w:r>
          </w:p>
        </w:tc>
        <w:tc>
          <w:tcPr>
            <w:tcW w:w="1424" w:type="dxa"/>
            <w:shd w:val="clear" w:color="auto" w:fill="D9E2F3"/>
            <w:vAlign w:val="center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Фактичне значення показника, на 2019 рік</w:t>
            </w:r>
          </w:p>
        </w:tc>
        <w:tc>
          <w:tcPr>
            <w:tcW w:w="5940" w:type="dxa"/>
            <w:shd w:val="clear" w:color="auto" w:fill="D9E2F3"/>
            <w:vAlign w:val="center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Причини невиконання</w:t>
            </w:r>
          </w:p>
        </w:tc>
        <w:tc>
          <w:tcPr>
            <w:tcW w:w="3221" w:type="dxa"/>
            <w:shd w:val="clear" w:color="auto" w:fill="D9E2F3"/>
            <w:vAlign w:val="center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Що зроблено для виправлення ситуації</w:t>
            </w:r>
          </w:p>
        </w:tc>
      </w:tr>
      <w:tr w:rsidR="000C02D9">
        <w:trPr>
          <w:trHeight w:val="760"/>
          <w:jc w:val="center"/>
        </w:trPr>
        <w:tc>
          <w:tcPr>
            <w:tcW w:w="493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3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Утримання комунальної установи «Агенція розвитку міста» Житомирської міської ради</w:t>
            </w:r>
          </w:p>
        </w:tc>
        <w:tc>
          <w:tcPr>
            <w:tcW w:w="1424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2580,0</w:t>
            </w:r>
          </w:p>
        </w:tc>
        <w:tc>
          <w:tcPr>
            <w:tcW w:w="1424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1967,9</w:t>
            </w:r>
          </w:p>
        </w:tc>
        <w:tc>
          <w:tcPr>
            <w:tcW w:w="594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Причиною відхилення фактичних видатків від планових є те, що фактичні видатки розраховані на основі фактичної потреби в коштах на адміністрування поточної роботи та тієї кількості проектів, адмініструванням яких на даний час займається установа. У випадку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збільшення кількості проектів (проектної роботи) необхідним буде перегляд та відповідне збільшення видатків на утримання установи.</w:t>
            </w:r>
          </w:p>
        </w:tc>
        <w:tc>
          <w:tcPr>
            <w:tcW w:w="32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Станом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30 червня 2019 року установа не мала кредиторської заборгованості</w:t>
            </w:r>
          </w:p>
        </w:tc>
      </w:tr>
      <w:tr w:rsidR="000C02D9">
        <w:trPr>
          <w:jc w:val="center"/>
        </w:trPr>
        <w:tc>
          <w:tcPr>
            <w:tcW w:w="493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3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Штатні одиниці комунальної установи «Агенція розвитку міста» Житомирської міської ради</w:t>
            </w:r>
          </w:p>
        </w:tc>
        <w:tc>
          <w:tcPr>
            <w:tcW w:w="1424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4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4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C02D9">
        <w:trPr>
          <w:jc w:val="center"/>
        </w:trPr>
        <w:tc>
          <w:tcPr>
            <w:tcW w:w="493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структурованих  (підготовлених) та поданих проектів на отримання фінансування/технічної допомоги</w:t>
            </w:r>
          </w:p>
        </w:tc>
        <w:tc>
          <w:tcPr>
            <w:tcW w:w="1424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4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4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Упродовж І-ІІ-го кварталу 2019 року установою було підготовлено та подано 4 проектних пропозиції на отримання фінансування/технічної допомоги</w:t>
            </w:r>
          </w:p>
        </w:tc>
        <w:tc>
          <w:tcPr>
            <w:tcW w:w="32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Проектні пропозиції готуються в межах оголошених грантових програм та згідно пріоритетних напрямків розвитку міста. Очікується, що загальна кількість структурованих та поданих упродовж 2019 року проектних пропозиції не буде меншою від планового значення. </w:t>
            </w:r>
          </w:p>
        </w:tc>
      </w:tr>
      <w:tr w:rsidR="000C02D9">
        <w:trPr>
          <w:jc w:val="center"/>
        </w:trPr>
        <w:tc>
          <w:tcPr>
            <w:tcW w:w="493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3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підтриманих проектних заявок (стратегічних ініціатив)</w:t>
            </w:r>
          </w:p>
        </w:tc>
        <w:tc>
          <w:tcPr>
            <w:tcW w:w="1424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4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4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Упродовж І-ІІ-го кварталу 2019 року підтверджено надання місту фінансової та/або технічної допомоги по 4 проектним ініціативам, що були підготовлені у 2018 році та упродовж І-го кварталу 2019 року.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Результати розгляду проектних пропозицій, що були підготов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лені та подані у ІІ-му кварталі 2019 року будуть відомі упродовж серпня-жовтня 2019 року</w:t>
            </w:r>
          </w:p>
        </w:tc>
        <w:tc>
          <w:tcPr>
            <w:tcW w:w="32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0C02D9">
        <w:trPr>
          <w:jc w:val="center"/>
        </w:trPr>
        <w:tc>
          <w:tcPr>
            <w:tcW w:w="493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33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Співвідношення залучених коштів до вартості утримання комунальної установи «Агенція розвитку міста» Житомирської міської ради,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424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162,80</w:t>
            </w:r>
          </w:p>
        </w:tc>
        <w:tc>
          <w:tcPr>
            <w:tcW w:w="1424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2,98</w:t>
            </w:r>
          </w:p>
        </w:tc>
        <w:tc>
          <w:tcPr>
            <w:tcW w:w="594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Значення показника залежить від кількості підтриманих ініціатив упродовж 2019 року. Станом на 01 квітня 2019 року результати розгляду поданих установою, з початку 2019 року, проектних ініціатив не оголошені.</w:t>
            </w:r>
          </w:p>
        </w:tc>
        <w:tc>
          <w:tcPr>
            <w:tcW w:w="32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C02D9">
        <w:trPr>
          <w:jc w:val="center"/>
        </w:trPr>
        <w:tc>
          <w:tcPr>
            <w:tcW w:w="493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3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Сума залучених коштів та технічної допомоги для впровадження стратегічних ініціатив, тис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424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420000,00</w:t>
            </w:r>
          </w:p>
        </w:tc>
        <w:tc>
          <w:tcPr>
            <w:tcW w:w="1424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5858,00</w:t>
            </w:r>
          </w:p>
        </w:tc>
        <w:tc>
          <w:tcPr>
            <w:tcW w:w="594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Фактична вартість залученої фінансової допомоги упродовж 2019 року залежить від кількості підтриманих ініціатив. Сума залучених коштів вказана 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результатами розгляду проектних пропозицій станом на 30 червня 2019 року, що були підготовлені та подані установою у 2018 році та з початку 2019 року.</w:t>
            </w:r>
          </w:p>
        </w:tc>
        <w:tc>
          <w:tcPr>
            <w:tcW w:w="32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C02D9">
        <w:trPr>
          <w:jc w:val="center"/>
        </w:trPr>
        <w:tc>
          <w:tcPr>
            <w:tcW w:w="493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3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Кількість реалізованих проектів </w:t>
            </w:r>
          </w:p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(стратегічних ініціатив)</w:t>
            </w:r>
          </w:p>
        </w:tc>
        <w:tc>
          <w:tcPr>
            <w:tcW w:w="1424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4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40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Упродовж І-ІІ-го кварталу 2019 року установа продовжує адміністрування однієї ініціативи, що була підтримана донорською організацією у 2018 році.</w:t>
            </w:r>
          </w:p>
        </w:tc>
        <w:tc>
          <w:tcPr>
            <w:tcW w:w="3221" w:type="dxa"/>
          </w:tcPr>
          <w:p w:rsidR="000C02D9" w:rsidRDefault="0049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0C02D9" w:rsidRDefault="000C02D9"/>
    <w:sectPr w:rsidR="000C02D9">
      <w:pgSz w:w="16838" w:h="11906"/>
      <w:pgMar w:top="1418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5DBA"/>
    <w:multiLevelType w:val="multilevel"/>
    <w:tmpl w:val="D2F0FB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02D9"/>
    <w:rsid w:val="000C02D9"/>
    <w:rsid w:val="004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libri" w:eastAsia="Calibri" w:hAnsi="Calibri" w:cs="Calibri"/>
      <w:b/>
      <w:color w:val="2F5496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libri" w:eastAsia="Calibri" w:hAnsi="Calibri" w:cs="Calibri"/>
      <w:b/>
      <w:color w:val="2F5496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5273</Words>
  <Characters>3006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2019-07-24T14:36:00Z</dcterms:created>
  <dcterms:modified xsi:type="dcterms:W3CDTF">2019-07-24T14:36:00Z</dcterms:modified>
</cp:coreProperties>
</file>