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E" w:rsidRPr="005A4437" w:rsidRDefault="006125BE">
      <w:pPr>
        <w:jc w:val="center"/>
        <w:rPr>
          <w:b/>
          <w:sz w:val="28"/>
          <w:szCs w:val="28"/>
        </w:rPr>
      </w:pPr>
      <w:r w:rsidRPr="005A4437">
        <w:rPr>
          <w:b/>
          <w:sz w:val="28"/>
          <w:szCs w:val="28"/>
          <w:lang w:val="uk-UA"/>
        </w:rPr>
        <w:t>Звіт</w:t>
      </w:r>
      <w:r w:rsidR="00AC01CF" w:rsidRPr="005A4437">
        <w:rPr>
          <w:b/>
          <w:sz w:val="28"/>
          <w:szCs w:val="28"/>
          <w:lang w:val="uk-UA"/>
        </w:rPr>
        <w:t xml:space="preserve"> про базове відстеження</w:t>
      </w:r>
    </w:p>
    <w:p w:rsidR="009F4666" w:rsidRPr="00AE394A" w:rsidRDefault="00ED3AA5" w:rsidP="00AE394A">
      <w:pPr>
        <w:jc w:val="center"/>
        <w:rPr>
          <w:b/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>р</w:t>
      </w:r>
      <w:r w:rsidR="00BE4B94">
        <w:rPr>
          <w:b/>
          <w:sz w:val="28"/>
          <w:szCs w:val="28"/>
          <w:lang w:val="uk-UA"/>
        </w:rPr>
        <w:t>езультативності проє</w:t>
      </w:r>
      <w:r w:rsidR="00AC01CF" w:rsidRPr="005A4437">
        <w:rPr>
          <w:b/>
          <w:sz w:val="28"/>
          <w:szCs w:val="28"/>
          <w:lang w:val="uk-UA"/>
        </w:rPr>
        <w:t xml:space="preserve">кту рішення </w:t>
      </w:r>
      <w:r w:rsidR="00227E26">
        <w:rPr>
          <w:b/>
          <w:sz w:val="28"/>
          <w:szCs w:val="28"/>
          <w:lang w:val="uk-UA"/>
        </w:rPr>
        <w:t>виконавчого комітету</w:t>
      </w:r>
      <w:r w:rsidR="00AC01CF" w:rsidRPr="005A4437">
        <w:rPr>
          <w:b/>
          <w:sz w:val="28"/>
          <w:szCs w:val="28"/>
          <w:lang w:val="uk-UA"/>
        </w:rPr>
        <w:t xml:space="preserve"> міської ради</w:t>
      </w:r>
    </w:p>
    <w:p w:rsidR="00212C13" w:rsidRDefault="00212C13" w:rsidP="00212C13">
      <w:pPr>
        <w:jc w:val="center"/>
        <w:rPr>
          <w:b/>
          <w:bCs/>
          <w:sz w:val="28"/>
          <w:szCs w:val="28"/>
          <w:lang w:val="uk-UA"/>
        </w:rPr>
      </w:pPr>
      <w:r w:rsidRPr="00B0455F">
        <w:rPr>
          <w:b/>
          <w:bCs/>
          <w:sz w:val="28"/>
          <w:szCs w:val="28"/>
          <w:lang w:val="uk-UA"/>
        </w:rPr>
        <w:t xml:space="preserve">«Про </w:t>
      </w:r>
      <w:r>
        <w:rPr>
          <w:b/>
          <w:bCs/>
          <w:sz w:val="28"/>
          <w:szCs w:val="28"/>
          <w:lang w:val="uk-UA"/>
        </w:rPr>
        <w:t>організацію паркування транспортних засобів</w:t>
      </w:r>
    </w:p>
    <w:p w:rsidR="002909CE" w:rsidRDefault="00212C13" w:rsidP="000B73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 території міста Житомира</w:t>
      </w:r>
      <w:r w:rsidRPr="00B0455F">
        <w:rPr>
          <w:b/>
          <w:bCs/>
          <w:sz w:val="28"/>
          <w:szCs w:val="28"/>
          <w:lang w:val="uk-UA"/>
        </w:rPr>
        <w:t xml:space="preserve">» </w:t>
      </w:r>
    </w:p>
    <w:p w:rsidR="000B73D0" w:rsidRPr="000B73D0" w:rsidRDefault="000B73D0" w:rsidP="000B73D0">
      <w:pPr>
        <w:jc w:val="center"/>
        <w:rPr>
          <w:b/>
          <w:bCs/>
          <w:sz w:val="28"/>
          <w:szCs w:val="28"/>
          <w:lang w:val="uk-UA"/>
        </w:rPr>
      </w:pPr>
    </w:p>
    <w:p w:rsidR="00213777" w:rsidRDefault="00B13EFD" w:rsidP="009F46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09.09.</w:t>
      </w:r>
      <w:r w:rsidR="005A4437" w:rsidRPr="005A4437">
        <w:rPr>
          <w:sz w:val="28"/>
          <w:szCs w:val="28"/>
          <w:lang w:val="uk-UA"/>
        </w:rPr>
        <w:t xml:space="preserve"> 2021</w:t>
      </w:r>
      <w:r w:rsidR="009F4666" w:rsidRPr="005A4437">
        <w:rPr>
          <w:sz w:val="28"/>
          <w:szCs w:val="28"/>
          <w:lang w:val="uk-UA"/>
        </w:rPr>
        <w:t xml:space="preserve"> р</w:t>
      </w:r>
      <w:r w:rsidR="00CD5D76">
        <w:rPr>
          <w:sz w:val="28"/>
          <w:szCs w:val="28"/>
          <w:lang w:val="uk-UA"/>
        </w:rPr>
        <w:t>оку</w:t>
      </w:r>
      <w:r w:rsidR="009F4666" w:rsidRPr="005A4437">
        <w:rPr>
          <w:sz w:val="28"/>
          <w:szCs w:val="28"/>
          <w:lang w:val="uk-UA"/>
        </w:rPr>
        <w:t xml:space="preserve">                                                  </w:t>
      </w:r>
      <w:r w:rsidR="00C76075" w:rsidRPr="005A4437">
        <w:rPr>
          <w:sz w:val="28"/>
          <w:szCs w:val="28"/>
          <w:lang w:val="uk-UA"/>
        </w:rPr>
        <w:t xml:space="preserve">                       </w:t>
      </w:r>
      <w:r w:rsidR="009F4666" w:rsidRPr="005A4437">
        <w:rPr>
          <w:sz w:val="28"/>
          <w:szCs w:val="28"/>
          <w:lang w:val="uk-UA"/>
        </w:rPr>
        <w:t xml:space="preserve">  м. Житомир</w:t>
      </w:r>
    </w:p>
    <w:p w:rsidR="00AC01CF" w:rsidRPr="005A4437" w:rsidRDefault="00AC01CF" w:rsidP="00AC01CF">
      <w:pPr>
        <w:jc w:val="center"/>
        <w:rPr>
          <w:sz w:val="28"/>
          <w:szCs w:val="28"/>
          <w:lang w:val="uk-UA"/>
        </w:rPr>
      </w:pPr>
    </w:p>
    <w:p w:rsidR="00AC01CF" w:rsidRPr="005A4437" w:rsidRDefault="00BE3887" w:rsidP="00AF3DAD">
      <w:pPr>
        <w:jc w:val="both"/>
        <w:rPr>
          <w:rFonts w:eastAsia="Times New Roman CYR"/>
          <w:bCs/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>1</w:t>
      </w:r>
      <w:r w:rsidR="00575EDC" w:rsidRPr="005A4437">
        <w:rPr>
          <w:b/>
          <w:sz w:val="28"/>
          <w:szCs w:val="28"/>
          <w:lang w:val="uk-UA"/>
        </w:rPr>
        <w:t>.</w:t>
      </w:r>
      <w:r w:rsidRPr="005A4437">
        <w:rPr>
          <w:b/>
          <w:sz w:val="28"/>
          <w:szCs w:val="28"/>
          <w:lang w:val="uk-UA"/>
        </w:rPr>
        <w:t xml:space="preserve"> </w:t>
      </w:r>
      <w:r w:rsidR="00AC01CF" w:rsidRPr="005A4437">
        <w:rPr>
          <w:b/>
          <w:sz w:val="28"/>
          <w:szCs w:val="28"/>
          <w:lang w:val="uk-UA"/>
        </w:rPr>
        <w:t>Вид та назва регуляторного акта: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B15AA9" w:rsidRPr="005A4437">
        <w:rPr>
          <w:sz w:val="28"/>
          <w:szCs w:val="28"/>
          <w:lang w:val="uk-UA"/>
        </w:rPr>
        <w:t>п</w:t>
      </w:r>
      <w:r w:rsidR="00CD5D76">
        <w:rPr>
          <w:sz w:val="28"/>
          <w:szCs w:val="28"/>
          <w:lang w:val="uk-UA"/>
        </w:rPr>
        <w:t>роє</w:t>
      </w:r>
      <w:r w:rsidR="00AC01CF" w:rsidRPr="005A4437">
        <w:rPr>
          <w:sz w:val="28"/>
          <w:szCs w:val="28"/>
          <w:lang w:val="uk-UA"/>
        </w:rPr>
        <w:t>кт рішення виконавчого комітету Житомирської міської ради</w:t>
      </w:r>
      <w:r w:rsidR="00AC01CF" w:rsidRPr="005A4437">
        <w:rPr>
          <w:color w:val="FF0000"/>
          <w:sz w:val="28"/>
          <w:szCs w:val="28"/>
          <w:lang w:val="uk-UA"/>
        </w:rPr>
        <w:t xml:space="preserve"> </w:t>
      </w:r>
      <w:r w:rsidR="00212C13" w:rsidRPr="00212C13">
        <w:rPr>
          <w:bCs/>
          <w:sz w:val="28"/>
          <w:szCs w:val="28"/>
          <w:lang w:val="uk-UA"/>
        </w:rPr>
        <w:t>«</w:t>
      </w:r>
      <w:r w:rsidR="00AF3DAD" w:rsidRPr="006D5D4A">
        <w:rPr>
          <w:bCs/>
          <w:sz w:val="28"/>
          <w:szCs w:val="28"/>
          <w:lang w:val="uk-UA"/>
        </w:rPr>
        <w:t>Про організацію паркування транспортних засобів на території міста Житомира</w:t>
      </w:r>
      <w:r w:rsidR="00212C13" w:rsidRPr="00212C13">
        <w:rPr>
          <w:bCs/>
          <w:sz w:val="28"/>
          <w:szCs w:val="28"/>
          <w:lang w:val="uk-UA"/>
        </w:rPr>
        <w:t>»</w:t>
      </w:r>
      <w:r w:rsidR="000B73D0">
        <w:rPr>
          <w:bCs/>
          <w:sz w:val="28"/>
          <w:szCs w:val="28"/>
          <w:lang w:val="uk-UA"/>
        </w:rPr>
        <w:t xml:space="preserve"> із змінами та доповненнями</w:t>
      </w:r>
      <w:r w:rsidR="00212C13">
        <w:rPr>
          <w:bCs/>
          <w:sz w:val="28"/>
          <w:szCs w:val="28"/>
          <w:lang w:val="uk-UA"/>
        </w:rPr>
        <w:t>.</w:t>
      </w:r>
    </w:p>
    <w:p w:rsidR="00AC01CF" w:rsidRPr="005A4437" w:rsidRDefault="00BE3887" w:rsidP="00AC01CF">
      <w:pPr>
        <w:pStyle w:val="ab"/>
        <w:rPr>
          <w:b/>
          <w:sz w:val="28"/>
          <w:szCs w:val="28"/>
        </w:rPr>
      </w:pPr>
      <w:r w:rsidRPr="005A4437">
        <w:rPr>
          <w:b/>
          <w:sz w:val="28"/>
          <w:szCs w:val="28"/>
          <w:lang w:val="uk-UA"/>
        </w:rPr>
        <w:t xml:space="preserve">2. </w:t>
      </w:r>
      <w:r w:rsidR="00AC01CF" w:rsidRPr="005A4437">
        <w:rPr>
          <w:b/>
          <w:sz w:val="28"/>
          <w:szCs w:val="28"/>
          <w:lang w:val="uk-UA"/>
        </w:rPr>
        <w:t>Назва виконавця заходів з відстеження результативності:</w:t>
      </w:r>
    </w:p>
    <w:p w:rsidR="00AC01CF" w:rsidRPr="005A4437" w:rsidRDefault="00AC01CF" w:rsidP="00CC0CAC">
      <w:pPr>
        <w:jc w:val="both"/>
        <w:rPr>
          <w:sz w:val="28"/>
          <w:szCs w:val="28"/>
          <w:lang w:val="uk-UA"/>
        </w:rPr>
      </w:pPr>
      <w:r w:rsidRPr="005A4437">
        <w:rPr>
          <w:sz w:val="28"/>
          <w:szCs w:val="28"/>
          <w:lang w:val="uk-UA"/>
        </w:rPr>
        <w:t xml:space="preserve">Управління </w:t>
      </w:r>
      <w:r w:rsidR="00C76075" w:rsidRPr="005A4437">
        <w:rPr>
          <w:sz w:val="28"/>
          <w:szCs w:val="28"/>
          <w:lang w:val="uk-UA"/>
        </w:rPr>
        <w:t>транспорту і зв’язку</w:t>
      </w:r>
      <w:r w:rsidRPr="005A4437">
        <w:rPr>
          <w:sz w:val="28"/>
          <w:szCs w:val="28"/>
          <w:lang w:val="uk-UA"/>
        </w:rPr>
        <w:t xml:space="preserve"> Житомирської міської ради.</w:t>
      </w:r>
    </w:p>
    <w:p w:rsidR="00212C13" w:rsidRPr="00353B4B" w:rsidRDefault="00575EDC" w:rsidP="00212C13">
      <w:pPr>
        <w:jc w:val="both"/>
        <w:rPr>
          <w:bCs/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 xml:space="preserve">3. </w:t>
      </w:r>
      <w:r w:rsidR="00AC01CF" w:rsidRPr="005A4437">
        <w:rPr>
          <w:b/>
          <w:sz w:val="28"/>
          <w:szCs w:val="28"/>
          <w:lang w:val="uk-UA"/>
        </w:rPr>
        <w:t>Цілі прийняття даного рішення є: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212C13">
        <w:rPr>
          <w:bCs/>
          <w:sz w:val="28"/>
          <w:szCs w:val="28"/>
          <w:lang w:val="uk-UA"/>
        </w:rPr>
        <w:t>Зазначений регуляторний акт дозволить забезпечити</w:t>
      </w:r>
      <w:r w:rsidR="00212C13" w:rsidRPr="0004541E">
        <w:rPr>
          <w:bCs/>
          <w:sz w:val="28"/>
          <w:szCs w:val="28"/>
          <w:lang w:val="uk-UA"/>
        </w:rPr>
        <w:t xml:space="preserve"> </w:t>
      </w:r>
      <w:r w:rsidR="00AF3DAD" w:rsidRPr="0004541E">
        <w:rPr>
          <w:bCs/>
          <w:sz w:val="28"/>
          <w:szCs w:val="28"/>
          <w:lang w:val="uk-UA"/>
        </w:rPr>
        <w:t>якісне утримання та експлуатацію майданчиків для паркування, екологічні та санітарні вимоги, безпеку дорожнього руху, підвищення дисципліни водіїв, збільшення фінансових</w:t>
      </w:r>
      <w:r w:rsidR="00AF3DAD">
        <w:rPr>
          <w:bCs/>
          <w:sz w:val="28"/>
          <w:szCs w:val="28"/>
          <w:lang w:val="uk-UA"/>
        </w:rPr>
        <w:t xml:space="preserve"> надходжень до мі</w:t>
      </w:r>
      <w:r w:rsidR="00477060">
        <w:rPr>
          <w:bCs/>
          <w:sz w:val="28"/>
          <w:szCs w:val="28"/>
          <w:lang w:val="uk-UA"/>
        </w:rPr>
        <w:t>сцевого</w:t>
      </w:r>
      <w:r w:rsidR="00AF3DAD">
        <w:rPr>
          <w:bCs/>
          <w:sz w:val="28"/>
          <w:szCs w:val="28"/>
          <w:lang w:val="uk-UA"/>
        </w:rPr>
        <w:t xml:space="preserve"> бюджету за рахунок </w:t>
      </w:r>
      <w:r w:rsidR="00AF3DAD" w:rsidRPr="00353B4B">
        <w:rPr>
          <w:bCs/>
          <w:sz w:val="28"/>
          <w:szCs w:val="28"/>
          <w:lang w:val="uk-UA"/>
        </w:rPr>
        <w:t xml:space="preserve">збору за місце паркування транспортних засобів, забезпечення Правил </w:t>
      </w:r>
      <w:r w:rsidR="00AF3DAD">
        <w:rPr>
          <w:bCs/>
          <w:sz w:val="28"/>
          <w:szCs w:val="28"/>
          <w:lang w:val="uk-UA"/>
        </w:rPr>
        <w:t>паркування транспортних засобів,</w:t>
      </w:r>
      <w:r w:rsidR="00AF3DAD" w:rsidRPr="00353B4B">
        <w:rPr>
          <w:bCs/>
          <w:sz w:val="28"/>
          <w:szCs w:val="28"/>
          <w:lang w:val="uk-UA"/>
        </w:rPr>
        <w:t xml:space="preserve"> затверджених Постановою Кабінету Міністрів України</w:t>
      </w:r>
      <w:r w:rsidR="00212C13" w:rsidRPr="00353B4B">
        <w:rPr>
          <w:bCs/>
          <w:sz w:val="28"/>
          <w:szCs w:val="28"/>
          <w:lang w:val="uk-UA"/>
        </w:rPr>
        <w:t>.</w:t>
      </w:r>
    </w:p>
    <w:p w:rsidR="00AC01CF" w:rsidRPr="00DD3377" w:rsidRDefault="00BE3887" w:rsidP="00212C13">
      <w:pPr>
        <w:shd w:val="clear" w:color="auto" w:fill="FFFFFF"/>
        <w:jc w:val="both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 xml:space="preserve">4. </w:t>
      </w:r>
      <w:r w:rsidR="00AC01CF" w:rsidRPr="005A4437">
        <w:rPr>
          <w:b/>
          <w:sz w:val="28"/>
          <w:szCs w:val="28"/>
          <w:lang w:val="uk-UA"/>
        </w:rPr>
        <w:t xml:space="preserve">Строк виконання заходів з відстеження: </w:t>
      </w:r>
      <w:r w:rsidR="002C1DD6" w:rsidRPr="00DD3377">
        <w:rPr>
          <w:sz w:val="28"/>
          <w:szCs w:val="28"/>
          <w:lang w:val="uk-UA"/>
        </w:rPr>
        <w:t>23</w:t>
      </w:r>
      <w:r w:rsidR="00AF3DAD" w:rsidRPr="00DD3377">
        <w:rPr>
          <w:sz w:val="28"/>
          <w:szCs w:val="28"/>
          <w:lang w:val="uk-UA"/>
        </w:rPr>
        <w:t>.08</w:t>
      </w:r>
      <w:r w:rsidR="00BE4B94" w:rsidRPr="00DD3377">
        <w:rPr>
          <w:sz w:val="28"/>
          <w:szCs w:val="28"/>
          <w:lang w:val="uk-UA"/>
        </w:rPr>
        <w:t>.</w:t>
      </w:r>
      <w:r w:rsidR="005A4437" w:rsidRPr="00DD3377">
        <w:rPr>
          <w:sz w:val="28"/>
          <w:szCs w:val="28"/>
          <w:lang w:val="uk-UA"/>
        </w:rPr>
        <w:t>2021</w:t>
      </w:r>
      <w:r w:rsidR="00AC01CF" w:rsidRPr="00DD3377">
        <w:rPr>
          <w:sz w:val="28"/>
          <w:szCs w:val="28"/>
          <w:lang w:val="uk-UA"/>
        </w:rPr>
        <w:t xml:space="preserve"> – </w:t>
      </w:r>
      <w:r w:rsidR="002C1DD6" w:rsidRPr="00DD3377">
        <w:rPr>
          <w:sz w:val="28"/>
          <w:szCs w:val="28"/>
          <w:lang w:val="uk-UA"/>
        </w:rPr>
        <w:t>27</w:t>
      </w:r>
      <w:r w:rsidR="000B73D0" w:rsidRPr="00DD3377">
        <w:rPr>
          <w:sz w:val="28"/>
          <w:szCs w:val="28"/>
          <w:lang w:val="uk-UA"/>
        </w:rPr>
        <w:t>.08</w:t>
      </w:r>
      <w:r w:rsidR="005A4437" w:rsidRPr="00DD3377">
        <w:rPr>
          <w:sz w:val="28"/>
          <w:szCs w:val="28"/>
          <w:lang w:val="uk-UA"/>
        </w:rPr>
        <w:t>.2021</w:t>
      </w:r>
      <w:r w:rsidR="00AC01CF" w:rsidRPr="00DD3377">
        <w:rPr>
          <w:sz w:val="28"/>
          <w:szCs w:val="28"/>
          <w:lang w:val="uk-UA"/>
        </w:rPr>
        <w:t>.</w:t>
      </w:r>
    </w:p>
    <w:p w:rsidR="00AC01CF" w:rsidRPr="005A4437" w:rsidRDefault="00BE3887" w:rsidP="00575EDC">
      <w:pPr>
        <w:pStyle w:val="ab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>5.</w:t>
      </w:r>
      <w:r w:rsidRPr="005A4437">
        <w:rPr>
          <w:sz w:val="28"/>
          <w:szCs w:val="28"/>
          <w:lang w:val="uk-UA"/>
        </w:rPr>
        <w:t xml:space="preserve"> </w:t>
      </w:r>
      <w:r w:rsidR="00AC01CF" w:rsidRPr="005A4437">
        <w:rPr>
          <w:b/>
          <w:sz w:val="28"/>
          <w:szCs w:val="28"/>
          <w:lang w:val="uk-UA"/>
        </w:rPr>
        <w:t>Тип відстеження</w:t>
      </w:r>
      <w:r w:rsidRPr="005A4437">
        <w:rPr>
          <w:sz w:val="28"/>
          <w:szCs w:val="28"/>
          <w:lang w:val="uk-UA"/>
        </w:rPr>
        <w:t>:</w:t>
      </w:r>
      <w:r w:rsidR="00AC01CF" w:rsidRPr="005A4437">
        <w:rPr>
          <w:sz w:val="28"/>
          <w:szCs w:val="28"/>
          <w:lang w:val="uk-UA"/>
        </w:rPr>
        <w:t xml:space="preserve"> базове.</w:t>
      </w:r>
    </w:p>
    <w:p w:rsidR="00AC01CF" w:rsidRPr="005A4437" w:rsidRDefault="00BE3887" w:rsidP="00CD5D76">
      <w:pPr>
        <w:shd w:val="clear" w:color="auto" w:fill="FDFDFD"/>
        <w:jc w:val="both"/>
        <w:rPr>
          <w:sz w:val="28"/>
          <w:szCs w:val="28"/>
          <w:lang w:val="uk-UA" w:eastAsia="uk-UA"/>
        </w:rPr>
      </w:pPr>
      <w:r w:rsidRPr="005A4437">
        <w:rPr>
          <w:b/>
          <w:sz w:val="28"/>
          <w:szCs w:val="28"/>
          <w:lang w:val="uk-UA"/>
        </w:rPr>
        <w:t xml:space="preserve">6. </w:t>
      </w:r>
      <w:r w:rsidR="00AC01CF" w:rsidRPr="005A4437">
        <w:rPr>
          <w:b/>
          <w:sz w:val="28"/>
          <w:szCs w:val="28"/>
          <w:lang w:val="uk-UA"/>
        </w:rPr>
        <w:t>Методи одержання результатів відстеження:</w:t>
      </w:r>
      <w:r w:rsidR="00B15AA9" w:rsidRPr="005A4437">
        <w:rPr>
          <w:b/>
          <w:sz w:val="28"/>
          <w:szCs w:val="28"/>
          <w:lang w:val="uk-UA"/>
        </w:rPr>
        <w:t xml:space="preserve"> </w:t>
      </w:r>
      <w:r w:rsidR="00B15AA9" w:rsidRPr="005A4437">
        <w:rPr>
          <w:sz w:val="28"/>
          <w:szCs w:val="28"/>
          <w:lang w:val="uk-UA"/>
        </w:rPr>
        <w:t>і</w:t>
      </w:r>
      <w:r w:rsidR="00AC01CF" w:rsidRPr="005A4437">
        <w:rPr>
          <w:sz w:val="28"/>
          <w:szCs w:val="28"/>
          <w:lang w:val="uk-UA"/>
        </w:rPr>
        <w:t xml:space="preserve">нформація </w:t>
      </w:r>
      <w:r w:rsidR="002909CE" w:rsidRPr="005A4437">
        <w:rPr>
          <w:sz w:val="28"/>
          <w:szCs w:val="28"/>
          <w:lang w:val="uk-UA"/>
        </w:rPr>
        <w:t>управління тра</w:t>
      </w:r>
      <w:r w:rsidR="005A4437">
        <w:rPr>
          <w:sz w:val="28"/>
          <w:szCs w:val="28"/>
          <w:lang w:val="uk-UA"/>
        </w:rPr>
        <w:t>нспорту і зв’язку міської ради</w:t>
      </w:r>
      <w:r w:rsidR="00AC01CF" w:rsidRPr="005A4437">
        <w:rPr>
          <w:sz w:val="28"/>
          <w:szCs w:val="28"/>
          <w:lang w:val="uk-UA"/>
        </w:rPr>
        <w:t>, шляхом аналізу статистичних дан</w:t>
      </w:r>
      <w:r w:rsidR="004F056F" w:rsidRPr="005A4437">
        <w:rPr>
          <w:sz w:val="28"/>
          <w:szCs w:val="28"/>
          <w:lang w:val="uk-UA"/>
        </w:rPr>
        <w:t>их</w:t>
      </w:r>
      <w:r w:rsidR="00CD5D76">
        <w:rPr>
          <w:sz w:val="28"/>
          <w:szCs w:val="28"/>
          <w:lang w:val="uk-UA" w:eastAsia="uk-UA"/>
        </w:rPr>
        <w:t xml:space="preserve">. </w:t>
      </w:r>
      <w:r w:rsidR="00CD5D76" w:rsidRPr="00CD5D76">
        <w:rPr>
          <w:sz w:val="28"/>
          <w:szCs w:val="28"/>
          <w:lang w:val="uk-UA" w:eastAsia="uk-UA"/>
        </w:rPr>
        <w:t xml:space="preserve"> </w:t>
      </w:r>
      <w:r w:rsidR="00CD5D76" w:rsidRPr="00CD5D76">
        <w:rPr>
          <w:sz w:val="28"/>
          <w:szCs w:val="28"/>
          <w:lang w:eastAsia="uk-UA"/>
        </w:rPr>
        <w:t> </w:t>
      </w:r>
    </w:p>
    <w:p w:rsidR="00CD5D76" w:rsidRDefault="00BE3887" w:rsidP="00CD5D76">
      <w:pPr>
        <w:pStyle w:val="ab"/>
        <w:jc w:val="both"/>
        <w:rPr>
          <w:sz w:val="28"/>
          <w:szCs w:val="28"/>
          <w:lang w:val="uk-UA"/>
        </w:rPr>
      </w:pPr>
      <w:r w:rsidRPr="005A4437"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Pr="005A4437">
        <w:rPr>
          <w:sz w:val="28"/>
          <w:szCs w:val="28"/>
          <w:lang w:val="uk-UA"/>
        </w:rPr>
        <w:t xml:space="preserve">відстеження результативності регуляторного акта здійснювалось на основі аналізу даних управління транспорту і зв’язку </w:t>
      </w:r>
      <w:r w:rsidR="005A4437">
        <w:rPr>
          <w:sz w:val="28"/>
          <w:szCs w:val="28"/>
          <w:lang w:val="uk-UA"/>
        </w:rPr>
        <w:t>міської ради</w:t>
      </w:r>
      <w:r w:rsidR="002909CE" w:rsidRPr="005A4437">
        <w:rPr>
          <w:sz w:val="28"/>
          <w:szCs w:val="28"/>
          <w:lang w:val="uk-UA"/>
        </w:rPr>
        <w:t>.</w:t>
      </w:r>
    </w:p>
    <w:p w:rsidR="00AC01CF" w:rsidRDefault="00CD5D76" w:rsidP="00CD5D76">
      <w:pPr>
        <w:pStyle w:val="ab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E3887" w:rsidRPr="005A4437">
        <w:rPr>
          <w:b/>
          <w:sz w:val="28"/>
          <w:szCs w:val="28"/>
          <w:lang w:val="uk-UA"/>
        </w:rPr>
        <w:t xml:space="preserve">. </w:t>
      </w:r>
      <w:r w:rsidR="00AC01CF" w:rsidRPr="005A4437">
        <w:rPr>
          <w:b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p w:rsidR="00213777" w:rsidRPr="000B73D0" w:rsidRDefault="00213777" w:rsidP="00CD5D76">
      <w:pPr>
        <w:pStyle w:val="ab"/>
        <w:jc w:val="both"/>
        <w:rPr>
          <w:b/>
          <w:sz w:val="1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286"/>
      </w:tblGrid>
      <w:tr w:rsidR="00B34051" w:rsidRPr="005A4437" w:rsidTr="00213777">
        <w:trPr>
          <w:trHeight w:val="316"/>
        </w:trPr>
        <w:tc>
          <w:tcPr>
            <w:tcW w:w="7054" w:type="dxa"/>
            <w:shd w:val="clear" w:color="auto" w:fill="auto"/>
            <w:vAlign w:val="center"/>
          </w:tcPr>
          <w:p w:rsidR="00B34051" w:rsidRPr="005A4437" w:rsidRDefault="00B34051" w:rsidP="00213777">
            <w:pPr>
              <w:pStyle w:val="ab"/>
              <w:jc w:val="center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286" w:type="dxa"/>
            <w:shd w:val="clear" w:color="auto" w:fill="auto"/>
          </w:tcPr>
          <w:p w:rsidR="000B73D0" w:rsidRDefault="000B73D0" w:rsidP="000B73D0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B34051" w:rsidRPr="005A4437" w:rsidRDefault="00213777" w:rsidP="000B73D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2021 року </w:t>
            </w:r>
          </w:p>
        </w:tc>
      </w:tr>
      <w:tr w:rsidR="00CA3100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5A4437" w:rsidRDefault="00AE394A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AE394A">
              <w:rPr>
                <w:color w:val="000000"/>
                <w:sz w:val="28"/>
                <w:szCs w:val="26"/>
                <w:lang w:val="uk-UA" w:eastAsia="uk-UA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Pr="005A4437" w:rsidRDefault="00315B84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5A4437">
              <w:rPr>
                <w:sz w:val="28"/>
                <w:szCs w:val="28"/>
                <w:lang w:val="uk-UA"/>
              </w:rPr>
              <w:t>-</w:t>
            </w:r>
          </w:p>
        </w:tc>
      </w:tr>
      <w:tr w:rsidR="00CA3100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5A4437" w:rsidRDefault="00AE394A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AE394A">
              <w:rPr>
                <w:sz w:val="32"/>
                <w:szCs w:val="28"/>
                <w:lang w:val="uk-UA"/>
              </w:rPr>
              <w:t>К</w:t>
            </w:r>
            <w:r w:rsidRPr="00AE394A">
              <w:rPr>
                <w:color w:val="000000"/>
                <w:sz w:val="28"/>
                <w:szCs w:val="26"/>
                <w:lang w:val="uk-UA" w:eastAsia="uk-UA"/>
              </w:rPr>
              <w:t>ількість суб’єктів господарювання та/або фізичних осіб, на яких поширюватиметься дія акта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Pr="005A4437" w:rsidRDefault="00212C13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A3100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5A4437" w:rsidRDefault="00AE394A" w:rsidP="00CA3100">
            <w:pPr>
              <w:pStyle w:val="ab"/>
              <w:rPr>
                <w:sz w:val="28"/>
                <w:szCs w:val="28"/>
                <w:lang w:val="uk-UA"/>
              </w:rPr>
            </w:pPr>
            <w:r w:rsidRPr="00AE394A">
              <w:rPr>
                <w:sz w:val="28"/>
                <w:szCs w:val="26"/>
                <w:lang w:eastAsia="uk-UA"/>
              </w:rPr>
              <w:t>Р</w:t>
            </w:r>
            <w:proofErr w:type="spellStart"/>
            <w:r w:rsidRPr="00AE394A">
              <w:rPr>
                <w:color w:val="000000"/>
                <w:sz w:val="28"/>
                <w:szCs w:val="26"/>
                <w:lang w:val="uk-UA" w:eastAsia="uk-UA"/>
              </w:rPr>
              <w:t>івень</w:t>
            </w:r>
            <w:proofErr w:type="spellEnd"/>
            <w:r w:rsidRPr="00AE394A">
              <w:rPr>
                <w:color w:val="000000"/>
                <w:sz w:val="28"/>
                <w:szCs w:val="26"/>
                <w:lang w:val="uk-UA" w:eastAsia="uk-UA"/>
              </w:rPr>
              <w:t xml:space="preserve">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B7021" w:rsidRPr="005A4437" w:rsidRDefault="009B7021" w:rsidP="009B7021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5A4437">
              <w:rPr>
                <w:sz w:val="28"/>
                <w:szCs w:val="28"/>
                <w:lang w:val="uk-UA"/>
              </w:rPr>
              <w:t>(прогнозовано)</w:t>
            </w:r>
          </w:p>
          <w:p w:rsidR="00CA3100" w:rsidRPr="005A4437" w:rsidRDefault="009B7021" w:rsidP="009B7021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5A4437">
              <w:rPr>
                <w:sz w:val="28"/>
                <w:szCs w:val="28"/>
                <w:lang w:val="uk-UA"/>
              </w:rPr>
              <w:t xml:space="preserve"> 100</w:t>
            </w:r>
            <w:r w:rsidR="00212C13">
              <w:rPr>
                <w:sz w:val="28"/>
                <w:szCs w:val="28"/>
                <w:lang w:val="uk-UA"/>
              </w:rPr>
              <w:t>%</w:t>
            </w:r>
          </w:p>
        </w:tc>
      </w:tr>
      <w:tr w:rsidR="00CA3100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CA3100" w:rsidRPr="005A4437" w:rsidRDefault="00212C13" w:rsidP="009B70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6"/>
                <w:lang w:val="ru-RU" w:eastAsia="uk-UA"/>
              </w:rPr>
              <w:t>К</w:t>
            </w:r>
            <w:proofErr w:type="spellStart"/>
            <w:r>
              <w:rPr>
                <w:sz w:val="28"/>
                <w:szCs w:val="26"/>
                <w:lang w:eastAsia="uk-UA"/>
              </w:rPr>
              <w:t>ількість</w:t>
            </w:r>
            <w:proofErr w:type="spellEnd"/>
            <w:r>
              <w:rPr>
                <w:sz w:val="28"/>
                <w:szCs w:val="26"/>
                <w:lang w:eastAsia="uk-UA"/>
              </w:rPr>
              <w:t xml:space="preserve"> майданчиків для платного паркування транспортних засобів у місті Житомирі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A3100" w:rsidRPr="005A4437" w:rsidRDefault="00477060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212C13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212C13" w:rsidRDefault="00212C13" w:rsidP="00213777">
            <w:pPr>
              <w:pStyle w:val="Default"/>
              <w:jc w:val="both"/>
              <w:rPr>
                <w:sz w:val="28"/>
                <w:szCs w:val="26"/>
                <w:lang w:val="ru-RU" w:eastAsia="uk-UA"/>
              </w:rPr>
            </w:pPr>
            <w:r>
              <w:rPr>
                <w:sz w:val="28"/>
                <w:szCs w:val="26"/>
                <w:lang w:eastAsia="uk-UA"/>
              </w:rPr>
              <w:t>Кількість місць паркування</w:t>
            </w:r>
            <w:r w:rsidR="00213777">
              <w:rPr>
                <w:sz w:val="28"/>
                <w:szCs w:val="26"/>
                <w:lang w:eastAsia="uk-UA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C13" w:rsidRPr="005A4437" w:rsidRDefault="00477060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</w:t>
            </w:r>
          </w:p>
        </w:tc>
      </w:tr>
      <w:tr w:rsidR="00227E26" w:rsidRPr="005A4437" w:rsidTr="00213777">
        <w:trPr>
          <w:trHeight w:val="316"/>
        </w:trPr>
        <w:tc>
          <w:tcPr>
            <w:tcW w:w="7054" w:type="dxa"/>
            <w:shd w:val="clear" w:color="auto" w:fill="auto"/>
          </w:tcPr>
          <w:p w:rsidR="00227E26" w:rsidRDefault="00227E26" w:rsidP="00213777">
            <w:pPr>
              <w:pStyle w:val="Default"/>
              <w:jc w:val="both"/>
              <w:rPr>
                <w:sz w:val="28"/>
                <w:szCs w:val="26"/>
                <w:lang w:eastAsia="uk-UA"/>
              </w:rPr>
            </w:pPr>
            <w:r>
              <w:rPr>
                <w:sz w:val="28"/>
                <w:szCs w:val="26"/>
                <w:lang w:val="ru-RU" w:eastAsia="uk-UA"/>
              </w:rPr>
              <w:t>Р</w:t>
            </w:r>
            <w:proofErr w:type="spellStart"/>
            <w:r>
              <w:rPr>
                <w:sz w:val="28"/>
                <w:szCs w:val="26"/>
                <w:lang w:eastAsia="uk-UA"/>
              </w:rPr>
              <w:t>озмір</w:t>
            </w:r>
            <w:proofErr w:type="spellEnd"/>
            <w:r>
              <w:rPr>
                <w:sz w:val="28"/>
                <w:szCs w:val="26"/>
                <w:lang w:eastAsia="uk-UA"/>
              </w:rPr>
              <w:t xml:space="preserve"> коштів, що витрачатимуться суб’єктами господарювання та/або фізичними особами, пов’язаними з виконанням акта за п’ять років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27E26" w:rsidRDefault="00227E26" w:rsidP="00FC392E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53 626 405,50</w:t>
            </w:r>
            <w:bookmarkStart w:id="0" w:name="_GoBack"/>
            <w:bookmarkEnd w:id="0"/>
          </w:p>
        </w:tc>
      </w:tr>
    </w:tbl>
    <w:p w:rsidR="00CD5D76" w:rsidRPr="002C1DD6" w:rsidRDefault="00CD5D76" w:rsidP="002C1DD6">
      <w:pPr>
        <w:shd w:val="clear" w:color="auto" w:fill="FDFDFD"/>
        <w:jc w:val="both"/>
        <w:rPr>
          <w:rFonts w:ascii="Conv_Rubik-Regular" w:hAnsi="Conv_Rubik-Regular"/>
          <w:i/>
          <w:lang w:val="uk-UA" w:eastAsia="uk-UA"/>
        </w:rPr>
      </w:pPr>
      <w:r w:rsidRPr="002C1DD6">
        <w:rPr>
          <w:rFonts w:ascii="Conv_Rubik-Regular" w:hAnsi="Conv_Rubik-Regular"/>
          <w:i/>
          <w:lang w:eastAsia="uk-UA"/>
        </w:rPr>
        <w:t>*</w:t>
      </w:r>
      <w:proofErr w:type="spellStart"/>
      <w:r w:rsidRPr="002C1DD6">
        <w:rPr>
          <w:rFonts w:ascii="Conv_Rubik-Regular" w:hAnsi="Conv_Rubik-Regular"/>
          <w:i/>
          <w:lang w:eastAsia="uk-UA"/>
        </w:rPr>
        <w:t>Інформація</w:t>
      </w:r>
      <w:proofErr w:type="spellEnd"/>
      <w:r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Pr="002C1DD6">
        <w:rPr>
          <w:rFonts w:ascii="Conv_Rubik-Regular" w:hAnsi="Conv_Rubik-Regular"/>
          <w:i/>
          <w:lang w:eastAsia="uk-UA"/>
        </w:rPr>
        <w:t>надана</w:t>
      </w:r>
      <w:proofErr w:type="spellEnd"/>
      <w:r w:rsidRPr="002C1DD6">
        <w:rPr>
          <w:rFonts w:ascii="Conv_Rubik-Regular" w:hAnsi="Conv_Rubik-Regular"/>
          <w:i/>
          <w:lang w:eastAsia="uk-UA"/>
        </w:rPr>
        <w:t xml:space="preserve"> </w:t>
      </w:r>
      <w:r w:rsidRPr="002C1DD6">
        <w:rPr>
          <w:rFonts w:ascii="Conv_Rubik-Regular" w:hAnsi="Conv_Rubik-Regular"/>
          <w:i/>
          <w:lang w:val="uk-UA" w:eastAsia="uk-UA"/>
        </w:rPr>
        <w:t xml:space="preserve">комунальними підприємствами </w:t>
      </w:r>
      <w:r w:rsidRPr="002C1DD6">
        <w:rPr>
          <w:rFonts w:ascii="Conv_Rubik-Regular" w:hAnsi="Conv_Rubik-Regular"/>
          <w:i/>
          <w:lang w:eastAsia="uk-UA"/>
        </w:rPr>
        <w:t>Житомирськ</w:t>
      </w:r>
      <w:r w:rsidRPr="002C1DD6">
        <w:rPr>
          <w:rFonts w:ascii="Conv_Rubik-Regular" w:hAnsi="Conv_Rubik-Regular" w:hint="eastAsia"/>
          <w:i/>
          <w:lang w:eastAsia="uk-UA"/>
        </w:rPr>
        <w:t>ої</w:t>
      </w:r>
      <w:r w:rsidRPr="002C1DD6">
        <w:rPr>
          <w:rFonts w:ascii="Conv_Rubik-Regular" w:hAnsi="Conv_Rubik-Regular"/>
          <w:i/>
          <w:lang w:val="uk-UA" w:eastAsia="uk-UA"/>
        </w:rPr>
        <w:t xml:space="preserve"> міської ради</w:t>
      </w:r>
      <w:r w:rsidR="002C1DD6" w:rsidRPr="002C1DD6">
        <w:rPr>
          <w:rFonts w:ascii="Conv_Rubik-Regular" w:hAnsi="Conv_Rubik-Regular"/>
          <w:i/>
          <w:lang w:val="uk-UA" w:eastAsia="uk-UA"/>
        </w:rPr>
        <w:t xml:space="preserve"> та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Головним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управлінням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статистики у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Житомирській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</w:t>
      </w:r>
      <w:proofErr w:type="spellStart"/>
      <w:r w:rsidR="002C1DD6" w:rsidRPr="002C1DD6">
        <w:rPr>
          <w:rFonts w:ascii="Conv_Rubik-Regular" w:hAnsi="Conv_Rubik-Regular"/>
          <w:i/>
          <w:lang w:eastAsia="uk-UA"/>
        </w:rPr>
        <w:t>області</w:t>
      </w:r>
      <w:proofErr w:type="spellEnd"/>
      <w:r w:rsidR="002C1DD6" w:rsidRPr="002C1DD6">
        <w:rPr>
          <w:rFonts w:ascii="Conv_Rubik-Regular" w:hAnsi="Conv_Rubik-Regular"/>
          <w:i/>
          <w:lang w:eastAsia="uk-UA"/>
        </w:rPr>
        <w:t xml:space="preserve">  </w:t>
      </w:r>
    </w:p>
    <w:p w:rsidR="00BE3887" w:rsidRPr="00CD5D76" w:rsidRDefault="00BE3887" w:rsidP="00AC01CF">
      <w:pPr>
        <w:jc w:val="both"/>
        <w:rPr>
          <w:b/>
          <w:sz w:val="28"/>
          <w:szCs w:val="28"/>
        </w:rPr>
      </w:pPr>
    </w:p>
    <w:p w:rsidR="00AC01CF" w:rsidRPr="005A4437" w:rsidRDefault="00CD5D76" w:rsidP="00575EDC">
      <w:pPr>
        <w:pStyle w:val="ab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E3887" w:rsidRPr="005A4437">
        <w:rPr>
          <w:b/>
          <w:sz w:val="28"/>
          <w:szCs w:val="28"/>
          <w:lang w:val="uk-UA"/>
        </w:rPr>
        <w:t xml:space="preserve">. </w:t>
      </w:r>
      <w:r w:rsidR="00AC01CF" w:rsidRPr="005A4437">
        <w:rPr>
          <w:b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визначених цілей: </w:t>
      </w:r>
      <w:r w:rsidR="00AC01CF" w:rsidRPr="005A4437">
        <w:rPr>
          <w:sz w:val="28"/>
          <w:szCs w:val="28"/>
          <w:lang w:val="uk-UA"/>
        </w:rPr>
        <w:t>буде проводитися при повторному та періодичному відстеженнях результативності регуляторного акта.</w:t>
      </w:r>
    </w:p>
    <w:p w:rsidR="00AC01CF" w:rsidRDefault="00AC01CF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AC01CF">
      <w:pPr>
        <w:pStyle w:val="ab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CD5D76" w:rsidRPr="005A4437" w:rsidRDefault="00CD5D76" w:rsidP="00CD5D76">
      <w:pPr>
        <w:pStyle w:val="ab"/>
        <w:jc w:val="center"/>
        <w:rPr>
          <w:sz w:val="28"/>
          <w:szCs w:val="28"/>
          <w:lang w:val="uk-UA"/>
        </w:rPr>
      </w:pPr>
    </w:p>
    <w:p w:rsidR="0060515C" w:rsidRDefault="0060515C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213777" w:rsidRPr="00AE394A" w:rsidRDefault="00213777" w:rsidP="004F65FD">
      <w:pPr>
        <w:shd w:val="clear" w:color="auto" w:fill="FFFFFF"/>
        <w:spacing w:before="58"/>
        <w:rPr>
          <w:sz w:val="28"/>
          <w:szCs w:val="28"/>
          <w:lang w:val="uk-UA"/>
        </w:rPr>
      </w:pPr>
    </w:p>
    <w:p w:rsidR="00876723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>Заступник міського голови</w:t>
      </w:r>
    </w:p>
    <w:p w:rsidR="00BE3887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>з питань діяльності</w:t>
      </w:r>
    </w:p>
    <w:p w:rsidR="00CD5D76" w:rsidRPr="00CD5D76" w:rsidRDefault="00BE3887">
      <w:pPr>
        <w:pStyle w:val="ab"/>
        <w:jc w:val="both"/>
        <w:rPr>
          <w:lang w:val="uk-UA"/>
        </w:rPr>
      </w:pPr>
      <w:r w:rsidRPr="00CD5D76">
        <w:rPr>
          <w:lang w:val="uk-UA"/>
        </w:rPr>
        <w:t xml:space="preserve">виконавчих органів ради </w:t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E394A" w:rsidRPr="00CD5D76">
        <w:rPr>
          <w:lang w:val="uk-UA"/>
        </w:rPr>
        <w:tab/>
      </w:r>
      <w:r w:rsidR="00AA5654" w:rsidRPr="00CD5D76">
        <w:rPr>
          <w:lang w:val="uk-UA"/>
        </w:rPr>
        <w:tab/>
      </w:r>
    </w:p>
    <w:p w:rsidR="00BE3887" w:rsidRPr="00CD5D76" w:rsidRDefault="00AE394A">
      <w:pPr>
        <w:pStyle w:val="ab"/>
        <w:jc w:val="both"/>
        <w:rPr>
          <w:lang w:val="uk-UA"/>
        </w:rPr>
      </w:pPr>
      <w:r w:rsidRPr="00CD5D76">
        <w:rPr>
          <w:lang w:val="uk-UA"/>
        </w:rPr>
        <w:t>Олександр ШЕВЧУК</w:t>
      </w:r>
    </w:p>
    <w:p w:rsidR="00AE394A" w:rsidRPr="00CD5D76" w:rsidRDefault="00AE394A">
      <w:pPr>
        <w:pStyle w:val="ab"/>
        <w:jc w:val="both"/>
        <w:rPr>
          <w:lang w:val="uk-UA"/>
        </w:rPr>
      </w:pPr>
    </w:p>
    <w:p w:rsidR="00D20882" w:rsidRPr="00CD5D76" w:rsidRDefault="00213777">
      <w:pPr>
        <w:pStyle w:val="ab"/>
        <w:jc w:val="both"/>
        <w:rPr>
          <w:lang w:val="uk-UA"/>
        </w:rPr>
      </w:pPr>
      <w:r>
        <w:rPr>
          <w:lang w:val="uk-UA"/>
        </w:rPr>
        <w:t>Н</w:t>
      </w:r>
      <w:r w:rsidR="00D20882" w:rsidRPr="00CD5D76">
        <w:rPr>
          <w:lang w:val="uk-UA"/>
        </w:rPr>
        <w:t>ачальник</w:t>
      </w:r>
      <w:r>
        <w:rPr>
          <w:lang w:val="uk-UA"/>
        </w:rPr>
        <w:t xml:space="preserve"> </w:t>
      </w:r>
      <w:proofErr w:type="spellStart"/>
      <w:r w:rsidR="00792C5E" w:rsidRPr="00CD5D76">
        <w:rPr>
          <w:lang w:val="uk-UA"/>
        </w:rPr>
        <w:t>УТіЗ</w:t>
      </w:r>
      <w:proofErr w:type="spellEnd"/>
      <w:r w:rsidR="00D20882" w:rsidRPr="00CD5D76">
        <w:rPr>
          <w:lang w:val="uk-UA"/>
        </w:rPr>
        <w:t xml:space="preserve"> ЖМР </w:t>
      </w:r>
    </w:p>
    <w:p w:rsidR="00D20882" w:rsidRPr="00CD5D76" w:rsidRDefault="00213777">
      <w:pPr>
        <w:pStyle w:val="ab"/>
        <w:jc w:val="both"/>
        <w:rPr>
          <w:lang w:val="uk-UA"/>
        </w:rPr>
      </w:pPr>
      <w:r>
        <w:rPr>
          <w:color w:val="000000"/>
          <w:lang w:val="uk-UA"/>
        </w:rPr>
        <w:t xml:space="preserve">Костянтин ПІДПОКРОВНИЙ </w:t>
      </w:r>
      <w:r w:rsidR="00AE394A" w:rsidRPr="00CD5D76">
        <w:rPr>
          <w:color w:val="000000"/>
          <w:lang w:val="uk-UA"/>
        </w:rPr>
        <w:t xml:space="preserve"> </w:t>
      </w:r>
    </w:p>
    <w:sectPr w:rsidR="00D20882" w:rsidRPr="00CD5D76" w:rsidSect="00212C1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ED8"/>
    <w:multiLevelType w:val="multilevel"/>
    <w:tmpl w:val="3C0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F26"/>
    <w:rsid w:val="000154BD"/>
    <w:rsid w:val="0001625A"/>
    <w:rsid w:val="000532D1"/>
    <w:rsid w:val="00066F9B"/>
    <w:rsid w:val="000B73D0"/>
    <w:rsid w:val="000C1ABA"/>
    <w:rsid w:val="00212C13"/>
    <w:rsid w:val="00213777"/>
    <w:rsid w:val="00227E26"/>
    <w:rsid w:val="002909CE"/>
    <w:rsid w:val="002C1DD6"/>
    <w:rsid w:val="00315B84"/>
    <w:rsid w:val="00465D43"/>
    <w:rsid w:val="00472751"/>
    <w:rsid w:val="00475843"/>
    <w:rsid w:val="00477060"/>
    <w:rsid w:val="004F056F"/>
    <w:rsid w:val="004F65FD"/>
    <w:rsid w:val="005416CE"/>
    <w:rsid w:val="00565F26"/>
    <w:rsid w:val="00575EDC"/>
    <w:rsid w:val="005A4437"/>
    <w:rsid w:val="0060515C"/>
    <w:rsid w:val="006125BE"/>
    <w:rsid w:val="006A30F0"/>
    <w:rsid w:val="006A6831"/>
    <w:rsid w:val="006E1363"/>
    <w:rsid w:val="007340B0"/>
    <w:rsid w:val="00774207"/>
    <w:rsid w:val="007906F6"/>
    <w:rsid w:val="00792C5E"/>
    <w:rsid w:val="008122B6"/>
    <w:rsid w:val="00821D64"/>
    <w:rsid w:val="00876723"/>
    <w:rsid w:val="0092725D"/>
    <w:rsid w:val="00943E13"/>
    <w:rsid w:val="00991424"/>
    <w:rsid w:val="009B7021"/>
    <w:rsid w:val="009F4666"/>
    <w:rsid w:val="00AA5654"/>
    <w:rsid w:val="00AC01CF"/>
    <w:rsid w:val="00AE394A"/>
    <w:rsid w:val="00AF3DAD"/>
    <w:rsid w:val="00B13EFD"/>
    <w:rsid w:val="00B15AA9"/>
    <w:rsid w:val="00B34051"/>
    <w:rsid w:val="00B34251"/>
    <w:rsid w:val="00B707B1"/>
    <w:rsid w:val="00B95650"/>
    <w:rsid w:val="00BC317E"/>
    <w:rsid w:val="00BE3887"/>
    <w:rsid w:val="00BE4B94"/>
    <w:rsid w:val="00C76075"/>
    <w:rsid w:val="00CA3100"/>
    <w:rsid w:val="00CC0CAC"/>
    <w:rsid w:val="00CD5D76"/>
    <w:rsid w:val="00D20882"/>
    <w:rsid w:val="00DD3377"/>
    <w:rsid w:val="00ED3AA5"/>
    <w:rsid w:val="00EF3BAA"/>
    <w:rsid w:val="00F814CD"/>
    <w:rsid w:val="00F9526B"/>
    <w:rsid w:val="00F96FC8"/>
    <w:rsid w:val="00FA359D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142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91424"/>
    <w:rPr>
      <w:rFonts w:ascii="Courier New" w:hAnsi="Courier New" w:cs="Courier New"/>
    </w:rPr>
  </w:style>
  <w:style w:type="character" w:customStyle="1" w:styleId="WW8Num1z2">
    <w:name w:val="WW8Num1z2"/>
    <w:rsid w:val="00991424"/>
    <w:rPr>
      <w:rFonts w:ascii="Wingdings" w:hAnsi="Wingdings" w:cs="Wingdings"/>
    </w:rPr>
  </w:style>
  <w:style w:type="character" w:customStyle="1" w:styleId="WW8Num1z3">
    <w:name w:val="WW8Num1z3"/>
    <w:rsid w:val="00991424"/>
    <w:rPr>
      <w:rFonts w:ascii="Symbol" w:hAnsi="Symbol" w:cs="Symbol"/>
    </w:rPr>
  </w:style>
  <w:style w:type="character" w:customStyle="1" w:styleId="1">
    <w:name w:val="Основной шрифт абзаца1"/>
    <w:rsid w:val="00991424"/>
  </w:style>
  <w:style w:type="character" w:customStyle="1" w:styleId="a3">
    <w:name w:val="Знак Знак"/>
    <w:rsid w:val="00991424"/>
    <w:rPr>
      <w:rFonts w:ascii="Cambria" w:hAnsi="Cambria" w:cs="Cambria"/>
      <w:sz w:val="24"/>
      <w:szCs w:val="24"/>
      <w:lang w:val="en-US"/>
    </w:rPr>
  </w:style>
  <w:style w:type="character" w:styleId="a4">
    <w:name w:val="Hyperlink"/>
    <w:rsid w:val="0099142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914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424"/>
    <w:pPr>
      <w:spacing w:after="140" w:line="276" w:lineRule="auto"/>
    </w:pPr>
  </w:style>
  <w:style w:type="paragraph" w:styleId="a7">
    <w:name w:val="List"/>
    <w:basedOn w:val="a6"/>
    <w:rsid w:val="00991424"/>
    <w:rPr>
      <w:rFonts w:cs="Arial"/>
    </w:rPr>
  </w:style>
  <w:style w:type="paragraph" w:styleId="a8">
    <w:name w:val="caption"/>
    <w:basedOn w:val="a"/>
    <w:qFormat/>
    <w:rsid w:val="00991424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991424"/>
    <w:pPr>
      <w:suppressLineNumbers/>
    </w:pPr>
    <w:rPr>
      <w:rFonts w:cs="Arial"/>
    </w:rPr>
  </w:style>
  <w:style w:type="paragraph" w:styleId="a9">
    <w:name w:val="Normal (Web)"/>
    <w:basedOn w:val="a"/>
    <w:rsid w:val="00991424"/>
    <w:pPr>
      <w:spacing w:before="280" w:after="280"/>
    </w:pPr>
  </w:style>
  <w:style w:type="paragraph" w:styleId="aa">
    <w:name w:val="Balloon Text"/>
    <w:basedOn w:val="a"/>
    <w:rsid w:val="00991424"/>
    <w:rPr>
      <w:rFonts w:ascii="Tahoma" w:hAnsi="Tahoma" w:cs="Tahoma"/>
      <w:sz w:val="16"/>
      <w:szCs w:val="16"/>
    </w:rPr>
  </w:style>
  <w:style w:type="paragraph" w:styleId="ab">
    <w:name w:val="No Spacing"/>
    <w:qFormat/>
    <w:rsid w:val="00991424"/>
    <w:pPr>
      <w:suppressAutoHyphens/>
    </w:pPr>
    <w:rPr>
      <w:sz w:val="24"/>
      <w:szCs w:val="24"/>
      <w:lang w:eastAsia="zh-CN"/>
    </w:rPr>
  </w:style>
  <w:style w:type="paragraph" w:styleId="ac">
    <w:name w:val="Subtitle"/>
    <w:basedOn w:val="a"/>
    <w:next w:val="a"/>
    <w:qFormat/>
    <w:rsid w:val="00991424"/>
    <w:pPr>
      <w:spacing w:after="60"/>
      <w:jc w:val="center"/>
    </w:pPr>
    <w:rPr>
      <w:rFonts w:ascii="Cambria" w:hAnsi="Cambria" w:cs="Cambria"/>
      <w:lang w:val="en-US"/>
    </w:rPr>
  </w:style>
  <w:style w:type="paragraph" w:customStyle="1" w:styleId="ad">
    <w:name w:val="Содержимое таблицы"/>
    <w:basedOn w:val="a"/>
    <w:rsid w:val="00991424"/>
    <w:pPr>
      <w:suppressLineNumbers/>
    </w:pPr>
  </w:style>
  <w:style w:type="paragraph" w:customStyle="1" w:styleId="ae">
    <w:name w:val="Заголовок таблицы"/>
    <w:basedOn w:val="ad"/>
    <w:rsid w:val="00991424"/>
    <w:pPr>
      <w:jc w:val="center"/>
    </w:pPr>
    <w:rPr>
      <w:b/>
      <w:bCs/>
    </w:rPr>
  </w:style>
  <w:style w:type="paragraph" w:customStyle="1" w:styleId="rvps2">
    <w:name w:val="rvps2"/>
    <w:basedOn w:val="a"/>
    <w:rsid w:val="007906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B70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61A4-2059-48A5-8029-3AF53862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HP</dc:creator>
  <cp:lastModifiedBy>User</cp:lastModifiedBy>
  <cp:revision>22</cp:revision>
  <cp:lastPrinted>2021-09-03T10:17:00Z</cp:lastPrinted>
  <dcterms:created xsi:type="dcterms:W3CDTF">2020-01-24T12:14:00Z</dcterms:created>
  <dcterms:modified xsi:type="dcterms:W3CDTF">2021-09-09T06:55:00Z</dcterms:modified>
</cp:coreProperties>
</file>