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BE" w:rsidRPr="00762B39" w:rsidRDefault="006125BE">
      <w:pPr>
        <w:jc w:val="center"/>
        <w:rPr>
          <w:b/>
          <w:sz w:val="28"/>
          <w:szCs w:val="28"/>
        </w:rPr>
      </w:pPr>
      <w:r w:rsidRPr="00762B39">
        <w:rPr>
          <w:b/>
          <w:sz w:val="28"/>
          <w:szCs w:val="28"/>
          <w:lang w:val="uk-UA"/>
        </w:rPr>
        <w:t>Звіт</w:t>
      </w:r>
      <w:r w:rsidR="00AC01CF" w:rsidRPr="00762B39">
        <w:rPr>
          <w:b/>
          <w:sz w:val="28"/>
          <w:szCs w:val="28"/>
          <w:lang w:val="uk-UA"/>
        </w:rPr>
        <w:t xml:space="preserve"> про базове відстеження</w:t>
      </w:r>
    </w:p>
    <w:p w:rsidR="006125BE" w:rsidRPr="00762B39" w:rsidRDefault="00ED3AA5">
      <w:pPr>
        <w:jc w:val="center"/>
        <w:rPr>
          <w:b/>
          <w:sz w:val="28"/>
          <w:szCs w:val="28"/>
          <w:lang w:val="uk-UA"/>
        </w:rPr>
      </w:pPr>
      <w:r w:rsidRPr="00762B39">
        <w:rPr>
          <w:b/>
          <w:sz w:val="28"/>
          <w:szCs w:val="28"/>
          <w:lang w:val="uk-UA"/>
        </w:rPr>
        <w:t>р</w:t>
      </w:r>
      <w:r w:rsidR="00BE4B94" w:rsidRPr="00762B39">
        <w:rPr>
          <w:b/>
          <w:sz w:val="28"/>
          <w:szCs w:val="28"/>
          <w:lang w:val="uk-UA"/>
        </w:rPr>
        <w:t>езультативності проє</w:t>
      </w:r>
      <w:r w:rsidR="00AC01CF" w:rsidRPr="00762B39">
        <w:rPr>
          <w:b/>
          <w:sz w:val="28"/>
          <w:szCs w:val="28"/>
          <w:lang w:val="uk-UA"/>
        </w:rPr>
        <w:t xml:space="preserve">кту рішення </w:t>
      </w:r>
    </w:p>
    <w:p w:rsidR="009F4666" w:rsidRPr="00762B39" w:rsidRDefault="00AC01CF" w:rsidP="00AE394A">
      <w:pPr>
        <w:jc w:val="center"/>
        <w:rPr>
          <w:b/>
          <w:sz w:val="28"/>
          <w:szCs w:val="28"/>
          <w:lang w:val="uk-UA"/>
        </w:rPr>
      </w:pPr>
      <w:r w:rsidRPr="00762B39">
        <w:rPr>
          <w:b/>
          <w:sz w:val="28"/>
          <w:szCs w:val="28"/>
          <w:lang w:val="uk-UA"/>
        </w:rPr>
        <w:t>Житомирської міської ради</w:t>
      </w:r>
    </w:p>
    <w:p w:rsidR="009B7021" w:rsidRPr="00762B39" w:rsidRDefault="009B7021" w:rsidP="009B7021">
      <w:pPr>
        <w:jc w:val="center"/>
        <w:rPr>
          <w:rFonts w:eastAsia="Times New Roman CYR"/>
          <w:b/>
          <w:bCs/>
          <w:sz w:val="28"/>
          <w:szCs w:val="28"/>
          <w:lang w:val="uk-UA"/>
        </w:rPr>
      </w:pPr>
      <w:r w:rsidRPr="00762B39">
        <w:rPr>
          <w:b/>
          <w:sz w:val="28"/>
          <w:szCs w:val="28"/>
          <w:lang w:val="uk-UA"/>
        </w:rPr>
        <w:t>«</w:t>
      </w:r>
      <w:r w:rsidR="005A4437" w:rsidRPr="00762B39">
        <w:rPr>
          <w:b/>
          <w:sz w:val="28"/>
          <w:szCs w:val="28"/>
          <w:lang w:val="uk-UA" w:eastAsia="uk-UA"/>
        </w:rPr>
        <w:t>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визначення плати за доступ</w:t>
      </w:r>
      <w:r w:rsidRPr="00762B39">
        <w:rPr>
          <w:b/>
          <w:sz w:val="28"/>
          <w:szCs w:val="28"/>
          <w:lang w:val="uk-UA"/>
        </w:rPr>
        <w:t>»</w:t>
      </w:r>
    </w:p>
    <w:p w:rsidR="002909CE" w:rsidRPr="00762B39" w:rsidRDefault="002909CE" w:rsidP="002909CE">
      <w:pPr>
        <w:jc w:val="center"/>
        <w:rPr>
          <w:sz w:val="28"/>
          <w:szCs w:val="28"/>
          <w:lang w:val="uk-UA"/>
        </w:rPr>
      </w:pPr>
    </w:p>
    <w:p w:rsidR="009F4666" w:rsidRPr="00762B39" w:rsidRDefault="00575EDC" w:rsidP="009F4666">
      <w:pPr>
        <w:jc w:val="both"/>
        <w:rPr>
          <w:sz w:val="28"/>
          <w:szCs w:val="28"/>
          <w:lang w:val="uk-UA"/>
        </w:rPr>
      </w:pPr>
      <w:r w:rsidRPr="00762B39">
        <w:rPr>
          <w:sz w:val="28"/>
          <w:szCs w:val="28"/>
          <w:lang w:val="uk-UA"/>
        </w:rPr>
        <w:t>«</w:t>
      </w:r>
      <w:r w:rsidR="00762B39" w:rsidRPr="00762B39">
        <w:rPr>
          <w:sz w:val="28"/>
          <w:szCs w:val="28"/>
          <w:lang w:val="uk-UA"/>
        </w:rPr>
        <w:t>02</w:t>
      </w:r>
      <w:r w:rsidRPr="00762B39">
        <w:rPr>
          <w:sz w:val="28"/>
          <w:szCs w:val="28"/>
          <w:lang w:val="uk-UA"/>
        </w:rPr>
        <w:t xml:space="preserve">» </w:t>
      </w:r>
      <w:r w:rsidR="00CD5D76" w:rsidRPr="00762B39">
        <w:rPr>
          <w:sz w:val="28"/>
          <w:szCs w:val="28"/>
          <w:lang w:val="uk-UA"/>
        </w:rPr>
        <w:t>черв</w:t>
      </w:r>
      <w:r w:rsidR="009B7021" w:rsidRPr="00762B39">
        <w:rPr>
          <w:sz w:val="28"/>
          <w:szCs w:val="28"/>
          <w:lang w:val="uk-UA"/>
        </w:rPr>
        <w:t>ня</w:t>
      </w:r>
      <w:r w:rsidR="005A4437" w:rsidRPr="00762B39">
        <w:rPr>
          <w:sz w:val="28"/>
          <w:szCs w:val="28"/>
          <w:lang w:val="uk-UA"/>
        </w:rPr>
        <w:t xml:space="preserve"> 2021</w:t>
      </w:r>
      <w:r w:rsidR="009F4666" w:rsidRPr="00762B39">
        <w:rPr>
          <w:sz w:val="28"/>
          <w:szCs w:val="28"/>
          <w:lang w:val="uk-UA"/>
        </w:rPr>
        <w:t xml:space="preserve"> р</w:t>
      </w:r>
      <w:r w:rsidR="00CD5D76" w:rsidRPr="00762B39">
        <w:rPr>
          <w:sz w:val="28"/>
          <w:szCs w:val="28"/>
          <w:lang w:val="uk-UA"/>
        </w:rPr>
        <w:t>оку</w:t>
      </w:r>
      <w:r w:rsidR="009F4666" w:rsidRPr="00762B39">
        <w:rPr>
          <w:sz w:val="28"/>
          <w:szCs w:val="28"/>
          <w:lang w:val="uk-UA"/>
        </w:rPr>
        <w:t xml:space="preserve">                                                  </w:t>
      </w:r>
      <w:r w:rsidR="00C76075" w:rsidRPr="00762B39">
        <w:rPr>
          <w:sz w:val="28"/>
          <w:szCs w:val="28"/>
          <w:lang w:val="uk-UA"/>
        </w:rPr>
        <w:t xml:space="preserve">                       </w:t>
      </w:r>
      <w:r w:rsidR="009F4666" w:rsidRPr="00762B39">
        <w:rPr>
          <w:sz w:val="28"/>
          <w:szCs w:val="28"/>
          <w:lang w:val="uk-UA"/>
        </w:rPr>
        <w:t xml:space="preserve">  м. Житомир</w:t>
      </w:r>
    </w:p>
    <w:p w:rsidR="00AC01CF" w:rsidRPr="00762B39" w:rsidRDefault="00AC01CF" w:rsidP="00AC01CF">
      <w:pPr>
        <w:jc w:val="center"/>
        <w:rPr>
          <w:sz w:val="28"/>
          <w:szCs w:val="28"/>
          <w:lang w:val="uk-UA"/>
        </w:rPr>
      </w:pPr>
    </w:p>
    <w:p w:rsidR="00AC01CF" w:rsidRPr="00762B39" w:rsidRDefault="00BE3887" w:rsidP="00B15AA9">
      <w:pPr>
        <w:jc w:val="both"/>
        <w:rPr>
          <w:rFonts w:eastAsia="Times New Roman CYR"/>
          <w:bCs/>
          <w:sz w:val="28"/>
          <w:szCs w:val="28"/>
          <w:lang w:val="uk-UA"/>
        </w:rPr>
      </w:pPr>
      <w:r w:rsidRPr="00762B39">
        <w:rPr>
          <w:b/>
          <w:sz w:val="28"/>
          <w:szCs w:val="28"/>
          <w:lang w:val="uk-UA"/>
        </w:rPr>
        <w:t>1</w:t>
      </w:r>
      <w:r w:rsidR="00575EDC" w:rsidRPr="00762B39">
        <w:rPr>
          <w:b/>
          <w:sz w:val="28"/>
          <w:szCs w:val="28"/>
          <w:lang w:val="uk-UA"/>
        </w:rPr>
        <w:t>.</w:t>
      </w:r>
      <w:r w:rsidRPr="00762B39">
        <w:rPr>
          <w:b/>
          <w:sz w:val="28"/>
          <w:szCs w:val="28"/>
          <w:lang w:val="uk-UA"/>
        </w:rPr>
        <w:t xml:space="preserve"> </w:t>
      </w:r>
      <w:r w:rsidR="00AC01CF" w:rsidRPr="00762B39">
        <w:rPr>
          <w:b/>
          <w:sz w:val="28"/>
          <w:szCs w:val="28"/>
          <w:lang w:val="uk-UA"/>
        </w:rPr>
        <w:t>Вид та назва регуляторного акта:</w:t>
      </w:r>
      <w:r w:rsidR="00B15AA9" w:rsidRPr="00762B39">
        <w:rPr>
          <w:b/>
          <w:sz w:val="28"/>
          <w:szCs w:val="28"/>
          <w:lang w:val="uk-UA"/>
        </w:rPr>
        <w:t xml:space="preserve"> </w:t>
      </w:r>
      <w:r w:rsidR="00B15AA9" w:rsidRPr="00762B39">
        <w:rPr>
          <w:sz w:val="28"/>
          <w:szCs w:val="28"/>
          <w:lang w:val="uk-UA"/>
        </w:rPr>
        <w:t>п</w:t>
      </w:r>
      <w:r w:rsidR="00CD5D76" w:rsidRPr="00762B39">
        <w:rPr>
          <w:sz w:val="28"/>
          <w:szCs w:val="28"/>
          <w:lang w:val="uk-UA"/>
        </w:rPr>
        <w:t>роє</w:t>
      </w:r>
      <w:r w:rsidR="00AC01CF" w:rsidRPr="00762B39">
        <w:rPr>
          <w:sz w:val="28"/>
          <w:szCs w:val="28"/>
          <w:lang w:val="uk-UA"/>
        </w:rPr>
        <w:t xml:space="preserve">кт рішення виконавчого комітету Житомирської міської ради </w:t>
      </w:r>
      <w:r w:rsidR="009B7021" w:rsidRPr="00762B39">
        <w:rPr>
          <w:sz w:val="28"/>
          <w:szCs w:val="28"/>
          <w:lang w:val="uk-UA"/>
        </w:rPr>
        <w:t>«</w:t>
      </w:r>
      <w:r w:rsidR="005A4437" w:rsidRPr="00762B39">
        <w:rPr>
          <w:sz w:val="28"/>
          <w:szCs w:val="28"/>
          <w:lang w:val="uk-UA" w:eastAsia="uk-UA"/>
        </w:rPr>
        <w:t>Про організацію недискримінаційного доступу операторів та провайдерів телекомунікацій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та визначення плати за доступ</w:t>
      </w:r>
      <w:r w:rsidR="009B7021" w:rsidRPr="00762B39">
        <w:rPr>
          <w:sz w:val="28"/>
          <w:szCs w:val="28"/>
          <w:lang w:val="uk-UA"/>
        </w:rPr>
        <w:t>»</w:t>
      </w:r>
      <w:r w:rsidR="00CC0CAC" w:rsidRPr="00762B39">
        <w:rPr>
          <w:sz w:val="28"/>
          <w:szCs w:val="28"/>
          <w:lang w:val="uk-UA"/>
        </w:rPr>
        <w:t>.</w:t>
      </w:r>
    </w:p>
    <w:p w:rsidR="00AC01CF" w:rsidRPr="00762B39" w:rsidRDefault="00BE3887" w:rsidP="00AC01CF">
      <w:pPr>
        <w:pStyle w:val="ab"/>
        <w:rPr>
          <w:b/>
          <w:sz w:val="28"/>
          <w:szCs w:val="28"/>
        </w:rPr>
      </w:pPr>
      <w:r w:rsidRPr="00762B39">
        <w:rPr>
          <w:b/>
          <w:sz w:val="28"/>
          <w:szCs w:val="28"/>
          <w:lang w:val="uk-UA"/>
        </w:rPr>
        <w:t xml:space="preserve">2. </w:t>
      </w:r>
      <w:r w:rsidR="00AC01CF" w:rsidRPr="00762B39">
        <w:rPr>
          <w:b/>
          <w:sz w:val="28"/>
          <w:szCs w:val="28"/>
          <w:lang w:val="uk-UA"/>
        </w:rPr>
        <w:t>Назва виконавця заходів з відстеження результативності:</w:t>
      </w:r>
    </w:p>
    <w:p w:rsidR="00AC01CF" w:rsidRPr="00762B39" w:rsidRDefault="00AC01CF" w:rsidP="00CC0CAC">
      <w:pPr>
        <w:jc w:val="both"/>
        <w:rPr>
          <w:sz w:val="28"/>
          <w:szCs w:val="28"/>
          <w:lang w:val="uk-UA"/>
        </w:rPr>
      </w:pPr>
      <w:r w:rsidRPr="00762B39">
        <w:rPr>
          <w:sz w:val="28"/>
          <w:szCs w:val="28"/>
          <w:lang w:val="uk-UA"/>
        </w:rPr>
        <w:t xml:space="preserve">Управління </w:t>
      </w:r>
      <w:r w:rsidR="00C76075" w:rsidRPr="00762B39">
        <w:rPr>
          <w:sz w:val="28"/>
          <w:szCs w:val="28"/>
          <w:lang w:val="uk-UA"/>
        </w:rPr>
        <w:t>транспорту і зв’язку</w:t>
      </w:r>
      <w:r w:rsidRPr="00762B39">
        <w:rPr>
          <w:sz w:val="28"/>
          <w:szCs w:val="28"/>
          <w:lang w:val="uk-UA"/>
        </w:rPr>
        <w:t xml:space="preserve"> Житомирської міської ради.</w:t>
      </w:r>
    </w:p>
    <w:p w:rsidR="005A4437" w:rsidRPr="00762B39" w:rsidRDefault="00575EDC" w:rsidP="005A4437">
      <w:pPr>
        <w:shd w:val="clear" w:color="auto" w:fill="FFFFFF"/>
        <w:jc w:val="both"/>
        <w:rPr>
          <w:sz w:val="28"/>
          <w:szCs w:val="28"/>
          <w:lang w:val="uk-UA" w:eastAsia="uk-UA"/>
        </w:rPr>
      </w:pPr>
      <w:r w:rsidRPr="00762B39">
        <w:rPr>
          <w:b/>
          <w:sz w:val="28"/>
          <w:szCs w:val="28"/>
          <w:lang w:val="uk-UA"/>
        </w:rPr>
        <w:t xml:space="preserve">3. </w:t>
      </w:r>
      <w:r w:rsidR="00AC01CF" w:rsidRPr="00762B39">
        <w:rPr>
          <w:b/>
          <w:sz w:val="28"/>
          <w:szCs w:val="28"/>
          <w:lang w:val="uk-UA"/>
        </w:rPr>
        <w:t>Цілі прийняття даного рішення є:</w:t>
      </w:r>
      <w:r w:rsidR="00B15AA9" w:rsidRPr="00762B39">
        <w:rPr>
          <w:b/>
          <w:sz w:val="28"/>
          <w:szCs w:val="28"/>
          <w:lang w:val="uk-UA"/>
        </w:rPr>
        <w:t xml:space="preserve"> </w:t>
      </w:r>
      <w:r w:rsidR="005A4437" w:rsidRPr="00762B39">
        <w:rPr>
          <w:sz w:val="28"/>
          <w:szCs w:val="28"/>
          <w:lang w:val="uk-UA" w:eastAsia="uk-UA"/>
        </w:rPr>
        <w:t>створення передумов для надання якісних телекомунікаційних послуг фізичним та юридичним особам, розширення їх мережі за допомогою використання елементів інфраструктури об’єктів доступу, а також:</w:t>
      </w:r>
    </w:p>
    <w:p w:rsidR="005A4437" w:rsidRPr="00762B39" w:rsidRDefault="005A4437" w:rsidP="005A4437">
      <w:pPr>
        <w:numPr>
          <w:ilvl w:val="0"/>
          <w:numId w:val="1"/>
        </w:numPr>
        <w:shd w:val="clear" w:color="auto" w:fill="FFFFFF"/>
        <w:tabs>
          <w:tab w:val="clear" w:pos="720"/>
          <w:tab w:val="num" w:pos="0"/>
        </w:tabs>
        <w:suppressAutoHyphens w:val="0"/>
        <w:ind w:left="0" w:firstLine="0"/>
        <w:jc w:val="both"/>
        <w:textAlignment w:val="baseline"/>
        <w:rPr>
          <w:sz w:val="28"/>
          <w:szCs w:val="28"/>
          <w:lang w:val="uk-UA" w:eastAsia="uk-UA"/>
        </w:rPr>
      </w:pPr>
      <w:r w:rsidRPr="00762B39">
        <w:rPr>
          <w:sz w:val="28"/>
          <w:szCs w:val="28"/>
          <w:lang w:val="uk-UA" w:eastAsia="uk-UA"/>
        </w:rPr>
        <w:t>реалізація владних повноважень, наданих Законом України «Про місцеве самоврядування в Україні»;</w:t>
      </w:r>
    </w:p>
    <w:p w:rsidR="005A4437" w:rsidRPr="00762B39" w:rsidRDefault="005A4437" w:rsidP="005A4437">
      <w:pPr>
        <w:numPr>
          <w:ilvl w:val="0"/>
          <w:numId w:val="1"/>
        </w:numPr>
        <w:shd w:val="clear" w:color="auto" w:fill="FFFFFF"/>
        <w:suppressAutoHyphens w:val="0"/>
        <w:ind w:left="0" w:firstLine="0"/>
        <w:jc w:val="both"/>
        <w:textAlignment w:val="baseline"/>
        <w:rPr>
          <w:sz w:val="28"/>
          <w:szCs w:val="28"/>
          <w:lang w:val="uk-UA" w:eastAsia="uk-UA"/>
        </w:rPr>
      </w:pPr>
      <w:r w:rsidRPr="00762B39">
        <w:rPr>
          <w:sz w:val="28"/>
          <w:szCs w:val="28"/>
          <w:lang w:val="uk-UA" w:eastAsia="uk-UA"/>
        </w:rPr>
        <w:t>врегулювання питання встановлення плати за доступ до елементів інфраструктури об’єктів доступу;</w:t>
      </w:r>
    </w:p>
    <w:p w:rsidR="005A4437" w:rsidRPr="00762B39" w:rsidRDefault="005A4437" w:rsidP="005A4437">
      <w:pPr>
        <w:numPr>
          <w:ilvl w:val="0"/>
          <w:numId w:val="1"/>
        </w:numPr>
        <w:shd w:val="clear" w:color="auto" w:fill="FFFFFF"/>
        <w:tabs>
          <w:tab w:val="clear" w:pos="720"/>
          <w:tab w:val="num" w:pos="0"/>
        </w:tabs>
        <w:suppressAutoHyphens w:val="0"/>
        <w:ind w:left="0" w:firstLine="0"/>
        <w:jc w:val="both"/>
        <w:textAlignment w:val="baseline"/>
        <w:rPr>
          <w:sz w:val="28"/>
          <w:szCs w:val="28"/>
          <w:lang w:val="uk-UA" w:eastAsia="uk-UA"/>
        </w:rPr>
      </w:pPr>
      <w:r w:rsidRPr="00762B39">
        <w:rPr>
          <w:sz w:val="28"/>
          <w:szCs w:val="28"/>
          <w:lang w:val="uk-UA" w:eastAsia="uk-UA"/>
        </w:rPr>
        <w:t>визначення механізму організації безперешкодного та недискримінаційного доступу операторів та провайдерів телекомунікацій, уповноважених ними осіб до елементів інфраструктури об’єктів доступу;</w:t>
      </w:r>
    </w:p>
    <w:p w:rsidR="005A4437" w:rsidRPr="00762B39" w:rsidRDefault="005A4437" w:rsidP="005A4437">
      <w:pPr>
        <w:numPr>
          <w:ilvl w:val="0"/>
          <w:numId w:val="1"/>
        </w:numPr>
        <w:shd w:val="clear" w:color="auto" w:fill="FFFFFF"/>
        <w:tabs>
          <w:tab w:val="clear" w:pos="720"/>
          <w:tab w:val="num" w:pos="0"/>
        </w:tabs>
        <w:suppressAutoHyphens w:val="0"/>
        <w:ind w:left="0" w:firstLine="0"/>
        <w:jc w:val="both"/>
        <w:textAlignment w:val="baseline"/>
        <w:rPr>
          <w:sz w:val="28"/>
          <w:szCs w:val="28"/>
          <w:lang w:val="uk-UA" w:eastAsia="uk-UA"/>
        </w:rPr>
      </w:pPr>
      <w:r w:rsidRPr="00762B39">
        <w:rPr>
          <w:sz w:val="28"/>
          <w:szCs w:val="28"/>
          <w:lang w:val="uk-UA" w:eastAsia="uk-UA"/>
        </w:rPr>
        <w:t>організація контролю за дотриманням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елементів інфраструктури об’єктів доступу, правильністю обрахування плати за доступ до елементів інфраструктури об’єктів доступу;</w:t>
      </w:r>
    </w:p>
    <w:p w:rsidR="005A4437" w:rsidRPr="00762B39" w:rsidRDefault="005A4437" w:rsidP="005A4437">
      <w:pPr>
        <w:numPr>
          <w:ilvl w:val="0"/>
          <w:numId w:val="1"/>
        </w:numPr>
        <w:shd w:val="clear" w:color="auto" w:fill="FFFFFF"/>
        <w:tabs>
          <w:tab w:val="clear" w:pos="720"/>
          <w:tab w:val="num" w:pos="0"/>
        </w:tabs>
        <w:suppressAutoHyphens w:val="0"/>
        <w:ind w:left="0" w:firstLine="0"/>
        <w:jc w:val="both"/>
        <w:textAlignment w:val="baseline"/>
        <w:rPr>
          <w:sz w:val="28"/>
          <w:szCs w:val="28"/>
          <w:lang w:val="uk-UA" w:eastAsia="uk-UA"/>
        </w:rPr>
      </w:pPr>
      <w:r w:rsidRPr="00762B39">
        <w:rPr>
          <w:sz w:val="28"/>
          <w:szCs w:val="28"/>
          <w:lang w:val="uk-UA" w:eastAsia="uk-UA"/>
        </w:rPr>
        <w:t>сприяння розширенню та розвитку телекомунікаційних мереж для задоволення потреб населення у телекомунікаційних послугах.</w:t>
      </w:r>
    </w:p>
    <w:p w:rsidR="00AC01CF" w:rsidRPr="00762B39" w:rsidRDefault="00BE3887" w:rsidP="005A4437">
      <w:pPr>
        <w:jc w:val="both"/>
        <w:rPr>
          <w:sz w:val="28"/>
          <w:szCs w:val="28"/>
          <w:lang w:val="uk-UA"/>
        </w:rPr>
      </w:pPr>
      <w:r w:rsidRPr="00762B39">
        <w:rPr>
          <w:b/>
          <w:sz w:val="28"/>
          <w:szCs w:val="28"/>
          <w:lang w:val="uk-UA"/>
        </w:rPr>
        <w:t xml:space="preserve">4. </w:t>
      </w:r>
      <w:r w:rsidR="00AC01CF" w:rsidRPr="00762B39">
        <w:rPr>
          <w:b/>
          <w:sz w:val="28"/>
          <w:szCs w:val="28"/>
          <w:lang w:val="uk-UA"/>
        </w:rPr>
        <w:t xml:space="preserve">Строк виконання заходів з відстеження: </w:t>
      </w:r>
      <w:r w:rsidR="00BE4B94" w:rsidRPr="00762B39">
        <w:rPr>
          <w:sz w:val="28"/>
          <w:szCs w:val="28"/>
          <w:lang w:val="uk-UA"/>
        </w:rPr>
        <w:t>24</w:t>
      </w:r>
      <w:r w:rsidR="005A4437" w:rsidRPr="00762B39">
        <w:rPr>
          <w:sz w:val="28"/>
          <w:szCs w:val="28"/>
          <w:lang w:val="uk-UA"/>
        </w:rPr>
        <w:t>.</w:t>
      </w:r>
      <w:r w:rsidR="00BE4B94" w:rsidRPr="00762B39">
        <w:rPr>
          <w:sz w:val="28"/>
          <w:szCs w:val="28"/>
          <w:lang w:val="uk-UA"/>
        </w:rPr>
        <w:t>05.</w:t>
      </w:r>
      <w:r w:rsidR="005A4437" w:rsidRPr="00762B39">
        <w:rPr>
          <w:sz w:val="28"/>
          <w:szCs w:val="28"/>
          <w:lang w:val="uk-UA"/>
        </w:rPr>
        <w:t>2021</w:t>
      </w:r>
      <w:r w:rsidR="00AC01CF" w:rsidRPr="00762B39">
        <w:rPr>
          <w:sz w:val="28"/>
          <w:szCs w:val="28"/>
          <w:lang w:val="uk-UA"/>
        </w:rPr>
        <w:t xml:space="preserve"> – </w:t>
      </w:r>
      <w:r w:rsidR="00BE4B94" w:rsidRPr="00762B39">
        <w:rPr>
          <w:sz w:val="28"/>
          <w:szCs w:val="28"/>
          <w:lang w:val="uk-UA"/>
        </w:rPr>
        <w:t>28</w:t>
      </w:r>
      <w:r w:rsidR="00AC01CF" w:rsidRPr="00762B39">
        <w:rPr>
          <w:sz w:val="28"/>
          <w:szCs w:val="28"/>
          <w:lang w:val="uk-UA"/>
        </w:rPr>
        <w:t>.0</w:t>
      </w:r>
      <w:r w:rsidR="005A4437" w:rsidRPr="00762B39">
        <w:rPr>
          <w:sz w:val="28"/>
          <w:szCs w:val="28"/>
          <w:lang w:val="uk-UA"/>
        </w:rPr>
        <w:t>5.2021</w:t>
      </w:r>
      <w:r w:rsidR="00AC01CF" w:rsidRPr="00762B39">
        <w:rPr>
          <w:sz w:val="28"/>
          <w:szCs w:val="28"/>
          <w:lang w:val="uk-UA"/>
        </w:rPr>
        <w:t>.</w:t>
      </w:r>
    </w:p>
    <w:p w:rsidR="00AC01CF" w:rsidRPr="00762B39" w:rsidRDefault="00BE3887" w:rsidP="00575EDC">
      <w:pPr>
        <w:pStyle w:val="ab"/>
        <w:rPr>
          <w:sz w:val="28"/>
          <w:szCs w:val="28"/>
          <w:lang w:val="uk-UA"/>
        </w:rPr>
      </w:pPr>
      <w:r w:rsidRPr="00762B39">
        <w:rPr>
          <w:b/>
          <w:sz w:val="28"/>
          <w:szCs w:val="28"/>
          <w:lang w:val="uk-UA"/>
        </w:rPr>
        <w:t>5.</w:t>
      </w:r>
      <w:r w:rsidRPr="00762B39">
        <w:rPr>
          <w:sz w:val="28"/>
          <w:szCs w:val="28"/>
          <w:lang w:val="uk-UA"/>
        </w:rPr>
        <w:t xml:space="preserve"> </w:t>
      </w:r>
      <w:r w:rsidR="00AC01CF" w:rsidRPr="00762B39">
        <w:rPr>
          <w:b/>
          <w:sz w:val="28"/>
          <w:szCs w:val="28"/>
          <w:lang w:val="uk-UA"/>
        </w:rPr>
        <w:t>Тип відстеження</w:t>
      </w:r>
      <w:r w:rsidRPr="00762B39">
        <w:rPr>
          <w:sz w:val="28"/>
          <w:szCs w:val="28"/>
          <w:lang w:val="uk-UA"/>
        </w:rPr>
        <w:t>:</w:t>
      </w:r>
      <w:r w:rsidR="00AC01CF" w:rsidRPr="00762B39">
        <w:rPr>
          <w:sz w:val="28"/>
          <w:szCs w:val="28"/>
          <w:lang w:val="uk-UA"/>
        </w:rPr>
        <w:t xml:space="preserve"> базове.</w:t>
      </w:r>
    </w:p>
    <w:p w:rsidR="00AC01CF" w:rsidRPr="00762B39" w:rsidRDefault="00BE3887" w:rsidP="00CD5D76">
      <w:pPr>
        <w:shd w:val="clear" w:color="auto" w:fill="FDFDFD"/>
        <w:jc w:val="both"/>
        <w:rPr>
          <w:sz w:val="28"/>
          <w:szCs w:val="28"/>
          <w:lang w:val="uk-UA" w:eastAsia="uk-UA"/>
        </w:rPr>
      </w:pPr>
      <w:r w:rsidRPr="00762B39">
        <w:rPr>
          <w:b/>
          <w:sz w:val="28"/>
          <w:szCs w:val="28"/>
          <w:lang w:val="uk-UA"/>
        </w:rPr>
        <w:t xml:space="preserve">6. </w:t>
      </w:r>
      <w:r w:rsidR="00AC01CF" w:rsidRPr="00762B39">
        <w:rPr>
          <w:b/>
          <w:sz w:val="28"/>
          <w:szCs w:val="28"/>
          <w:lang w:val="uk-UA"/>
        </w:rPr>
        <w:t>Методи одержання результатів відстеження:</w:t>
      </w:r>
      <w:r w:rsidR="00B15AA9" w:rsidRPr="00762B39">
        <w:rPr>
          <w:b/>
          <w:sz w:val="28"/>
          <w:szCs w:val="28"/>
          <w:lang w:val="uk-UA"/>
        </w:rPr>
        <w:t xml:space="preserve"> </w:t>
      </w:r>
      <w:r w:rsidR="00B15AA9" w:rsidRPr="00762B39">
        <w:rPr>
          <w:sz w:val="28"/>
          <w:szCs w:val="28"/>
          <w:lang w:val="uk-UA"/>
        </w:rPr>
        <w:t>і</w:t>
      </w:r>
      <w:r w:rsidR="00AC01CF" w:rsidRPr="00762B39">
        <w:rPr>
          <w:sz w:val="28"/>
          <w:szCs w:val="28"/>
          <w:lang w:val="uk-UA"/>
        </w:rPr>
        <w:t xml:space="preserve">нформація </w:t>
      </w:r>
      <w:r w:rsidR="002909CE" w:rsidRPr="00762B39">
        <w:rPr>
          <w:sz w:val="28"/>
          <w:szCs w:val="28"/>
          <w:lang w:val="uk-UA"/>
        </w:rPr>
        <w:t>управління тра</w:t>
      </w:r>
      <w:r w:rsidR="005A4437" w:rsidRPr="00762B39">
        <w:rPr>
          <w:sz w:val="28"/>
          <w:szCs w:val="28"/>
          <w:lang w:val="uk-UA"/>
        </w:rPr>
        <w:t>нспорту і зв’язку міської ради</w:t>
      </w:r>
      <w:r w:rsidR="00AC01CF" w:rsidRPr="00762B39">
        <w:rPr>
          <w:sz w:val="28"/>
          <w:szCs w:val="28"/>
          <w:lang w:val="uk-UA"/>
        </w:rPr>
        <w:t>, шляхом аналізу статистичних дан</w:t>
      </w:r>
      <w:r w:rsidR="004F056F" w:rsidRPr="00762B39">
        <w:rPr>
          <w:sz w:val="28"/>
          <w:szCs w:val="28"/>
          <w:lang w:val="uk-UA"/>
        </w:rPr>
        <w:t>их</w:t>
      </w:r>
      <w:r w:rsidR="00CD5D76" w:rsidRPr="00762B39">
        <w:rPr>
          <w:sz w:val="28"/>
          <w:szCs w:val="28"/>
          <w:lang w:val="uk-UA"/>
        </w:rPr>
        <w:t xml:space="preserve"> та </w:t>
      </w:r>
      <w:r w:rsidR="00CD5D76" w:rsidRPr="00762B39">
        <w:rPr>
          <w:sz w:val="28"/>
          <w:szCs w:val="28"/>
          <w:lang w:val="uk-UA" w:eastAsia="uk-UA"/>
        </w:rPr>
        <w:t xml:space="preserve">даних комунальних підприємств Житомирської міської ради.  </w:t>
      </w:r>
      <w:r w:rsidR="00CD5D76" w:rsidRPr="00762B39">
        <w:rPr>
          <w:sz w:val="28"/>
          <w:szCs w:val="28"/>
          <w:lang w:eastAsia="uk-UA"/>
        </w:rPr>
        <w:t> </w:t>
      </w:r>
    </w:p>
    <w:p w:rsidR="00CD5D76" w:rsidRPr="00762B39" w:rsidRDefault="00BE3887" w:rsidP="00CD5D76">
      <w:pPr>
        <w:pStyle w:val="ab"/>
        <w:jc w:val="both"/>
        <w:rPr>
          <w:sz w:val="28"/>
          <w:szCs w:val="28"/>
          <w:lang w:val="uk-UA"/>
        </w:rPr>
      </w:pPr>
      <w:r w:rsidRPr="00762B39">
        <w:rPr>
          <w:b/>
          <w:sz w:val="28"/>
          <w:szCs w:val="28"/>
          <w:lang w:val="uk-UA"/>
        </w:rPr>
        <w:t xml:space="preserve">7. Дані та припущення, на основі яких відстежувалася результативність, а також способи одержання даних: </w:t>
      </w:r>
      <w:r w:rsidRPr="00762B39">
        <w:rPr>
          <w:sz w:val="28"/>
          <w:szCs w:val="28"/>
          <w:lang w:val="uk-UA"/>
        </w:rPr>
        <w:t xml:space="preserve">відстеження результативності </w:t>
      </w:r>
      <w:r w:rsidRPr="00762B39">
        <w:rPr>
          <w:sz w:val="28"/>
          <w:szCs w:val="28"/>
          <w:lang w:val="uk-UA"/>
        </w:rPr>
        <w:lastRenderedPageBreak/>
        <w:t xml:space="preserve">регуляторного акта здійснювалось на основі аналізу даних управління транспорту і зв’язку </w:t>
      </w:r>
      <w:r w:rsidR="005A4437" w:rsidRPr="00762B39">
        <w:rPr>
          <w:sz w:val="28"/>
          <w:szCs w:val="28"/>
          <w:lang w:val="uk-UA"/>
        </w:rPr>
        <w:t>міської ради</w:t>
      </w:r>
      <w:r w:rsidR="002909CE" w:rsidRPr="00762B39">
        <w:rPr>
          <w:sz w:val="28"/>
          <w:szCs w:val="28"/>
          <w:lang w:val="uk-UA"/>
        </w:rPr>
        <w:t>.</w:t>
      </w:r>
    </w:p>
    <w:p w:rsidR="00AC01CF" w:rsidRPr="00762B39" w:rsidRDefault="00CD5D76" w:rsidP="00CD5D76">
      <w:pPr>
        <w:pStyle w:val="ab"/>
        <w:jc w:val="both"/>
        <w:rPr>
          <w:b/>
          <w:sz w:val="28"/>
          <w:szCs w:val="28"/>
          <w:lang w:val="uk-UA"/>
        </w:rPr>
      </w:pPr>
      <w:r w:rsidRPr="00762B39">
        <w:rPr>
          <w:b/>
          <w:sz w:val="28"/>
          <w:szCs w:val="28"/>
          <w:lang w:val="uk-UA"/>
        </w:rPr>
        <w:t>8</w:t>
      </w:r>
      <w:r w:rsidR="00BE3887" w:rsidRPr="00762B39">
        <w:rPr>
          <w:b/>
          <w:sz w:val="28"/>
          <w:szCs w:val="28"/>
          <w:lang w:val="uk-UA"/>
        </w:rPr>
        <w:t xml:space="preserve">. </w:t>
      </w:r>
      <w:r w:rsidR="00AC01CF" w:rsidRPr="00762B39">
        <w:rPr>
          <w:b/>
          <w:sz w:val="28"/>
          <w:szCs w:val="28"/>
          <w:lang w:val="uk-UA"/>
        </w:rPr>
        <w:t>Кількісні та якісні значення показників результативності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144"/>
      </w:tblGrid>
      <w:tr w:rsidR="00B34051" w:rsidRPr="00762B39" w:rsidTr="00AE394A">
        <w:trPr>
          <w:trHeight w:val="316"/>
        </w:trPr>
        <w:tc>
          <w:tcPr>
            <w:tcW w:w="7196" w:type="dxa"/>
            <w:shd w:val="clear" w:color="auto" w:fill="auto"/>
          </w:tcPr>
          <w:p w:rsidR="00B34051" w:rsidRPr="00762B39" w:rsidRDefault="00B34051" w:rsidP="00AC01CF">
            <w:pPr>
              <w:pStyle w:val="ab"/>
              <w:jc w:val="center"/>
              <w:rPr>
                <w:sz w:val="28"/>
                <w:szCs w:val="28"/>
              </w:rPr>
            </w:pPr>
            <w:r w:rsidRPr="00762B39">
              <w:rPr>
                <w:sz w:val="28"/>
                <w:szCs w:val="28"/>
                <w:lang w:val="uk-UA"/>
              </w:rPr>
              <w:t>Показник</w:t>
            </w:r>
          </w:p>
        </w:tc>
        <w:tc>
          <w:tcPr>
            <w:tcW w:w="2144" w:type="dxa"/>
            <w:shd w:val="clear" w:color="auto" w:fill="auto"/>
          </w:tcPr>
          <w:p w:rsidR="00B34051" w:rsidRPr="00762B39" w:rsidRDefault="005A4437" w:rsidP="00AC01CF">
            <w:pPr>
              <w:pStyle w:val="ab"/>
              <w:jc w:val="center"/>
              <w:rPr>
                <w:sz w:val="28"/>
                <w:szCs w:val="28"/>
              </w:rPr>
            </w:pPr>
            <w:r w:rsidRPr="00762B39">
              <w:rPr>
                <w:sz w:val="28"/>
                <w:szCs w:val="28"/>
                <w:lang w:val="uk-UA"/>
              </w:rPr>
              <w:t>2020</w:t>
            </w:r>
            <w:r w:rsidR="00B34051" w:rsidRPr="00762B39">
              <w:rPr>
                <w:sz w:val="28"/>
                <w:szCs w:val="28"/>
                <w:lang w:val="uk-UA"/>
              </w:rPr>
              <w:t xml:space="preserve"> рік</w:t>
            </w:r>
          </w:p>
        </w:tc>
      </w:tr>
      <w:tr w:rsidR="00CA3100" w:rsidRPr="00762B39" w:rsidTr="00AE394A">
        <w:trPr>
          <w:trHeight w:val="316"/>
        </w:trPr>
        <w:tc>
          <w:tcPr>
            <w:tcW w:w="7196" w:type="dxa"/>
            <w:shd w:val="clear" w:color="auto" w:fill="auto"/>
          </w:tcPr>
          <w:p w:rsidR="00CA3100" w:rsidRPr="00762B39" w:rsidRDefault="00AE394A" w:rsidP="00CA3100">
            <w:pPr>
              <w:pStyle w:val="ab"/>
              <w:rPr>
                <w:sz w:val="28"/>
                <w:szCs w:val="28"/>
                <w:lang w:val="uk-UA"/>
              </w:rPr>
            </w:pPr>
            <w:r w:rsidRPr="00762B39">
              <w:rPr>
                <w:sz w:val="28"/>
                <w:szCs w:val="26"/>
                <w:lang w:val="uk-UA" w:eastAsia="uk-UA"/>
              </w:rPr>
              <w:t>Розмір надходжень до державного та місцевих бюджетів і державних цільових фондів, пов’язаних з дією акта</w:t>
            </w:r>
          </w:p>
        </w:tc>
        <w:tc>
          <w:tcPr>
            <w:tcW w:w="2144" w:type="dxa"/>
            <w:shd w:val="clear" w:color="auto" w:fill="auto"/>
            <w:vAlign w:val="center"/>
          </w:tcPr>
          <w:p w:rsidR="00CA3100" w:rsidRPr="00762B39" w:rsidRDefault="00315B84" w:rsidP="00FC392E">
            <w:pPr>
              <w:pStyle w:val="ab"/>
              <w:jc w:val="center"/>
              <w:rPr>
                <w:sz w:val="28"/>
                <w:szCs w:val="28"/>
                <w:lang w:val="uk-UA"/>
              </w:rPr>
            </w:pPr>
            <w:r w:rsidRPr="00762B39">
              <w:rPr>
                <w:sz w:val="28"/>
                <w:szCs w:val="28"/>
                <w:lang w:val="uk-UA"/>
              </w:rPr>
              <w:t>-</w:t>
            </w:r>
          </w:p>
        </w:tc>
      </w:tr>
      <w:tr w:rsidR="00CA3100" w:rsidRPr="00762B39" w:rsidTr="00AE394A">
        <w:trPr>
          <w:trHeight w:val="316"/>
        </w:trPr>
        <w:tc>
          <w:tcPr>
            <w:tcW w:w="7196" w:type="dxa"/>
            <w:shd w:val="clear" w:color="auto" w:fill="auto"/>
          </w:tcPr>
          <w:p w:rsidR="00CA3100" w:rsidRPr="00762B39" w:rsidRDefault="00AE394A" w:rsidP="00CA3100">
            <w:pPr>
              <w:pStyle w:val="ab"/>
              <w:rPr>
                <w:sz w:val="28"/>
                <w:szCs w:val="28"/>
                <w:lang w:val="uk-UA"/>
              </w:rPr>
            </w:pPr>
            <w:r w:rsidRPr="00762B39">
              <w:rPr>
                <w:sz w:val="32"/>
                <w:szCs w:val="28"/>
                <w:lang w:val="uk-UA"/>
              </w:rPr>
              <w:t>К</w:t>
            </w:r>
            <w:r w:rsidRPr="00762B39">
              <w:rPr>
                <w:sz w:val="28"/>
                <w:szCs w:val="26"/>
                <w:lang w:val="uk-UA" w:eastAsia="uk-UA"/>
              </w:rPr>
              <w:t>ількість суб’єктів господарювання та/або фізичних осіб, на яких поширюватиметься дія акта</w:t>
            </w:r>
          </w:p>
        </w:tc>
        <w:tc>
          <w:tcPr>
            <w:tcW w:w="2144" w:type="dxa"/>
            <w:shd w:val="clear" w:color="auto" w:fill="auto"/>
            <w:vAlign w:val="center"/>
          </w:tcPr>
          <w:p w:rsidR="00CA3100" w:rsidRPr="00762B39" w:rsidRDefault="00AE394A" w:rsidP="00FC392E">
            <w:pPr>
              <w:pStyle w:val="ab"/>
              <w:jc w:val="center"/>
              <w:rPr>
                <w:sz w:val="28"/>
                <w:szCs w:val="28"/>
                <w:lang w:val="uk-UA"/>
              </w:rPr>
            </w:pPr>
            <w:r w:rsidRPr="00762B39">
              <w:rPr>
                <w:sz w:val="28"/>
                <w:szCs w:val="28"/>
                <w:lang w:val="uk-UA"/>
              </w:rPr>
              <w:t>24</w:t>
            </w:r>
          </w:p>
        </w:tc>
      </w:tr>
      <w:tr w:rsidR="00CA3100" w:rsidRPr="00762B39" w:rsidTr="00AE394A">
        <w:trPr>
          <w:trHeight w:val="316"/>
        </w:trPr>
        <w:tc>
          <w:tcPr>
            <w:tcW w:w="7196" w:type="dxa"/>
            <w:shd w:val="clear" w:color="auto" w:fill="auto"/>
          </w:tcPr>
          <w:p w:rsidR="00CA3100" w:rsidRPr="00762B39" w:rsidRDefault="00AE394A" w:rsidP="00CA3100">
            <w:pPr>
              <w:pStyle w:val="ab"/>
              <w:rPr>
                <w:sz w:val="28"/>
                <w:szCs w:val="28"/>
                <w:lang w:val="uk-UA"/>
              </w:rPr>
            </w:pPr>
            <w:proofErr w:type="gramStart"/>
            <w:r w:rsidRPr="00762B39">
              <w:rPr>
                <w:sz w:val="28"/>
                <w:szCs w:val="26"/>
                <w:lang w:eastAsia="uk-UA"/>
              </w:rPr>
              <w:t>Р</w:t>
            </w:r>
            <w:proofErr w:type="spellStart"/>
            <w:proofErr w:type="gramEnd"/>
            <w:r w:rsidRPr="00762B39">
              <w:rPr>
                <w:sz w:val="28"/>
                <w:szCs w:val="26"/>
                <w:lang w:val="uk-UA" w:eastAsia="uk-UA"/>
              </w:rPr>
              <w:t>івень</w:t>
            </w:r>
            <w:proofErr w:type="spellEnd"/>
            <w:r w:rsidRPr="00762B39">
              <w:rPr>
                <w:sz w:val="28"/>
                <w:szCs w:val="26"/>
                <w:lang w:val="uk-UA" w:eastAsia="uk-UA"/>
              </w:rPr>
              <w:t xml:space="preserve"> поінформованості суб’єктів господарювання та/або фізичних осіб з основних положень акта</w:t>
            </w:r>
          </w:p>
        </w:tc>
        <w:tc>
          <w:tcPr>
            <w:tcW w:w="2144" w:type="dxa"/>
            <w:shd w:val="clear" w:color="auto" w:fill="auto"/>
            <w:vAlign w:val="center"/>
          </w:tcPr>
          <w:p w:rsidR="009B7021" w:rsidRPr="00762B39" w:rsidRDefault="009B7021" w:rsidP="009B7021">
            <w:pPr>
              <w:pStyle w:val="ab"/>
              <w:jc w:val="center"/>
              <w:rPr>
                <w:sz w:val="28"/>
                <w:szCs w:val="28"/>
                <w:lang w:val="uk-UA"/>
              </w:rPr>
            </w:pPr>
            <w:r w:rsidRPr="00762B39">
              <w:rPr>
                <w:sz w:val="28"/>
                <w:szCs w:val="28"/>
                <w:lang w:val="uk-UA"/>
              </w:rPr>
              <w:t>(прогнозовано)</w:t>
            </w:r>
          </w:p>
          <w:p w:rsidR="00CA3100" w:rsidRPr="00762B39" w:rsidRDefault="009B7021" w:rsidP="009B7021">
            <w:pPr>
              <w:pStyle w:val="ab"/>
              <w:jc w:val="center"/>
              <w:rPr>
                <w:sz w:val="28"/>
                <w:szCs w:val="28"/>
                <w:lang w:val="uk-UA"/>
              </w:rPr>
            </w:pPr>
            <w:r w:rsidRPr="00762B39">
              <w:rPr>
                <w:sz w:val="28"/>
                <w:szCs w:val="28"/>
                <w:lang w:val="uk-UA"/>
              </w:rPr>
              <w:t xml:space="preserve"> 100</w:t>
            </w:r>
          </w:p>
        </w:tc>
      </w:tr>
      <w:tr w:rsidR="00CA3100" w:rsidRPr="00762B39" w:rsidTr="00AE394A">
        <w:trPr>
          <w:trHeight w:val="316"/>
        </w:trPr>
        <w:tc>
          <w:tcPr>
            <w:tcW w:w="7196" w:type="dxa"/>
            <w:shd w:val="clear" w:color="auto" w:fill="auto"/>
          </w:tcPr>
          <w:p w:rsidR="00CA3100" w:rsidRPr="00762B39" w:rsidRDefault="00AE394A" w:rsidP="009B7021">
            <w:pPr>
              <w:pStyle w:val="Default"/>
              <w:jc w:val="both"/>
              <w:rPr>
                <w:color w:val="auto"/>
                <w:sz w:val="28"/>
                <w:szCs w:val="28"/>
              </w:rPr>
            </w:pPr>
            <w:r w:rsidRPr="00762B39">
              <w:rPr>
                <w:rFonts w:eastAsia="Times New Roman"/>
                <w:color w:val="auto"/>
                <w:sz w:val="28"/>
                <w:szCs w:val="26"/>
                <w:lang w:eastAsia="uk-UA"/>
              </w:rPr>
              <w:t>Кількість суб’єктів господарювання (операторів, провайдерів), які здійснюють доступ до елементів інфраструктури об’єктів доступу</w:t>
            </w:r>
            <w:r w:rsidR="00CD5D76" w:rsidRPr="00762B39">
              <w:rPr>
                <w:rFonts w:eastAsia="Times New Roman"/>
                <w:color w:val="auto"/>
                <w:sz w:val="28"/>
                <w:szCs w:val="26"/>
                <w:lang w:eastAsia="uk-UA"/>
              </w:rPr>
              <w:t>*</w:t>
            </w:r>
          </w:p>
        </w:tc>
        <w:tc>
          <w:tcPr>
            <w:tcW w:w="2144" w:type="dxa"/>
            <w:shd w:val="clear" w:color="auto" w:fill="auto"/>
            <w:vAlign w:val="center"/>
          </w:tcPr>
          <w:p w:rsidR="00CA3100" w:rsidRPr="00762B39" w:rsidRDefault="00FA359D" w:rsidP="00FC392E">
            <w:pPr>
              <w:pStyle w:val="ab"/>
              <w:jc w:val="center"/>
              <w:rPr>
                <w:sz w:val="28"/>
                <w:szCs w:val="28"/>
                <w:lang w:val="uk-UA"/>
              </w:rPr>
            </w:pPr>
            <w:r w:rsidRPr="00762B39">
              <w:rPr>
                <w:sz w:val="28"/>
                <w:szCs w:val="28"/>
                <w:lang w:val="uk-UA"/>
              </w:rPr>
              <w:t>19</w:t>
            </w:r>
          </w:p>
        </w:tc>
      </w:tr>
      <w:tr w:rsidR="00B34051" w:rsidRPr="00762B39" w:rsidTr="00AE394A">
        <w:trPr>
          <w:trHeight w:val="963"/>
        </w:trPr>
        <w:tc>
          <w:tcPr>
            <w:tcW w:w="7196" w:type="dxa"/>
            <w:shd w:val="clear" w:color="auto" w:fill="auto"/>
            <w:vAlign w:val="center"/>
          </w:tcPr>
          <w:p w:rsidR="002909CE" w:rsidRPr="00762B39" w:rsidRDefault="00AE394A" w:rsidP="009B7021">
            <w:pPr>
              <w:pStyle w:val="Default"/>
              <w:jc w:val="both"/>
              <w:rPr>
                <w:color w:val="auto"/>
                <w:sz w:val="28"/>
                <w:szCs w:val="28"/>
              </w:rPr>
            </w:pPr>
            <w:r w:rsidRPr="00762B39">
              <w:rPr>
                <w:rFonts w:eastAsia="Times New Roman"/>
                <w:color w:val="auto"/>
                <w:sz w:val="28"/>
                <w:szCs w:val="26"/>
                <w:lang w:eastAsia="uk-UA"/>
              </w:rPr>
              <w:t xml:space="preserve">Кількість виданих технічних умов з доступу та погодження власником інфраструктури об’єкта доступу </w:t>
            </w:r>
            <w:proofErr w:type="spellStart"/>
            <w:r w:rsidRPr="00762B39">
              <w:rPr>
                <w:rFonts w:eastAsia="Times New Roman"/>
                <w:color w:val="auto"/>
                <w:sz w:val="28"/>
                <w:szCs w:val="26"/>
                <w:lang w:eastAsia="uk-UA"/>
              </w:rPr>
              <w:t>проєктної</w:t>
            </w:r>
            <w:proofErr w:type="spellEnd"/>
            <w:r w:rsidRPr="00762B39">
              <w:rPr>
                <w:rFonts w:eastAsia="Times New Roman"/>
                <w:color w:val="auto"/>
                <w:sz w:val="28"/>
                <w:szCs w:val="26"/>
                <w:lang w:eastAsia="uk-UA"/>
              </w:rPr>
              <w:t xml:space="preserve"> документації з доступу</w:t>
            </w:r>
            <w:r w:rsidR="00CD5D76" w:rsidRPr="00762B39">
              <w:rPr>
                <w:rFonts w:eastAsia="Times New Roman"/>
                <w:color w:val="auto"/>
                <w:sz w:val="28"/>
                <w:szCs w:val="26"/>
                <w:lang w:eastAsia="uk-UA"/>
              </w:rPr>
              <w:t>*</w:t>
            </w:r>
          </w:p>
        </w:tc>
        <w:tc>
          <w:tcPr>
            <w:tcW w:w="2144" w:type="dxa"/>
            <w:shd w:val="clear" w:color="auto" w:fill="auto"/>
            <w:vAlign w:val="center"/>
          </w:tcPr>
          <w:p w:rsidR="00B34051" w:rsidRPr="00762B39" w:rsidRDefault="00BE4B94" w:rsidP="00EF3BAA">
            <w:pPr>
              <w:pStyle w:val="ab"/>
              <w:jc w:val="center"/>
              <w:rPr>
                <w:sz w:val="28"/>
                <w:szCs w:val="28"/>
                <w:lang w:val="uk-UA"/>
              </w:rPr>
            </w:pPr>
            <w:r w:rsidRPr="00762B39">
              <w:rPr>
                <w:sz w:val="28"/>
                <w:szCs w:val="28"/>
                <w:lang w:val="uk-UA"/>
              </w:rPr>
              <w:t>7</w:t>
            </w:r>
          </w:p>
        </w:tc>
      </w:tr>
      <w:tr w:rsidR="00AE394A" w:rsidRPr="00762B39" w:rsidTr="00AE394A">
        <w:trPr>
          <w:trHeight w:val="70"/>
        </w:trPr>
        <w:tc>
          <w:tcPr>
            <w:tcW w:w="7196" w:type="dxa"/>
            <w:shd w:val="clear" w:color="auto" w:fill="auto"/>
            <w:vAlign w:val="center"/>
          </w:tcPr>
          <w:p w:rsidR="00AE394A" w:rsidRPr="00762B39" w:rsidRDefault="00AE394A" w:rsidP="009B7021">
            <w:pPr>
              <w:pStyle w:val="Default"/>
              <w:jc w:val="both"/>
              <w:rPr>
                <w:rFonts w:eastAsia="Times New Roman"/>
                <w:color w:val="auto"/>
                <w:sz w:val="28"/>
                <w:szCs w:val="26"/>
                <w:lang w:eastAsia="uk-UA"/>
              </w:rPr>
            </w:pPr>
            <w:r w:rsidRPr="00762B39">
              <w:rPr>
                <w:rFonts w:eastAsia="Times New Roman"/>
                <w:color w:val="auto"/>
                <w:sz w:val="28"/>
                <w:szCs w:val="26"/>
                <w:lang w:eastAsia="uk-UA"/>
              </w:rPr>
              <w:t>Кількість укладених договорів доступу між власником інфраструктури об’єкта доступу та замовником</w:t>
            </w:r>
            <w:r w:rsidR="00CD5D76" w:rsidRPr="00762B39">
              <w:rPr>
                <w:rFonts w:eastAsia="Times New Roman"/>
                <w:color w:val="auto"/>
                <w:sz w:val="28"/>
                <w:szCs w:val="26"/>
                <w:lang w:eastAsia="uk-UA"/>
              </w:rPr>
              <w:t>*</w:t>
            </w:r>
          </w:p>
        </w:tc>
        <w:tc>
          <w:tcPr>
            <w:tcW w:w="2144" w:type="dxa"/>
            <w:shd w:val="clear" w:color="auto" w:fill="auto"/>
            <w:vAlign w:val="center"/>
          </w:tcPr>
          <w:p w:rsidR="00AE394A" w:rsidRPr="00762B39" w:rsidRDefault="00FA359D" w:rsidP="00EF3BAA">
            <w:pPr>
              <w:pStyle w:val="ab"/>
              <w:jc w:val="center"/>
              <w:rPr>
                <w:sz w:val="28"/>
                <w:szCs w:val="28"/>
                <w:lang w:val="uk-UA"/>
              </w:rPr>
            </w:pPr>
            <w:r w:rsidRPr="00762B39">
              <w:rPr>
                <w:sz w:val="28"/>
                <w:szCs w:val="28"/>
                <w:lang w:val="uk-UA"/>
              </w:rPr>
              <w:t>26</w:t>
            </w:r>
          </w:p>
        </w:tc>
      </w:tr>
    </w:tbl>
    <w:p w:rsidR="00CD5D76" w:rsidRPr="00762B39" w:rsidRDefault="00CD5D76" w:rsidP="00CD5D76">
      <w:pPr>
        <w:shd w:val="clear" w:color="auto" w:fill="FDFDFD"/>
        <w:rPr>
          <w:rFonts w:ascii="Conv_Rubik-Regular" w:hAnsi="Conv_Rubik-Regular"/>
          <w:i/>
          <w:sz w:val="26"/>
          <w:szCs w:val="26"/>
          <w:lang w:val="uk-UA" w:eastAsia="uk-UA"/>
        </w:rPr>
      </w:pPr>
      <w:r w:rsidRPr="00762B39">
        <w:rPr>
          <w:rFonts w:ascii="Conv_Rubik-Regular" w:hAnsi="Conv_Rubik-Regular"/>
          <w:i/>
          <w:sz w:val="26"/>
          <w:szCs w:val="26"/>
          <w:lang w:eastAsia="uk-UA"/>
        </w:rPr>
        <w:t xml:space="preserve">*Інформація надана </w:t>
      </w:r>
      <w:r w:rsidRPr="00762B39">
        <w:rPr>
          <w:rFonts w:ascii="Conv_Rubik-Regular" w:hAnsi="Conv_Rubik-Regular"/>
          <w:i/>
          <w:sz w:val="26"/>
          <w:szCs w:val="26"/>
          <w:lang w:val="uk-UA" w:eastAsia="uk-UA"/>
        </w:rPr>
        <w:t xml:space="preserve">комунальними </w:t>
      </w:r>
      <w:proofErr w:type="gramStart"/>
      <w:r w:rsidRPr="00762B39">
        <w:rPr>
          <w:rFonts w:ascii="Conv_Rubik-Regular" w:hAnsi="Conv_Rubik-Regular"/>
          <w:i/>
          <w:sz w:val="26"/>
          <w:szCs w:val="26"/>
          <w:lang w:val="uk-UA" w:eastAsia="uk-UA"/>
        </w:rPr>
        <w:t>п</w:t>
      </w:r>
      <w:proofErr w:type="gramEnd"/>
      <w:r w:rsidRPr="00762B39">
        <w:rPr>
          <w:rFonts w:ascii="Conv_Rubik-Regular" w:hAnsi="Conv_Rubik-Regular"/>
          <w:i/>
          <w:sz w:val="26"/>
          <w:szCs w:val="26"/>
          <w:lang w:val="uk-UA" w:eastAsia="uk-UA"/>
        </w:rPr>
        <w:t xml:space="preserve">ідприємствами </w:t>
      </w:r>
      <w:r w:rsidRPr="00762B39">
        <w:rPr>
          <w:rFonts w:ascii="Conv_Rubik-Regular" w:hAnsi="Conv_Rubik-Regular"/>
          <w:i/>
          <w:sz w:val="26"/>
          <w:szCs w:val="26"/>
          <w:lang w:eastAsia="uk-UA"/>
        </w:rPr>
        <w:t>Житомирськ</w:t>
      </w:r>
      <w:r w:rsidRPr="00762B39">
        <w:rPr>
          <w:rFonts w:ascii="Conv_Rubik-Regular" w:hAnsi="Conv_Rubik-Regular" w:hint="eastAsia"/>
          <w:i/>
          <w:sz w:val="26"/>
          <w:szCs w:val="26"/>
          <w:lang w:eastAsia="uk-UA"/>
        </w:rPr>
        <w:t>ої</w:t>
      </w:r>
      <w:r w:rsidRPr="00762B39">
        <w:rPr>
          <w:rFonts w:ascii="Conv_Rubik-Regular" w:hAnsi="Conv_Rubik-Regular"/>
          <w:i/>
          <w:sz w:val="26"/>
          <w:szCs w:val="26"/>
          <w:lang w:val="uk-UA" w:eastAsia="uk-UA"/>
        </w:rPr>
        <w:t xml:space="preserve"> міської ради</w:t>
      </w:r>
    </w:p>
    <w:p w:rsidR="00BE3887" w:rsidRPr="00762B39" w:rsidRDefault="00BE3887" w:rsidP="00AC01CF">
      <w:pPr>
        <w:jc w:val="both"/>
        <w:rPr>
          <w:b/>
          <w:sz w:val="28"/>
          <w:szCs w:val="28"/>
        </w:rPr>
      </w:pPr>
    </w:p>
    <w:p w:rsidR="00AC01CF" w:rsidRPr="00762B39" w:rsidRDefault="00CD5D76" w:rsidP="00575EDC">
      <w:pPr>
        <w:pStyle w:val="ab"/>
        <w:jc w:val="both"/>
        <w:rPr>
          <w:sz w:val="28"/>
          <w:szCs w:val="28"/>
          <w:lang w:val="uk-UA"/>
        </w:rPr>
      </w:pPr>
      <w:r w:rsidRPr="00762B39">
        <w:rPr>
          <w:b/>
          <w:sz w:val="28"/>
          <w:szCs w:val="28"/>
          <w:lang w:val="uk-UA"/>
        </w:rPr>
        <w:t>9</w:t>
      </w:r>
      <w:r w:rsidR="00BE3887" w:rsidRPr="00762B39">
        <w:rPr>
          <w:b/>
          <w:sz w:val="28"/>
          <w:szCs w:val="28"/>
          <w:lang w:val="uk-UA"/>
        </w:rPr>
        <w:t xml:space="preserve">. </w:t>
      </w:r>
      <w:r w:rsidR="00AC01CF" w:rsidRPr="00762B39">
        <w:rPr>
          <w:b/>
          <w:sz w:val="28"/>
          <w:szCs w:val="28"/>
          <w:lang w:val="uk-UA"/>
        </w:rPr>
        <w:t xml:space="preserve">Оцінка результатів реалізації регуляторного акта та ступеня досягнення визначених цілей: </w:t>
      </w:r>
      <w:r w:rsidR="00AC01CF" w:rsidRPr="00762B39">
        <w:rPr>
          <w:sz w:val="28"/>
          <w:szCs w:val="28"/>
          <w:lang w:val="uk-UA"/>
        </w:rPr>
        <w:t>буде проводитися при повторному та періодичному відстеженнях результативності регуляторного акта.</w:t>
      </w:r>
    </w:p>
    <w:p w:rsidR="00AC01CF" w:rsidRPr="00762B39" w:rsidRDefault="00AC01CF" w:rsidP="00AC01CF">
      <w:pPr>
        <w:pStyle w:val="ab"/>
        <w:rPr>
          <w:sz w:val="28"/>
          <w:szCs w:val="28"/>
          <w:lang w:val="uk-UA"/>
        </w:rPr>
      </w:pPr>
    </w:p>
    <w:p w:rsidR="00CD5D76" w:rsidRPr="00762B39" w:rsidRDefault="00CD5D76" w:rsidP="00AC01CF">
      <w:pPr>
        <w:pStyle w:val="ab"/>
        <w:rPr>
          <w:sz w:val="28"/>
          <w:szCs w:val="28"/>
          <w:lang w:val="uk-UA"/>
        </w:rPr>
      </w:pPr>
    </w:p>
    <w:p w:rsidR="00CD5D76" w:rsidRPr="00762B39" w:rsidRDefault="00CD5D76" w:rsidP="00AC01CF">
      <w:pPr>
        <w:pStyle w:val="ab"/>
        <w:rPr>
          <w:sz w:val="28"/>
          <w:szCs w:val="28"/>
          <w:lang w:val="uk-UA"/>
        </w:rPr>
      </w:pPr>
    </w:p>
    <w:p w:rsidR="00CD5D76" w:rsidRPr="00762B39" w:rsidRDefault="00CD5D76" w:rsidP="00CD5D76">
      <w:pPr>
        <w:pStyle w:val="ab"/>
        <w:jc w:val="center"/>
        <w:rPr>
          <w:sz w:val="28"/>
          <w:szCs w:val="28"/>
          <w:lang w:val="uk-UA"/>
        </w:rPr>
      </w:pPr>
      <w:r w:rsidRPr="00762B39">
        <w:rPr>
          <w:sz w:val="28"/>
          <w:szCs w:val="28"/>
          <w:lang w:val="uk-UA"/>
        </w:rPr>
        <w:t xml:space="preserve">Міський голова </w:t>
      </w:r>
      <w:r w:rsidRPr="00762B39">
        <w:rPr>
          <w:sz w:val="28"/>
          <w:szCs w:val="28"/>
          <w:lang w:val="uk-UA"/>
        </w:rPr>
        <w:tab/>
      </w:r>
      <w:r w:rsidRPr="00762B39">
        <w:rPr>
          <w:sz w:val="28"/>
          <w:szCs w:val="28"/>
          <w:lang w:val="uk-UA"/>
        </w:rPr>
        <w:tab/>
      </w:r>
      <w:r w:rsidRPr="00762B39">
        <w:rPr>
          <w:sz w:val="28"/>
          <w:szCs w:val="28"/>
          <w:lang w:val="uk-UA"/>
        </w:rPr>
        <w:tab/>
      </w:r>
      <w:r w:rsidRPr="00762B39">
        <w:rPr>
          <w:sz w:val="28"/>
          <w:szCs w:val="28"/>
          <w:lang w:val="uk-UA"/>
        </w:rPr>
        <w:tab/>
      </w:r>
      <w:r w:rsidRPr="00762B39">
        <w:rPr>
          <w:sz w:val="28"/>
          <w:szCs w:val="28"/>
          <w:lang w:val="uk-UA"/>
        </w:rPr>
        <w:tab/>
      </w:r>
      <w:r w:rsidRPr="00762B39">
        <w:rPr>
          <w:sz w:val="28"/>
          <w:szCs w:val="28"/>
          <w:lang w:val="uk-UA"/>
        </w:rPr>
        <w:tab/>
      </w:r>
      <w:r w:rsidRPr="00762B39">
        <w:rPr>
          <w:sz w:val="28"/>
          <w:szCs w:val="28"/>
          <w:lang w:val="uk-UA"/>
        </w:rPr>
        <w:tab/>
        <w:t>Сергій СУХОМЛИН</w:t>
      </w: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CD5D76" w:rsidRPr="00762B39" w:rsidRDefault="00CD5D76" w:rsidP="00CD5D76">
      <w:pPr>
        <w:pStyle w:val="ab"/>
        <w:jc w:val="center"/>
        <w:rPr>
          <w:sz w:val="28"/>
          <w:szCs w:val="28"/>
          <w:lang w:val="uk-UA"/>
        </w:rPr>
      </w:pPr>
    </w:p>
    <w:p w:rsidR="0060515C" w:rsidRPr="00762B39" w:rsidRDefault="0060515C" w:rsidP="004F65FD">
      <w:pPr>
        <w:shd w:val="clear" w:color="auto" w:fill="FFFFFF"/>
        <w:spacing w:before="58"/>
        <w:rPr>
          <w:sz w:val="28"/>
          <w:szCs w:val="28"/>
          <w:lang w:val="uk-UA"/>
        </w:rPr>
      </w:pPr>
    </w:p>
    <w:p w:rsidR="00876723" w:rsidRPr="00762B39" w:rsidRDefault="00BE3887">
      <w:pPr>
        <w:pStyle w:val="ab"/>
        <w:jc w:val="both"/>
        <w:rPr>
          <w:lang w:val="uk-UA"/>
        </w:rPr>
      </w:pPr>
      <w:r w:rsidRPr="00762B39">
        <w:rPr>
          <w:lang w:val="uk-UA"/>
        </w:rPr>
        <w:t>Заступник міського голови</w:t>
      </w:r>
    </w:p>
    <w:p w:rsidR="00BE3887" w:rsidRPr="00762B39" w:rsidRDefault="00BE3887">
      <w:pPr>
        <w:pStyle w:val="ab"/>
        <w:jc w:val="both"/>
        <w:rPr>
          <w:lang w:val="uk-UA"/>
        </w:rPr>
      </w:pPr>
      <w:r w:rsidRPr="00762B39">
        <w:rPr>
          <w:lang w:val="uk-UA"/>
        </w:rPr>
        <w:t>з питань діяльності</w:t>
      </w:r>
    </w:p>
    <w:p w:rsidR="00CD5D76" w:rsidRPr="00762B39" w:rsidRDefault="00BE3887">
      <w:pPr>
        <w:pStyle w:val="ab"/>
        <w:jc w:val="both"/>
        <w:rPr>
          <w:lang w:val="uk-UA"/>
        </w:rPr>
      </w:pPr>
      <w:r w:rsidRPr="00762B39">
        <w:rPr>
          <w:lang w:val="uk-UA"/>
        </w:rPr>
        <w:t xml:space="preserve">виконавчих органів ради </w:t>
      </w:r>
      <w:r w:rsidR="00AE394A" w:rsidRPr="00762B39">
        <w:rPr>
          <w:lang w:val="uk-UA"/>
        </w:rPr>
        <w:tab/>
      </w:r>
      <w:r w:rsidR="00AE394A" w:rsidRPr="00762B39">
        <w:rPr>
          <w:lang w:val="uk-UA"/>
        </w:rPr>
        <w:tab/>
      </w:r>
      <w:r w:rsidR="00AE394A" w:rsidRPr="00762B39">
        <w:rPr>
          <w:lang w:val="uk-UA"/>
        </w:rPr>
        <w:tab/>
      </w:r>
      <w:r w:rsidR="00AE394A" w:rsidRPr="00762B39">
        <w:rPr>
          <w:lang w:val="uk-UA"/>
        </w:rPr>
        <w:tab/>
      </w:r>
      <w:r w:rsidR="00AA5654" w:rsidRPr="00762B39">
        <w:rPr>
          <w:lang w:val="uk-UA"/>
        </w:rPr>
        <w:tab/>
      </w:r>
    </w:p>
    <w:p w:rsidR="00BE3887" w:rsidRPr="00762B39" w:rsidRDefault="00AE394A">
      <w:pPr>
        <w:pStyle w:val="ab"/>
        <w:jc w:val="both"/>
        <w:rPr>
          <w:lang w:val="uk-UA"/>
        </w:rPr>
      </w:pPr>
      <w:r w:rsidRPr="00762B39">
        <w:rPr>
          <w:lang w:val="uk-UA"/>
        </w:rPr>
        <w:t>Олександр ШЕВЧУК</w:t>
      </w:r>
    </w:p>
    <w:p w:rsidR="00AE394A" w:rsidRPr="00762B39" w:rsidRDefault="00AE394A">
      <w:pPr>
        <w:pStyle w:val="ab"/>
        <w:jc w:val="both"/>
        <w:rPr>
          <w:lang w:val="uk-UA"/>
        </w:rPr>
      </w:pPr>
    </w:p>
    <w:p w:rsidR="00D20882" w:rsidRPr="00762B39" w:rsidRDefault="00FA359D">
      <w:pPr>
        <w:pStyle w:val="ab"/>
        <w:jc w:val="both"/>
        <w:rPr>
          <w:lang w:val="uk-UA"/>
        </w:rPr>
      </w:pPr>
      <w:r w:rsidRPr="00762B39">
        <w:rPr>
          <w:lang w:val="uk-UA"/>
        </w:rPr>
        <w:t>Заступник н</w:t>
      </w:r>
      <w:r w:rsidR="00D20882" w:rsidRPr="00762B39">
        <w:rPr>
          <w:lang w:val="uk-UA"/>
        </w:rPr>
        <w:t>ачальник</w:t>
      </w:r>
      <w:r w:rsidRPr="00762B39">
        <w:rPr>
          <w:lang w:val="uk-UA"/>
        </w:rPr>
        <w:t>а</w:t>
      </w:r>
      <w:r w:rsidR="00D20882" w:rsidRPr="00762B39">
        <w:rPr>
          <w:lang w:val="uk-UA"/>
        </w:rPr>
        <w:t xml:space="preserve"> </w:t>
      </w:r>
      <w:proofErr w:type="spellStart"/>
      <w:r w:rsidR="00792C5E" w:rsidRPr="00762B39">
        <w:rPr>
          <w:lang w:val="uk-UA"/>
        </w:rPr>
        <w:t>УТіЗ</w:t>
      </w:r>
      <w:proofErr w:type="spellEnd"/>
      <w:r w:rsidR="00D20882" w:rsidRPr="00762B39">
        <w:rPr>
          <w:lang w:val="uk-UA"/>
        </w:rPr>
        <w:t xml:space="preserve"> ЖМР </w:t>
      </w:r>
    </w:p>
    <w:p w:rsidR="00D20882" w:rsidRPr="00762B39" w:rsidRDefault="00FA359D">
      <w:pPr>
        <w:pStyle w:val="ab"/>
        <w:jc w:val="both"/>
        <w:rPr>
          <w:lang w:val="uk-UA"/>
        </w:rPr>
      </w:pPr>
      <w:r w:rsidRPr="00762B39">
        <w:rPr>
          <w:lang w:val="uk-UA"/>
        </w:rPr>
        <w:t>Валентин ВАСЯНОВИЧ</w:t>
      </w:r>
      <w:r w:rsidR="00AE394A" w:rsidRPr="00762B39">
        <w:rPr>
          <w:lang w:val="uk-UA"/>
        </w:rPr>
        <w:t xml:space="preserve"> </w:t>
      </w:r>
      <w:bookmarkStart w:id="0" w:name="_GoBack"/>
      <w:bookmarkEnd w:id="0"/>
    </w:p>
    <w:sectPr w:rsidR="00D20882" w:rsidRPr="00762B39" w:rsidSect="00CD5D76">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A3ED8"/>
    <w:multiLevelType w:val="multilevel"/>
    <w:tmpl w:val="3C0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65F26"/>
    <w:rsid w:val="000154BD"/>
    <w:rsid w:val="0001625A"/>
    <w:rsid w:val="000532D1"/>
    <w:rsid w:val="00066F9B"/>
    <w:rsid w:val="000C1ABA"/>
    <w:rsid w:val="002909CE"/>
    <w:rsid w:val="00315B84"/>
    <w:rsid w:val="00465D43"/>
    <w:rsid w:val="00472751"/>
    <w:rsid w:val="004F056F"/>
    <w:rsid w:val="004F65FD"/>
    <w:rsid w:val="005416CE"/>
    <w:rsid w:val="00565F26"/>
    <w:rsid w:val="00575EDC"/>
    <w:rsid w:val="005A4437"/>
    <w:rsid w:val="0060515C"/>
    <w:rsid w:val="006125BE"/>
    <w:rsid w:val="006A30F0"/>
    <w:rsid w:val="006A6831"/>
    <w:rsid w:val="0070155C"/>
    <w:rsid w:val="007340B0"/>
    <w:rsid w:val="00762B39"/>
    <w:rsid w:val="00774207"/>
    <w:rsid w:val="007906F6"/>
    <w:rsid w:val="00792C5E"/>
    <w:rsid w:val="00821D64"/>
    <w:rsid w:val="00876723"/>
    <w:rsid w:val="0092725D"/>
    <w:rsid w:val="00943E13"/>
    <w:rsid w:val="009B7021"/>
    <w:rsid w:val="009F4666"/>
    <w:rsid w:val="00AA5654"/>
    <w:rsid w:val="00AC01CF"/>
    <w:rsid w:val="00AE394A"/>
    <w:rsid w:val="00B15AA9"/>
    <w:rsid w:val="00B34051"/>
    <w:rsid w:val="00B34251"/>
    <w:rsid w:val="00B707B1"/>
    <w:rsid w:val="00BC317E"/>
    <w:rsid w:val="00BE3887"/>
    <w:rsid w:val="00BE4B94"/>
    <w:rsid w:val="00C76075"/>
    <w:rsid w:val="00CA3100"/>
    <w:rsid w:val="00CC0CAC"/>
    <w:rsid w:val="00CD5D76"/>
    <w:rsid w:val="00D20882"/>
    <w:rsid w:val="00ED3AA5"/>
    <w:rsid w:val="00EF3BAA"/>
    <w:rsid w:val="00F814CD"/>
    <w:rsid w:val="00F9526B"/>
    <w:rsid w:val="00F96FC8"/>
    <w:rsid w:val="00FA359D"/>
    <w:rsid w:val="00FC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5C"/>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155C"/>
    <w:rPr>
      <w:rFonts w:ascii="Times New Roman" w:eastAsia="Times New Roman" w:hAnsi="Times New Roman" w:cs="Times New Roman"/>
    </w:rPr>
  </w:style>
  <w:style w:type="character" w:customStyle="1" w:styleId="WW8Num1z1">
    <w:name w:val="WW8Num1z1"/>
    <w:rsid w:val="0070155C"/>
    <w:rPr>
      <w:rFonts w:ascii="Courier New" w:hAnsi="Courier New" w:cs="Courier New"/>
    </w:rPr>
  </w:style>
  <w:style w:type="character" w:customStyle="1" w:styleId="WW8Num1z2">
    <w:name w:val="WW8Num1z2"/>
    <w:rsid w:val="0070155C"/>
    <w:rPr>
      <w:rFonts w:ascii="Wingdings" w:hAnsi="Wingdings" w:cs="Wingdings"/>
    </w:rPr>
  </w:style>
  <w:style w:type="character" w:customStyle="1" w:styleId="WW8Num1z3">
    <w:name w:val="WW8Num1z3"/>
    <w:rsid w:val="0070155C"/>
    <w:rPr>
      <w:rFonts w:ascii="Symbol" w:hAnsi="Symbol" w:cs="Symbol"/>
    </w:rPr>
  </w:style>
  <w:style w:type="character" w:customStyle="1" w:styleId="1">
    <w:name w:val="Основной шрифт абзаца1"/>
    <w:rsid w:val="0070155C"/>
  </w:style>
  <w:style w:type="character" w:customStyle="1" w:styleId="a3">
    <w:name w:val="Знак Знак"/>
    <w:rsid w:val="0070155C"/>
    <w:rPr>
      <w:rFonts w:ascii="Cambria" w:hAnsi="Cambria" w:cs="Cambria"/>
      <w:sz w:val="24"/>
      <w:szCs w:val="24"/>
      <w:lang w:val="en-US"/>
    </w:rPr>
  </w:style>
  <w:style w:type="character" w:styleId="a4">
    <w:name w:val="Hyperlink"/>
    <w:rsid w:val="0070155C"/>
    <w:rPr>
      <w:color w:val="000080"/>
      <w:u w:val="single"/>
    </w:rPr>
  </w:style>
  <w:style w:type="paragraph" w:customStyle="1" w:styleId="a5">
    <w:name w:val="Заголовок"/>
    <w:basedOn w:val="a"/>
    <w:next w:val="a6"/>
    <w:rsid w:val="0070155C"/>
    <w:pPr>
      <w:keepNext/>
      <w:spacing w:before="240" w:after="120"/>
    </w:pPr>
    <w:rPr>
      <w:rFonts w:ascii="Liberation Sans" w:eastAsia="Microsoft YaHei" w:hAnsi="Liberation Sans" w:cs="Arial"/>
      <w:sz w:val="28"/>
      <w:szCs w:val="28"/>
    </w:rPr>
  </w:style>
  <w:style w:type="paragraph" w:styleId="a6">
    <w:name w:val="Body Text"/>
    <w:basedOn w:val="a"/>
    <w:rsid w:val="0070155C"/>
    <w:pPr>
      <w:spacing w:after="140" w:line="276" w:lineRule="auto"/>
    </w:pPr>
  </w:style>
  <w:style w:type="paragraph" w:styleId="a7">
    <w:name w:val="List"/>
    <w:basedOn w:val="a6"/>
    <w:rsid w:val="0070155C"/>
    <w:rPr>
      <w:rFonts w:cs="Arial"/>
    </w:rPr>
  </w:style>
  <w:style w:type="paragraph" w:styleId="a8">
    <w:name w:val="caption"/>
    <w:basedOn w:val="a"/>
    <w:qFormat/>
    <w:rsid w:val="0070155C"/>
    <w:pPr>
      <w:suppressLineNumbers/>
      <w:spacing w:before="120" w:after="120"/>
    </w:pPr>
    <w:rPr>
      <w:rFonts w:cs="Arial"/>
      <w:i/>
      <w:iCs/>
    </w:rPr>
  </w:style>
  <w:style w:type="paragraph" w:customStyle="1" w:styleId="10">
    <w:name w:val="Указатель1"/>
    <w:basedOn w:val="a"/>
    <w:rsid w:val="0070155C"/>
    <w:pPr>
      <w:suppressLineNumbers/>
    </w:pPr>
    <w:rPr>
      <w:rFonts w:cs="Arial"/>
    </w:rPr>
  </w:style>
  <w:style w:type="paragraph" w:styleId="a9">
    <w:name w:val="Normal (Web)"/>
    <w:basedOn w:val="a"/>
    <w:rsid w:val="0070155C"/>
    <w:pPr>
      <w:spacing w:before="280" w:after="280"/>
    </w:pPr>
  </w:style>
  <w:style w:type="paragraph" w:styleId="aa">
    <w:name w:val="Balloon Text"/>
    <w:basedOn w:val="a"/>
    <w:rsid w:val="0070155C"/>
    <w:rPr>
      <w:rFonts w:ascii="Tahoma" w:hAnsi="Tahoma" w:cs="Tahoma"/>
      <w:sz w:val="16"/>
      <w:szCs w:val="16"/>
    </w:rPr>
  </w:style>
  <w:style w:type="paragraph" w:styleId="ab">
    <w:name w:val="No Spacing"/>
    <w:qFormat/>
    <w:rsid w:val="0070155C"/>
    <w:pPr>
      <w:suppressAutoHyphens/>
    </w:pPr>
    <w:rPr>
      <w:sz w:val="24"/>
      <w:szCs w:val="24"/>
      <w:lang w:eastAsia="zh-CN"/>
    </w:rPr>
  </w:style>
  <w:style w:type="paragraph" w:styleId="ac">
    <w:name w:val="Subtitle"/>
    <w:basedOn w:val="a"/>
    <w:next w:val="a"/>
    <w:qFormat/>
    <w:rsid w:val="0070155C"/>
    <w:pPr>
      <w:spacing w:after="60"/>
      <w:jc w:val="center"/>
    </w:pPr>
    <w:rPr>
      <w:rFonts w:ascii="Cambria" w:hAnsi="Cambria" w:cs="Cambria"/>
      <w:lang w:val="en-US"/>
    </w:rPr>
  </w:style>
  <w:style w:type="paragraph" w:customStyle="1" w:styleId="ad">
    <w:name w:val="Содержимое таблицы"/>
    <w:basedOn w:val="a"/>
    <w:rsid w:val="0070155C"/>
    <w:pPr>
      <w:suppressLineNumbers/>
    </w:pPr>
  </w:style>
  <w:style w:type="paragraph" w:customStyle="1" w:styleId="ae">
    <w:name w:val="Заголовок таблицы"/>
    <w:basedOn w:val="ad"/>
    <w:rsid w:val="0070155C"/>
    <w:pPr>
      <w:jc w:val="center"/>
    </w:pPr>
    <w:rPr>
      <w:b/>
      <w:bCs/>
    </w:rPr>
  </w:style>
  <w:style w:type="paragraph" w:customStyle="1" w:styleId="rvps2">
    <w:name w:val="rvps2"/>
    <w:basedOn w:val="a"/>
    <w:rsid w:val="007906F6"/>
    <w:pPr>
      <w:suppressAutoHyphens w:val="0"/>
      <w:spacing w:before="100" w:beforeAutospacing="1" w:after="100" w:afterAutospacing="1"/>
    </w:pPr>
    <w:rPr>
      <w:lang w:eastAsia="ru-RU"/>
    </w:rPr>
  </w:style>
  <w:style w:type="paragraph" w:customStyle="1" w:styleId="Default">
    <w:name w:val="Default"/>
    <w:rsid w:val="009B7021"/>
    <w:pPr>
      <w:autoSpaceDE w:val="0"/>
      <w:autoSpaceDN w:val="0"/>
      <w:adjustRightInd w:val="0"/>
    </w:pPr>
    <w:rPr>
      <w:rFonts w:eastAsiaTheme="minorHAnsi"/>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348F-D94C-4162-8F56-366D89DC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Звіт</vt:lpstr>
    </vt:vector>
  </TitlesOfParts>
  <Company>Microsoft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HP</dc:creator>
  <cp:lastModifiedBy>user1</cp:lastModifiedBy>
  <cp:revision>13</cp:revision>
  <cp:lastPrinted>2021-05-31T13:35:00Z</cp:lastPrinted>
  <dcterms:created xsi:type="dcterms:W3CDTF">2020-01-24T12:14:00Z</dcterms:created>
  <dcterms:modified xsi:type="dcterms:W3CDTF">2021-06-02T12:07:00Z</dcterms:modified>
</cp:coreProperties>
</file>