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D16" w:rsidRPr="00BB4A12" w:rsidRDefault="006259EE" w:rsidP="00F66B63">
      <w:pPr>
        <w:jc w:val="center"/>
        <w:rPr>
          <w:b/>
          <w:bCs/>
          <w:sz w:val="28"/>
          <w:szCs w:val="28"/>
          <w:lang w:val="uk-UA"/>
        </w:rPr>
      </w:pPr>
      <w:r w:rsidRPr="00BB4A12">
        <w:rPr>
          <w:b/>
          <w:bCs/>
          <w:sz w:val="28"/>
          <w:szCs w:val="28"/>
          <w:lang w:val="uk-UA"/>
        </w:rPr>
        <w:t>Звіт про</w:t>
      </w:r>
      <w:r w:rsidR="00911F03" w:rsidRPr="00BB4A12">
        <w:rPr>
          <w:b/>
          <w:bCs/>
          <w:sz w:val="28"/>
          <w:szCs w:val="28"/>
          <w:lang w:val="uk-UA"/>
        </w:rPr>
        <w:t xml:space="preserve"> відстеження</w:t>
      </w:r>
      <w:r w:rsidR="007F5F14" w:rsidRPr="00BB4A12">
        <w:rPr>
          <w:b/>
          <w:bCs/>
          <w:sz w:val="28"/>
          <w:szCs w:val="28"/>
          <w:lang w:val="uk-UA"/>
        </w:rPr>
        <w:t xml:space="preserve"> результативності дії</w:t>
      </w:r>
      <w:r w:rsidR="00911F03" w:rsidRPr="00BB4A12">
        <w:rPr>
          <w:b/>
          <w:bCs/>
          <w:sz w:val="28"/>
          <w:szCs w:val="28"/>
          <w:lang w:val="uk-UA"/>
        </w:rPr>
        <w:t xml:space="preserve"> регуляторного акта </w:t>
      </w:r>
    </w:p>
    <w:p w:rsidR="00F66B63" w:rsidRPr="00BB4A12" w:rsidRDefault="00F66B63" w:rsidP="00911F03">
      <w:pPr>
        <w:rPr>
          <w:sz w:val="20"/>
          <w:szCs w:val="20"/>
          <w:lang w:val="uk-UA"/>
        </w:rPr>
      </w:pPr>
    </w:p>
    <w:p w:rsidR="00911F03" w:rsidRPr="00BB4A12" w:rsidRDefault="00E92FD7" w:rsidP="00911F03">
      <w:pPr>
        <w:rPr>
          <w:sz w:val="28"/>
          <w:szCs w:val="28"/>
          <w:lang w:val="uk-UA"/>
        </w:rPr>
      </w:pPr>
      <w:r>
        <w:rPr>
          <w:sz w:val="28"/>
          <w:szCs w:val="28"/>
          <w:lang w:val="uk-UA"/>
        </w:rPr>
        <w:t>«</w:t>
      </w:r>
      <w:r w:rsidR="00930162">
        <w:rPr>
          <w:sz w:val="28"/>
          <w:szCs w:val="28"/>
          <w:lang w:val="uk-UA"/>
        </w:rPr>
        <w:t>20</w:t>
      </w:r>
      <w:r>
        <w:rPr>
          <w:sz w:val="28"/>
          <w:szCs w:val="28"/>
          <w:lang w:val="uk-UA"/>
        </w:rPr>
        <w:t>»</w:t>
      </w:r>
      <w:r w:rsidR="00911F03" w:rsidRPr="00BB4A12">
        <w:rPr>
          <w:sz w:val="28"/>
          <w:szCs w:val="28"/>
          <w:lang w:val="uk-UA"/>
        </w:rPr>
        <w:t xml:space="preserve"> </w:t>
      </w:r>
      <w:r w:rsidR="00930162">
        <w:rPr>
          <w:sz w:val="28"/>
          <w:szCs w:val="28"/>
          <w:lang w:val="uk-UA"/>
        </w:rPr>
        <w:t>березня</w:t>
      </w:r>
      <w:r w:rsidR="00911F03" w:rsidRPr="00BB4A12">
        <w:rPr>
          <w:sz w:val="28"/>
          <w:szCs w:val="28"/>
          <w:lang w:val="uk-UA"/>
        </w:rPr>
        <w:t xml:space="preserve"> 201</w:t>
      </w:r>
      <w:r w:rsidR="007D35AF">
        <w:rPr>
          <w:sz w:val="28"/>
          <w:szCs w:val="28"/>
          <w:lang w:val="uk-UA"/>
        </w:rPr>
        <w:t>9</w:t>
      </w:r>
      <w:r w:rsidR="00F66B63" w:rsidRPr="00BB4A12">
        <w:rPr>
          <w:sz w:val="28"/>
          <w:szCs w:val="28"/>
          <w:lang w:val="uk-UA"/>
        </w:rPr>
        <w:t xml:space="preserve"> </w:t>
      </w:r>
      <w:r w:rsidR="00911F03" w:rsidRPr="00BB4A12">
        <w:rPr>
          <w:sz w:val="28"/>
          <w:szCs w:val="28"/>
          <w:lang w:val="uk-UA"/>
        </w:rPr>
        <w:t xml:space="preserve">року </w:t>
      </w:r>
      <w:r w:rsidR="00F66B63" w:rsidRPr="00BB4A12">
        <w:rPr>
          <w:sz w:val="28"/>
          <w:szCs w:val="28"/>
          <w:lang w:val="uk-UA"/>
        </w:rPr>
        <w:tab/>
      </w:r>
      <w:r w:rsidR="00F66B63" w:rsidRPr="00BB4A12">
        <w:rPr>
          <w:sz w:val="28"/>
          <w:szCs w:val="28"/>
          <w:lang w:val="uk-UA"/>
        </w:rPr>
        <w:tab/>
      </w:r>
      <w:r>
        <w:rPr>
          <w:sz w:val="28"/>
          <w:szCs w:val="28"/>
          <w:lang w:val="uk-UA"/>
        </w:rPr>
        <w:tab/>
      </w:r>
      <w:r w:rsidR="00F66B63" w:rsidRPr="00BB4A12">
        <w:rPr>
          <w:sz w:val="28"/>
          <w:szCs w:val="28"/>
          <w:lang w:val="uk-UA"/>
        </w:rPr>
        <w:tab/>
      </w:r>
      <w:r w:rsidR="00F66B63" w:rsidRPr="00BB4A12">
        <w:rPr>
          <w:sz w:val="28"/>
          <w:szCs w:val="28"/>
          <w:lang w:val="uk-UA"/>
        </w:rPr>
        <w:tab/>
      </w:r>
      <w:r w:rsidR="00F66B63" w:rsidRPr="00BB4A12">
        <w:rPr>
          <w:sz w:val="28"/>
          <w:szCs w:val="28"/>
          <w:lang w:val="uk-UA"/>
        </w:rPr>
        <w:tab/>
      </w:r>
      <w:r w:rsidR="00911F03" w:rsidRPr="00BB4A12">
        <w:rPr>
          <w:sz w:val="28"/>
          <w:szCs w:val="28"/>
          <w:lang w:val="uk-UA"/>
        </w:rPr>
        <w:t>м. Житомир</w:t>
      </w:r>
    </w:p>
    <w:p w:rsidR="00F66B63" w:rsidRPr="00BB4A12" w:rsidRDefault="00911F03" w:rsidP="004F5D16">
      <w:pPr>
        <w:jc w:val="both"/>
        <w:rPr>
          <w:sz w:val="28"/>
          <w:szCs w:val="28"/>
          <w:lang w:val="uk-UA"/>
        </w:rPr>
      </w:pPr>
      <w:r w:rsidRPr="00BB4A12">
        <w:rPr>
          <w:sz w:val="28"/>
          <w:szCs w:val="28"/>
          <w:lang w:val="uk-UA"/>
        </w:rPr>
        <w:br/>
      </w:r>
      <w:r w:rsidRPr="00BB4A12">
        <w:rPr>
          <w:b/>
          <w:sz w:val="28"/>
          <w:szCs w:val="28"/>
          <w:lang w:val="uk-UA"/>
        </w:rPr>
        <w:t xml:space="preserve">Вид та назва регуляторного акта: </w:t>
      </w:r>
      <w:r w:rsidR="007D35AF" w:rsidRPr="007D35AF">
        <w:rPr>
          <w:sz w:val="28"/>
          <w:szCs w:val="28"/>
          <w:lang w:val="uk-UA"/>
        </w:rPr>
        <w:t>рішення Житомирської міської ради від 08.04.2009 №956 «Про затвердження Положення про порядок встановлення розмірів та справляння орендної плати за земельні ділянки в м. Житомирі, які перебувають у державній або комунальній власності» зі змінами від 07.10.2011 № 195</w:t>
      </w:r>
      <w:r w:rsidR="004F5D16" w:rsidRPr="00BB4A12">
        <w:rPr>
          <w:sz w:val="28"/>
          <w:szCs w:val="28"/>
          <w:lang w:val="uk-UA"/>
        </w:rPr>
        <w:t>.</w:t>
      </w:r>
      <w:r w:rsidRPr="00BB4A12">
        <w:rPr>
          <w:sz w:val="28"/>
          <w:szCs w:val="28"/>
          <w:lang w:val="uk-UA"/>
        </w:rPr>
        <w:t> </w:t>
      </w:r>
    </w:p>
    <w:p w:rsidR="006259EE" w:rsidRPr="00BB4A12" w:rsidRDefault="006259EE" w:rsidP="004F5D16">
      <w:pPr>
        <w:jc w:val="both"/>
        <w:rPr>
          <w:b/>
          <w:sz w:val="20"/>
          <w:szCs w:val="20"/>
          <w:lang w:val="uk-UA"/>
        </w:rPr>
      </w:pPr>
    </w:p>
    <w:p w:rsidR="00F66B63" w:rsidRPr="00BB4A12" w:rsidRDefault="00911F03" w:rsidP="004F5D16">
      <w:pPr>
        <w:jc w:val="both"/>
        <w:rPr>
          <w:sz w:val="28"/>
          <w:szCs w:val="28"/>
          <w:lang w:val="uk-UA"/>
        </w:rPr>
      </w:pPr>
      <w:r w:rsidRPr="00BB4A12">
        <w:rPr>
          <w:b/>
          <w:sz w:val="28"/>
          <w:szCs w:val="28"/>
          <w:lang w:val="uk-UA"/>
        </w:rPr>
        <w:t>Назва виконавця заходів з відстеження:</w:t>
      </w:r>
      <w:r w:rsidRPr="00BB4A12">
        <w:rPr>
          <w:sz w:val="28"/>
          <w:szCs w:val="28"/>
          <w:lang w:val="uk-UA"/>
        </w:rPr>
        <w:t xml:space="preserve"> </w:t>
      </w:r>
      <w:r w:rsidR="00682BAA" w:rsidRPr="00BB4A12">
        <w:rPr>
          <w:sz w:val="28"/>
          <w:szCs w:val="28"/>
          <w:lang w:val="uk-UA"/>
        </w:rPr>
        <w:t>департамент містобудування та</w:t>
      </w:r>
      <w:r w:rsidRPr="00BB4A12">
        <w:rPr>
          <w:sz w:val="28"/>
          <w:szCs w:val="28"/>
          <w:lang w:val="uk-UA"/>
        </w:rPr>
        <w:t xml:space="preserve"> земельних відносин міської ради.</w:t>
      </w:r>
    </w:p>
    <w:p w:rsidR="006259EE" w:rsidRPr="00BB4A12" w:rsidRDefault="006259EE" w:rsidP="004F5D16">
      <w:pPr>
        <w:jc w:val="both"/>
        <w:rPr>
          <w:b/>
          <w:sz w:val="20"/>
          <w:szCs w:val="20"/>
          <w:lang w:val="uk-UA"/>
        </w:rPr>
      </w:pPr>
    </w:p>
    <w:p w:rsidR="00F66B63" w:rsidRPr="00BB4A12" w:rsidRDefault="00911F03" w:rsidP="00682BAA">
      <w:pPr>
        <w:jc w:val="both"/>
        <w:rPr>
          <w:sz w:val="28"/>
          <w:szCs w:val="28"/>
          <w:lang w:val="uk-UA"/>
        </w:rPr>
      </w:pPr>
      <w:r w:rsidRPr="00BB4A12">
        <w:rPr>
          <w:b/>
          <w:sz w:val="28"/>
          <w:szCs w:val="28"/>
          <w:lang w:val="uk-UA"/>
        </w:rPr>
        <w:t>Цілі прийняття акта:</w:t>
      </w:r>
      <w:r w:rsidRPr="00BB4A12">
        <w:rPr>
          <w:sz w:val="28"/>
          <w:szCs w:val="28"/>
          <w:lang w:val="uk-UA"/>
        </w:rPr>
        <w:t xml:space="preserve"> </w:t>
      </w:r>
      <w:r w:rsidR="007D35AF" w:rsidRPr="007D35AF">
        <w:rPr>
          <w:sz w:val="28"/>
          <w:szCs w:val="28"/>
          <w:lang w:val="uk-UA"/>
        </w:rPr>
        <w:t>ціллю прийняття є регулювання та вдосконалення земельних відносин в сфері оренди землі на основі встановлення економічно обґрунтованих ставок орендної плати, диференціації ставок відповідно до цінності земельних ділянок та терміну оренди, встановлення прозорого та чіткого порядку встановлення розмірів та справляння орендної плати</w:t>
      </w:r>
      <w:r w:rsidRPr="00BB4A12">
        <w:rPr>
          <w:sz w:val="28"/>
          <w:szCs w:val="28"/>
          <w:lang w:val="uk-UA"/>
        </w:rPr>
        <w:t>.</w:t>
      </w:r>
    </w:p>
    <w:p w:rsidR="006259EE" w:rsidRPr="00BB4A12" w:rsidRDefault="006259EE" w:rsidP="00911F03">
      <w:pPr>
        <w:rPr>
          <w:b/>
          <w:sz w:val="20"/>
          <w:szCs w:val="20"/>
          <w:lang w:val="uk-UA"/>
        </w:rPr>
      </w:pPr>
    </w:p>
    <w:p w:rsidR="00F66B63" w:rsidRPr="00BB4A12" w:rsidRDefault="00911F03" w:rsidP="00911F03">
      <w:pPr>
        <w:rPr>
          <w:sz w:val="20"/>
          <w:szCs w:val="20"/>
          <w:lang w:val="uk-UA"/>
        </w:rPr>
      </w:pPr>
      <w:r w:rsidRPr="00BB4A12">
        <w:rPr>
          <w:b/>
          <w:sz w:val="28"/>
          <w:szCs w:val="28"/>
          <w:lang w:val="uk-UA"/>
        </w:rPr>
        <w:t>Строк виконання заходів з відстеження:</w:t>
      </w:r>
      <w:r w:rsidRPr="00BB4A12">
        <w:rPr>
          <w:sz w:val="28"/>
          <w:szCs w:val="28"/>
          <w:lang w:val="uk-UA"/>
        </w:rPr>
        <w:t xml:space="preserve"> </w:t>
      </w:r>
      <w:r w:rsidR="007D35AF">
        <w:rPr>
          <w:sz w:val="28"/>
          <w:szCs w:val="28"/>
          <w:lang w:val="uk-UA"/>
        </w:rPr>
        <w:t>20 березня</w:t>
      </w:r>
      <w:r w:rsidRPr="00BB4A12">
        <w:rPr>
          <w:sz w:val="28"/>
          <w:szCs w:val="28"/>
          <w:lang w:val="uk-UA"/>
        </w:rPr>
        <w:t xml:space="preserve"> 201</w:t>
      </w:r>
      <w:r w:rsidR="007D35AF">
        <w:rPr>
          <w:sz w:val="28"/>
          <w:szCs w:val="28"/>
          <w:lang w:val="uk-UA"/>
        </w:rPr>
        <w:t>9</w:t>
      </w:r>
      <w:r w:rsidRPr="00BB4A12">
        <w:rPr>
          <w:sz w:val="28"/>
          <w:szCs w:val="28"/>
          <w:lang w:val="uk-UA"/>
        </w:rPr>
        <w:t xml:space="preserve"> року.</w:t>
      </w:r>
      <w:r w:rsidRPr="00BB4A12">
        <w:rPr>
          <w:sz w:val="28"/>
          <w:szCs w:val="28"/>
          <w:lang w:val="uk-UA"/>
        </w:rPr>
        <w:br/>
      </w:r>
    </w:p>
    <w:p w:rsidR="00F66B63" w:rsidRPr="00BB4A12" w:rsidRDefault="00911F03" w:rsidP="00911F03">
      <w:pPr>
        <w:rPr>
          <w:sz w:val="20"/>
          <w:szCs w:val="20"/>
          <w:lang w:val="uk-UA"/>
        </w:rPr>
      </w:pPr>
      <w:r w:rsidRPr="00BB4A12">
        <w:rPr>
          <w:b/>
          <w:sz w:val="28"/>
          <w:szCs w:val="28"/>
          <w:lang w:val="uk-UA"/>
        </w:rPr>
        <w:t>Тип відстеження:</w:t>
      </w:r>
      <w:r w:rsidRPr="00BB4A12">
        <w:rPr>
          <w:sz w:val="28"/>
          <w:szCs w:val="28"/>
          <w:lang w:val="uk-UA"/>
        </w:rPr>
        <w:t xml:space="preserve"> </w:t>
      </w:r>
      <w:r w:rsidR="00E8719D" w:rsidRPr="00BB4A12">
        <w:rPr>
          <w:sz w:val="28"/>
          <w:szCs w:val="28"/>
          <w:lang w:val="uk-UA"/>
        </w:rPr>
        <w:t>п</w:t>
      </w:r>
      <w:r w:rsidR="007D35AF">
        <w:rPr>
          <w:sz w:val="28"/>
          <w:szCs w:val="28"/>
          <w:lang w:val="uk-UA"/>
        </w:rPr>
        <w:t>еріодич</w:t>
      </w:r>
      <w:r w:rsidR="00E8719D" w:rsidRPr="00BB4A12">
        <w:rPr>
          <w:sz w:val="28"/>
          <w:szCs w:val="28"/>
          <w:lang w:val="uk-UA"/>
        </w:rPr>
        <w:t>не</w:t>
      </w:r>
      <w:r w:rsidRPr="00BB4A12">
        <w:rPr>
          <w:sz w:val="28"/>
          <w:szCs w:val="28"/>
          <w:lang w:val="uk-UA"/>
        </w:rPr>
        <w:t>.</w:t>
      </w:r>
      <w:r w:rsidRPr="00BB4A12">
        <w:rPr>
          <w:sz w:val="28"/>
          <w:szCs w:val="28"/>
          <w:lang w:val="uk-UA"/>
        </w:rPr>
        <w:br/>
      </w:r>
    </w:p>
    <w:p w:rsidR="009C3AA8" w:rsidRPr="00BB4A12" w:rsidRDefault="00911F03" w:rsidP="009C3AA8">
      <w:pPr>
        <w:jc w:val="both"/>
        <w:rPr>
          <w:sz w:val="28"/>
          <w:szCs w:val="28"/>
          <w:lang w:val="uk-UA"/>
        </w:rPr>
      </w:pPr>
      <w:r w:rsidRPr="00BB4A12">
        <w:rPr>
          <w:b/>
          <w:sz w:val="28"/>
          <w:szCs w:val="28"/>
          <w:lang w:val="uk-UA"/>
        </w:rPr>
        <w:t xml:space="preserve">Методи одержання результатів відстеження: </w:t>
      </w:r>
      <w:r w:rsidRPr="00BB4A12">
        <w:rPr>
          <w:sz w:val="28"/>
          <w:szCs w:val="28"/>
          <w:lang w:val="uk-UA"/>
        </w:rPr>
        <w:t>використа</w:t>
      </w:r>
      <w:r w:rsidR="009C3AA8" w:rsidRPr="00BB4A12">
        <w:rPr>
          <w:sz w:val="28"/>
          <w:szCs w:val="28"/>
          <w:lang w:val="uk-UA"/>
        </w:rPr>
        <w:t>но</w:t>
      </w:r>
      <w:r w:rsidRPr="00BB4A12">
        <w:rPr>
          <w:sz w:val="28"/>
          <w:szCs w:val="28"/>
          <w:lang w:val="uk-UA"/>
        </w:rPr>
        <w:t xml:space="preserve"> метод збору даних</w:t>
      </w:r>
      <w:r w:rsidR="009C3AA8" w:rsidRPr="00BB4A12">
        <w:rPr>
          <w:sz w:val="28"/>
          <w:szCs w:val="28"/>
          <w:lang w:val="uk-UA"/>
        </w:rPr>
        <w:t xml:space="preserve"> </w:t>
      </w:r>
      <w:r w:rsidR="00682BAA" w:rsidRPr="00BB4A12">
        <w:rPr>
          <w:sz w:val="28"/>
          <w:szCs w:val="28"/>
          <w:lang w:val="uk-UA"/>
        </w:rPr>
        <w:t>департаменту містобудування та земельних відносин міської ради</w:t>
      </w:r>
      <w:r w:rsidR="006259EE" w:rsidRPr="00BB4A12">
        <w:rPr>
          <w:sz w:val="28"/>
          <w:szCs w:val="28"/>
          <w:lang w:val="uk-UA"/>
        </w:rPr>
        <w:t xml:space="preserve"> </w:t>
      </w:r>
      <w:r w:rsidR="009C3AA8" w:rsidRPr="00BB4A12">
        <w:rPr>
          <w:sz w:val="28"/>
          <w:szCs w:val="28"/>
          <w:lang w:val="uk-UA"/>
        </w:rPr>
        <w:t xml:space="preserve">щодо укладання договорів оренди землі, департаменту бюджету та фінансів </w:t>
      </w:r>
      <w:r w:rsidR="006259EE" w:rsidRPr="00BB4A12">
        <w:rPr>
          <w:sz w:val="28"/>
          <w:szCs w:val="28"/>
          <w:lang w:val="uk-UA"/>
        </w:rPr>
        <w:t xml:space="preserve">міської ради </w:t>
      </w:r>
      <w:r w:rsidR="009C3AA8" w:rsidRPr="00BB4A12">
        <w:rPr>
          <w:sz w:val="28"/>
          <w:szCs w:val="28"/>
          <w:lang w:val="uk-UA"/>
        </w:rPr>
        <w:t xml:space="preserve">щодо надходжень від </w:t>
      </w:r>
      <w:r w:rsidR="00682BAA" w:rsidRPr="00BB4A12">
        <w:rPr>
          <w:sz w:val="28"/>
          <w:szCs w:val="28"/>
          <w:lang w:val="uk-UA"/>
        </w:rPr>
        <w:t>плати за землю</w:t>
      </w:r>
      <w:r w:rsidR="007D35AF">
        <w:rPr>
          <w:sz w:val="28"/>
          <w:szCs w:val="28"/>
          <w:lang w:val="uk-UA"/>
        </w:rPr>
        <w:t xml:space="preserve">, </w:t>
      </w:r>
      <w:r w:rsidR="007D35AF" w:rsidRPr="007D35AF">
        <w:rPr>
          <w:sz w:val="28"/>
          <w:szCs w:val="28"/>
          <w:lang w:val="uk-UA"/>
        </w:rPr>
        <w:t>рішення Житомирської міської ради про передачу в оренду земельних ділянок</w:t>
      </w:r>
      <w:r w:rsidRPr="00BB4A12">
        <w:rPr>
          <w:sz w:val="28"/>
          <w:szCs w:val="28"/>
          <w:lang w:val="uk-UA"/>
        </w:rPr>
        <w:t>.</w:t>
      </w:r>
    </w:p>
    <w:p w:rsidR="00F66B63" w:rsidRPr="00BB4A12" w:rsidRDefault="00F66B63" w:rsidP="009C3AA8">
      <w:pPr>
        <w:jc w:val="both"/>
        <w:rPr>
          <w:sz w:val="20"/>
          <w:szCs w:val="20"/>
          <w:lang w:val="uk-UA"/>
        </w:rPr>
      </w:pPr>
    </w:p>
    <w:p w:rsidR="009C3AA8" w:rsidRPr="00BB4A12" w:rsidRDefault="00911F03" w:rsidP="009C3AA8">
      <w:pPr>
        <w:jc w:val="both"/>
        <w:rPr>
          <w:sz w:val="28"/>
          <w:szCs w:val="28"/>
          <w:lang w:val="uk-UA"/>
        </w:rPr>
      </w:pPr>
      <w:r w:rsidRPr="00BB4A12">
        <w:rPr>
          <w:b/>
          <w:sz w:val="28"/>
          <w:szCs w:val="28"/>
          <w:lang w:val="uk-UA"/>
        </w:rPr>
        <w:t>Дані</w:t>
      </w:r>
      <w:r w:rsidR="00F66B63" w:rsidRPr="00BB4A12">
        <w:rPr>
          <w:b/>
          <w:sz w:val="28"/>
          <w:szCs w:val="28"/>
          <w:lang w:val="uk-UA"/>
        </w:rPr>
        <w:t>,</w:t>
      </w:r>
      <w:r w:rsidRPr="00BB4A12">
        <w:rPr>
          <w:b/>
          <w:sz w:val="28"/>
          <w:szCs w:val="28"/>
          <w:lang w:val="uk-UA"/>
        </w:rPr>
        <w:t xml:space="preserve"> на основі яких проводилось відстеження результативності: </w:t>
      </w:r>
      <w:r w:rsidR="009C3AA8" w:rsidRPr="00BB4A12">
        <w:rPr>
          <w:sz w:val="28"/>
          <w:szCs w:val="28"/>
          <w:lang w:val="uk-UA"/>
        </w:rPr>
        <w:t xml:space="preserve">відстеження результативності регуляторного акта проводилось на основі аналізу даних </w:t>
      </w:r>
      <w:r w:rsidR="003F1B4D" w:rsidRPr="00BB4A12">
        <w:rPr>
          <w:sz w:val="28"/>
          <w:szCs w:val="28"/>
          <w:lang w:val="uk-UA"/>
        </w:rPr>
        <w:t>департаменту містобудування та земельних відносин (укладені договори оренди),</w:t>
      </w:r>
      <w:r w:rsidR="00F66B63" w:rsidRPr="00BB4A12">
        <w:rPr>
          <w:sz w:val="28"/>
          <w:szCs w:val="28"/>
          <w:lang w:val="uk-UA"/>
        </w:rPr>
        <w:t xml:space="preserve"> департаменту бюджету та</w:t>
      </w:r>
      <w:r w:rsidRPr="00BB4A12">
        <w:rPr>
          <w:sz w:val="28"/>
          <w:szCs w:val="28"/>
          <w:lang w:val="uk-UA"/>
        </w:rPr>
        <w:t xml:space="preserve"> фінансі</w:t>
      </w:r>
      <w:r w:rsidR="00F66B63" w:rsidRPr="00BB4A12">
        <w:rPr>
          <w:sz w:val="28"/>
          <w:szCs w:val="28"/>
          <w:lang w:val="uk-UA"/>
        </w:rPr>
        <w:t>в</w:t>
      </w:r>
      <w:r w:rsidRPr="00BB4A12">
        <w:rPr>
          <w:sz w:val="28"/>
          <w:szCs w:val="28"/>
          <w:lang w:val="uk-UA"/>
        </w:rPr>
        <w:t xml:space="preserve"> міської ради </w:t>
      </w:r>
      <w:r w:rsidR="009C3AA8" w:rsidRPr="00BB4A12">
        <w:rPr>
          <w:sz w:val="28"/>
          <w:szCs w:val="28"/>
          <w:lang w:val="uk-UA"/>
        </w:rPr>
        <w:t>(</w:t>
      </w:r>
      <w:r w:rsidRPr="00BB4A12">
        <w:rPr>
          <w:sz w:val="28"/>
          <w:szCs w:val="28"/>
          <w:lang w:val="uk-UA"/>
        </w:rPr>
        <w:t>щодо надходжень з плати за земельні ділянки</w:t>
      </w:r>
      <w:r w:rsidR="009C3AA8" w:rsidRPr="00BB4A12">
        <w:rPr>
          <w:sz w:val="28"/>
          <w:szCs w:val="28"/>
          <w:lang w:val="uk-UA"/>
        </w:rPr>
        <w:t>)</w:t>
      </w:r>
      <w:r w:rsidRPr="00BB4A12">
        <w:rPr>
          <w:sz w:val="28"/>
          <w:szCs w:val="28"/>
          <w:lang w:val="uk-UA"/>
        </w:rPr>
        <w:t>.</w:t>
      </w:r>
    </w:p>
    <w:p w:rsidR="00F66B63" w:rsidRPr="00BB4A12" w:rsidRDefault="00F66B63" w:rsidP="009C3AA8">
      <w:pPr>
        <w:jc w:val="both"/>
        <w:rPr>
          <w:sz w:val="20"/>
          <w:szCs w:val="20"/>
          <w:lang w:val="uk-UA"/>
        </w:rPr>
      </w:pPr>
    </w:p>
    <w:p w:rsidR="009C3AA8" w:rsidRPr="00BB4A12" w:rsidRDefault="00911F03" w:rsidP="00911F03">
      <w:pPr>
        <w:rPr>
          <w:sz w:val="28"/>
          <w:szCs w:val="28"/>
          <w:lang w:val="uk-UA"/>
        </w:rPr>
      </w:pPr>
      <w:r w:rsidRPr="00BB4A12">
        <w:rPr>
          <w:b/>
          <w:sz w:val="28"/>
          <w:szCs w:val="28"/>
          <w:lang w:val="uk-UA"/>
        </w:rPr>
        <w:t>Кількісні та якісні значення показників результативності акта:</w:t>
      </w:r>
      <w:r w:rsidRPr="00BB4A12">
        <w:rPr>
          <w:sz w:val="28"/>
          <w:szCs w:val="28"/>
          <w:lang w:val="uk-UA"/>
        </w:rPr>
        <w:t xml:space="preserve"> </w:t>
      </w:r>
    </w:p>
    <w:p w:rsidR="009C3AA8" w:rsidRPr="00BB4A12" w:rsidRDefault="009C3AA8" w:rsidP="00911F03">
      <w:pPr>
        <w:rPr>
          <w:sz w:val="28"/>
          <w:szCs w:val="28"/>
          <w:lang w:val="uk-UA"/>
        </w:rPr>
      </w:pPr>
    </w:p>
    <w:tbl>
      <w:tblPr>
        <w:tblStyle w:val="a3"/>
        <w:tblW w:w="9468" w:type="dxa"/>
        <w:tblLook w:val="01E0"/>
      </w:tblPr>
      <w:tblGrid>
        <w:gridCol w:w="648"/>
        <w:gridCol w:w="4320"/>
        <w:gridCol w:w="1620"/>
        <w:gridCol w:w="1440"/>
        <w:gridCol w:w="1440"/>
      </w:tblGrid>
      <w:tr w:rsidR="00956A5F" w:rsidRPr="00BB4A12">
        <w:tc>
          <w:tcPr>
            <w:tcW w:w="648" w:type="dxa"/>
          </w:tcPr>
          <w:p w:rsidR="00956A5F" w:rsidRPr="00BB4A12" w:rsidRDefault="00956A5F" w:rsidP="0059095F">
            <w:pPr>
              <w:jc w:val="center"/>
              <w:rPr>
                <w:sz w:val="28"/>
                <w:szCs w:val="28"/>
                <w:lang w:val="uk-UA"/>
              </w:rPr>
            </w:pPr>
            <w:r w:rsidRPr="00BB4A12">
              <w:rPr>
                <w:sz w:val="28"/>
                <w:szCs w:val="28"/>
                <w:lang w:val="uk-UA"/>
              </w:rPr>
              <w:t>№ п/п</w:t>
            </w:r>
          </w:p>
        </w:tc>
        <w:tc>
          <w:tcPr>
            <w:tcW w:w="4320" w:type="dxa"/>
          </w:tcPr>
          <w:p w:rsidR="00956A5F" w:rsidRPr="00BB4A12" w:rsidRDefault="00956A5F" w:rsidP="0059095F">
            <w:pPr>
              <w:jc w:val="center"/>
              <w:rPr>
                <w:b/>
                <w:sz w:val="28"/>
                <w:szCs w:val="28"/>
                <w:lang w:val="uk-UA"/>
              </w:rPr>
            </w:pPr>
            <w:r w:rsidRPr="00BB4A12">
              <w:rPr>
                <w:b/>
                <w:sz w:val="28"/>
                <w:szCs w:val="28"/>
                <w:lang w:val="uk-UA"/>
              </w:rPr>
              <w:t>Показник</w:t>
            </w:r>
          </w:p>
        </w:tc>
        <w:tc>
          <w:tcPr>
            <w:tcW w:w="1620" w:type="dxa"/>
          </w:tcPr>
          <w:p w:rsidR="00956A5F" w:rsidRPr="00BB4A12" w:rsidRDefault="00956A5F" w:rsidP="00956A5F">
            <w:pPr>
              <w:jc w:val="center"/>
              <w:rPr>
                <w:b/>
                <w:sz w:val="28"/>
                <w:szCs w:val="28"/>
                <w:lang w:val="uk-UA"/>
              </w:rPr>
            </w:pPr>
            <w:r w:rsidRPr="00BB4A12">
              <w:rPr>
                <w:b/>
                <w:sz w:val="28"/>
                <w:szCs w:val="28"/>
                <w:lang w:val="uk-UA"/>
              </w:rPr>
              <w:t>201</w:t>
            </w:r>
            <w:r w:rsidR="007D35AF">
              <w:rPr>
                <w:b/>
                <w:sz w:val="28"/>
                <w:szCs w:val="28"/>
                <w:lang w:val="uk-UA"/>
              </w:rPr>
              <w:t>6</w:t>
            </w:r>
            <w:r w:rsidRPr="00BB4A12">
              <w:rPr>
                <w:b/>
                <w:sz w:val="28"/>
                <w:szCs w:val="28"/>
                <w:lang w:val="uk-UA"/>
              </w:rPr>
              <w:t xml:space="preserve"> рік</w:t>
            </w:r>
          </w:p>
        </w:tc>
        <w:tc>
          <w:tcPr>
            <w:tcW w:w="1440" w:type="dxa"/>
          </w:tcPr>
          <w:p w:rsidR="00956A5F" w:rsidRPr="00BB4A12" w:rsidRDefault="00956A5F" w:rsidP="00956A5F">
            <w:pPr>
              <w:jc w:val="center"/>
              <w:rPr>
                <w:b/>
                <w:sz w:val="28"/>
                <w:szCs w:val="28"/>
                <w:lang w:val="uk-UA"/>
              </w:rPr>
            </w:pPr>
            <w:r w:rsidRPr="00BB4A12">
              <w:rPr>
                <w:b/>
                <w:sz w:val="28"/>
                <w:szCs w:val="28"/>
                <w:lang w:val="uk-UA"/>
              </w:rPr>
              <w:t>201</w:t>
            </w:r>
            <w:r w:rsidR="007D35AF">
              <w:rPr>
                <w:b/>
                <w:sz w:val="28"/>
                <w:szCs w:val="28"/>
                <w:lang w:val="uk-UA"/>
              </w:rPr>
              <w:t>7</w:t>
            </w:r>
            <w:r w:rsidRPr="00BB4A12">
              <w:rPr>
                <w:b/>
                <w:sz w:val="28"/>
                <w:szCs w:val="28"/>
                <w:lang w:val="uk-UA"/>
              </w:rPr>
              <w:t xml:space="preserve"> рік</w:t>
            </w:r>
          </w:p>
        </w:tc>
        <w:tc>
          <w:tcPr>
            <w:tcW w:w="1440" w:type="dxa"/>
          </w:tcPr>
          <w:p w:rsidR="00956A5F" w:rsidRPr="00BB4A12" w:rsidRDefault="00956A5F" w:rsidP="0059095F">
            <w:pPr>
              <w:jc w:val="center"/>
              <w:rPr>
                <w:b/>
                <w:sz w:val="28"/>
                <w:szCs w:val="28"/>
                <w:lang w:val="uk-UA"/>
              </w:rPr>
            </w:pPr>
            <w:r w:rsidRPr="00BB4A12">
              <w:rPr>
                <w:b/>
                <w:sz w:val="28"/>
                <w:szCs w:val="28"/>
                <w:lang w:val="uk-UA"/>
              </w:rPr>
              <w:t>201</w:t>
            </w:r>
            <w:r w:rsidR="007D35AF">
              <w:rPr>
                <w:b/>
                <w:sz w:val="28"/>
                <w:szCs w:val="28"/>
                <w:lang w:val="uk-UA"/>
              </w:rPr>
              <w:t>8</w:t>
            </w:r>
            <w:r w:rsidRPr="00BB4A12">
              <w:rPr>
                <w:b/>
                <w:sz w:val="28"/>
                <w:szCs w:val="28"/>
                <w:lang w:val="uk-UA"/>
              </w:rPr>
              <w:t xml:space="preserve"> рік</w:t>
            </w:r>
          </w:p>
        </w:tc>
      </w:tr>
      <w:tr w:rsidR="009D6A99" w:rsidRPr="00BB4A12">
        <w:tc>
          <w:tcPr>
            <w:tcW w:w="648" w:type="dxa"/>
          </w:tcPr>
          <w:p w:rsidR="009D6A99" w:rsidRPr="00BB4A12" w:rsidRDefault="009D6A99" w:rsidP="0059095F">
            <w:pPr>
              <w:jc w:val="center"/>
              <w:rPr>
                <w:sz w:val="28"/>
                <w:szCs w:val="28"/>
                <w:lang w:val="uk-UA"/>
              </w:rPr>
            </w:pPr>
            <w:r w:rsidRPr="00BB4A12">
              <w:rPr>
                <w:sz w:val="28"/>
                <w:szCs w:val="28"/>
                <w:lang w:val="uk-UA"/>
              </w:rPr>
              <w:t>1</w:t>
            </w:r>
          </w:p>
        </w:tc>
        <w:tc>
          <w:tcPr>
            <w:tcW w:w="4320" w:type="dxa"/>
            <w:vAlign w:val="center"/>
          </w:tcPr>
          <w:p w:rsidR="009D6A99" w:rsidRPr="009D6A99" w:rsidRDefault="009D6A99" w:rsidP="009D6A99">
            <w:pPr>
              <w:pStyle w:val="a5"/>
              <w:spacing w:before="60" w:beforeAutospacing="0" w:after="60" w:afterAutospacing="0"/>
              <w:jc w:val="both"/>
              <w:rPr>
                <w:color w:val="000000"/>
                <w:sz w:val="28"/>
                <w:szCs w:val="28"/>
                <w:lang w:val="uk-UA"/>
              </w:rPr>
            </w:pPr>
            <w:r w:rsidRPr="009D6A99">
              <w:rPr>
                <w:color w:val="000000"/>
                <w:sz w:val="28"/>
                <w:szCs w:val="28"/>
                <w:lang w:val="uk-UA"/>
              </w:rPr>
              <w:t>Кількість укладених договорів оренди землі, шт.</w:t>
            </w:r>
          </w:p>
        </w:tc>
        <w:tc>
          <w:tcPr>
            <w:tcW w:w="1620" w:type="dxa"/>
          </w:tcPr>
          <w:p w:rsidR="009D6A99" w:rsidRPr="00BB4A12" w:rsidRDefault="009D6A99" w:rsidP="00956A5F">
            <w:pPr>
              <w:jc w:val="center"/>
              <w:rPr>
                <w:sz w:val="28"/>
                <w:szCs w:val="28"/>
                <w:lang w:val="uk-UA"/>
              </w:rPr>
            </w:pPr>
            <w:r>
              <w:rPr>
                <w:sz w:val="28"/>
                <w:szCs w:val="28"/>
                <w:lang w:val="uk-UA"/>
              </w:rPr>
              <w:t>292</w:t>
            </w:r>
          </w:p>
        </w:tc>
        <w:tc>
          <w:tcPr>
            <w:tcW w:w="1440" w:type="dxa"/>
          </w:tcPr>
          <w:p w:rsidR="009D6A99" w:rsidRPr="00BB4A12" w:rsidRDefault="009D6A99" w:rsidP="00956A5F">
            <w:pPr>
              <w:jc w:val="center"/>
              <w:rPr>
                <w:sz w:val="28"/>
                <w:szCs w:val="28"/>
                <w:lang w:val="uk-UA"/>
              </w:rPr>
            </w:pPr>
            <w:r>
              <w:rPr>
                <w:sz w:val="28"/>
                <w:szCs w:val="28"/>
                <w:lang w:val="uk-UA"/>
              </w:rPr>
              <w:t>303</w:t>
            </w:r>
          </w:p>
        </w:tc>
        <w:tc>
          <w:tcPr>
            <w:tcW w:w="1440" w:type="dxa"/>
          </w:tcPr>
          <w:p w:rsidR="009D6A99" w:rsidRPr="00BB4A12" w:rsidRDefault="009D6A99" w:rsidP="00D52A6E">
            <w:pPr>
              <w:jc w:val="center"/>
              <w:rPr>
                <w:sz w:val="28"/>
                <w:szCs w:val="28"/>
                <w:lang w:val="uk-UA"/>
              </w:rPr>
            </w:pPr>
            <w:r>
              <w:rPr>
                <w:sz w:val="28"/>
                <w:szCs w:val="28"/>
                <w:lang w:val="uk-UA"/>
              </w:rPr>
              <w:t>415</w:t>
            </w:r>
          </w:p>
        </w:tc>
      </w:tr>
      <w:tr w:rsidR="009D6A99" w:rsidRPr="00BB4A12">
        <w:tc>
          <w:tcPr>
            <w:tcW w:w="648" w:type="dxa"/>
          </w:tcPr>
          <w:p w:rsidR="009D6A99" w:rsidRPr="00BB4A12" w:rsidRDefault="009D6A99" w:rsidP="0059095F">
            <w:pPr>
              <w:jc w:val="center"/>
              <w:rPr>
                <w:sz w:val="28"/>
                <w:szCs w:val="28"/>
                <w:lang w:val="uk-UA"/>
              </w:rPr>
            </w:pPr>
            <w:r w:rsidRPr="00BB4A12">
              <w:rPr>
                <w:sz w:val="28"/>
                <w:szCs w:val="28"/>
                <w:lang w:val="uk-UA"/>
              </w:rPr>
              <w:t>2</w:t>
            </w:r>
          </w:p>
        </w:tc>
        <w:tc>
          <w:tcPr>
            <w:tcW w:w="4320" w:type="dxa"/>
            <w:vAlign w:val="center"/>
          </w:tcPr>
          <w:p w:rsidR="009D6A99" w:rsidRPr="009D6A99" w:rsidRDefault="009D6A99" w:rsidP="009D6A99">
            <w:pPr>
              <w:pStyle w:val="a5"/>
              <w:spacing w:before="60" w:beforeAutospacing="0" w:after="60" w:afterAutospacing="0"/>
              <w:jc w:val="both"/>
              <w:rPr>
                <w:color w:val="000000"/>
                <w:sz w:val="28"/>
                <w:szCs w:val="28"/>
                <w:lang w:val="uk-UA"/>
              </w:rPr>
            </w:pPr>
            <w:r w:rsidRPr="009D6A99">
              <w:rPr>
                <w:color w:val="000000"/>
                <w:sz w:val="28"/>
                <w:szCs w:val="28"/>
                <w:lang w:val="uk-UA"/>
              </w:rPr>
              <w:t>Загальна кількість земельних ділянок, переданих в оренду, шт.</w:t>
            </w:r>
          </w:p>
        </w:tc>
        <w:tc>
          <w:tcPr>
            <w:tcW w:w="1620" w:type="dxa"/>
          </w:tcPr>
          <w:p w:rsidR="009D6A99" w:rsidRPr="00BB4A12" w:rsidRDefault="00315487" w:rsidP="00956A5F">
            <w:pPr>
              <w:jc w:val="center"/>
              <w:rPr>
                <w:sz w:val="28"/>
                <w:szCs w:val="28"/>
                <w:lang w:val="uk-UA"/>
              </w:rPr>
            </w:pPr>
            <w:r>
              <w:rPr>
                <w:sz w:val="28"/>
                <w:szCs w:val="28"/>
                <w:lang w:val="uk-UA"/>
              </w:rPr>
              <w:t>155</w:t>
            </w:r>
          </w:p>
        </w:tc>
        <w:tc>
          <w:tcPr>
            <w:tcW w:w="1440" w:type="dxa"/>
          </w:tcPr>
          <w:p w:rsidR="009D6A99" w:rsidRPr="00BB4A12" w:rsidRDefault="00315487" w:rsidP="00956A5F">
            <w:pPr>
              <w:jc w:val="center"/>
              <w:rPr>
                <w:sz w:val="28"/>
                <w:szCs w:val="28"/>
                <w:lang w:val="uk-UA"/>
              </w:rPr>
            </w:pPr>
            <w:r>
              <w:rPr>
                <w:sz w:val="28"/>
                <w:szCs w:val="28"/>
                <w:lang w:val="uk-UA"/>
              </w:rPr>
              <w:t>287</w:t>
            </w:r>
          </w:p>
        </w:tc>
        <w:tc>
          <w:tcPr>
            <w:tcW w:w="1440" w:type="dxa"/>
          </w:tcPr>
          <w:p w:rsidR="009D6A99" w:rsidRPr="00BB4A12" w:rsidRDefault="00315487" w:rsidP="0059095F">
            <w:pPr>
              <w:jc w:val="center"/>
              <w:rPr>
                <w:sz w:val="28"/>
                <w:szCs w:val="28"/>
                <w:lang w:val="uk-UA"/>
              </w:rPr>
            </w:pPr>
            <w:r>
              <w:rPr>
                <w:sz w:val="28"/>
                <w:szCs w:val="28"/>
                <w:lang w:val="uk-UA"/>
              </w:rPr>
              <w:t>92</w:t>
            </w:r>
          </w:p>
        </w:tc>
      </w:tr>
      <w:tr w:rsidR="009D6A99" w:rsidRPr="00BB4A12">
        <w:tc>
          <w:tcPr>
            <w:tcW w:w="648" w:type="dxa"/>
          </w:tcPr>
          <w:p w:rsidR="009D6A99" w:rsidRPr="00BB4A12" w:rsidRDefault="009D6A99" w:rsidP="0059095F">
            <w:pPr>
              <w:jc w:val="center"/>
              <w:rPr>
                <w:sz w:val="28"/>
                <w:szCs w:val="28"/>
                <w:lang w:val="uk-UA"/>
              </w:rPr>
            </w:pPr>
            <w:r w:rsidRPr="00BB4A12">
              <w:rPr>
                <w:sz w:val="28"/>
                <w:szCs w:val="28"/>
                <w:lang w:val="uk-UA"/>
              </w:rPr>
              <w:t>3</w:t>
            </w:r>
          </w:p>
        </w:tc>
        <w:tc>
          <w:tcPr>
            <w:tcW w:w="4320" w:type="dxa"/>
            <w:vAlign w:val="center"/>
          </w:tcPr>
          <w:p w:rsidR="009D6A99" w:rsidRPr="009D6A99" w:rsidRDefault="009D6A99" w:rsidP="009D6A99">
            <w:pPr>
              <w:pStyle w:val="a5"/>
              <w:spacing w:before="60" w:beforeAutospacing="0" w:after="60" w:afterAutospacing="0"/>
              <w:jc w:val="both"/>
              <w:rPr>
                <w:color w:val="000000"/>
                <w:sz w:val="28"/>
                <w:szCs w:val="28"/>
                <w:lang w:val="uk-UA"/>
              </w:rPr>
            </w:pPr>
            <w:r w:rsidRPr="009D6A99">
              <w:rPr>
                <w:color w:val="000000"/>
                <w:sz w:val="28"/>
                <w:szCs w:val="28"/>
                <w:lang w:val="uk-UA"/>
              </w:rPr>
              <w:t>Площа орендованих земель, га</w:t>
            </w:r>
          </w:p>
        </w:tc>
        <w:tc>
          <w:tcPr>
            <w:tcW w:w="1620" w:type="dxa"/>
          </w:tcPr>
          <w:p w:rsidR="009D6A99" w:rsidRPr="00BB4A12" w:rsidRDefault="00315487" w:rsidP="00956A5F">
            <w:pPr>
              <w:jc w:val="center"/>
              <w:rPr>
                <w:sz w:val="28"/>
                <w:szCs w:val="28"/>
                <w:lang w:val="uk-UA"/>
              </w:rPr>
            </w:pPr>
            <w:r>
              <w:rPr>
                <w:sz w:val="28"/>
                <w:szCs w:val="28"/>
                <w:lang w:val="uk-UA"/>
              </w:rPr>
              <w:t>51,0528</w:t>
            </w:r>
          </w:p>
        </w:tc>
        <w:tc>
          <w:tcPr>
            <w:tcW w:w="1440" w:type="dxa"/>
          </w:tcPr>
          <w:p w:rsidR="009D6A99" w:rsidRPr="00BB4A12" w:rsidRDefault="00315487" w:rsidP="00956A5F">
            <w:pPr>
              <w:jc w:val="center"/>
              <w:rPr>
                <w:sz w:val="28"/>
                <w:szCs w:val="28"/>
                <w:lang w:val="uk-UA"/>
              </w:rPr>
            </w:pPr>
            <w:r>
              <w:rPr>
                <w:sz w:val="28"/>
                <w:szCs w:val="28"/>
                <w:lang w:val="uk-UA"/>
              </w:rPr>
              <w:t>40,9510</w:t>
            </w:r>
          </w:p>
        </w:tc>
        <w:tc>
          <w:tcPr>
            <w:tcW w:w="1440" w:type="dxa"/>
          </w:tcPr>
          <w:p w:rsidR="009D6A99" w:rsidRPr="00BB4A12" w:rsidRDefault="00315487" w:rsidP="00D52A6E">
            <w:pPr>
              <w:jc w:val="center"/>
              <w:rPr>
                <w:sz w:val="28"/>
                <w:szCs w:val="28"/>
                <w:lang w:val="uk-UA"/>
              </w:rPr>
            </w:pPr>
            <w:r>
              <w:rPr>
                <w:sz w:val="28"/>
                <w:szCs w:val="28"/>
                <w:lang w:val="uk-UA"/>
              </w:rPr>
              <w:t>24,9671</w:t>
            </w:r>
          </w:p>
        </w:tc>
      </w:tr>
      <w:tr w:rsidR="009D6A99" w:rsidRPr="00BB4A12">
        <w:tc>
          <w:tcPr>
            <w:tcW w:w="648" w:type="dxa"/>
          </w:tcPr>
          <w:p w:rsidR="009D6A99" w:rsidRPr="00BB4A12" w:rsidRDefault="009D6A99" w:rsidP="0059095F">
            <w:pPr>
              <w:jc w:val="center"/>
              <w:rPr>
                <w:sz w:val="28"/>
                <w:szCs w:val="28"/>
                <w:lang w:val="uk-UA"/>
              </w:rPr>
            </w:pPr>
            <w:r w:rsidRPr="00BB4A12">
              <w:rPr>
                <w:sz w:val="28"/>
                <w:szCs w:val="28"/>
                <w:lang w:val="uk-UA"/>
              </w:rPr>
              <w:t>4</w:t>
            </w:r>
          </w:p>
        </w:tc>
        <w:tc>
          <w:tcPr>
            <w:tcW w:w="4320" w:type="dxa"/>
            <w:vAlign w:val="center"/>
          </w:tcPr>
          <w:p w:rsidR="009D6A99" w:rsidRPr="009D6A99" w:rsidRDefault="009D6A99" w:rsidP="009D6A99">
            <w:pPr>
              <w:pStyle w:val="a5"/>
              <w:spacing w:before="60" w:beforeAutospacing="0" w:after="60" w:afterAutospacing="0"/>
              <w:jc w:val="both"/>
              <w:rPr>
                <w:color w:val="000000"/>
                <w:sz w:val="28"/>
                <w:szCs w:val="28"/>
                <w:lang w:val="uk-UA"/>
              </w:rPr>
            </w:pPr>
            <w:r w:rsidRPr="009D6A99">
              <w:rPr>
                <w:color w:val="000000"/>
                <w:sz w:val="28"/>
                <w:szCs w:val="28"/>
                <w:lang w:val="uk-UA"/>
              </w:rPr>
              <w:t xml:space="preserve">Сума коштів від сплати орендної плати за користування земельними ділянками, </w:t>
            </w:r>
            <w:r>
              <w:rPr>
                <w:color w:val="000000"/>
                <w:sz w:val="28"/>
                <w:szCs w:val="28"/>
                <w:lang w:val="uk-UA"/>
              </w:rPr>
              <w:t>млн</w:t>
            </w:r>
            <w:r w:rsidRPr="009D6A99">
              <w:rPr>
                <w:color w:val="000000"/>
                <w:sz w:val="28"/>
                <w:szCs w:val="28"/>
                <w:lang w:val="uk-UA"/>
              </w:rPr>
              <w:t>. грн.</w:t>
            </w:r>
          </w:p>
        </w:tc>
        <w:tc>
          <w:tcPr>
            <w:tcW w:w="1620" w:type="dxa"/>
          </w:tcPr>
          <w:p w:rsidR="009D6A99" w:rsidRPr="00BB4A12" w:rsidRDefault="009D6A99" w:rsidP="00956A5F">
            <w:pPr>
              <w:jc w:val="center"/>
              <w:rPr>
                <w:sz w:val="28"/>
                <w:szCs w:val="28"/>
                <w:lang w:val="uk-UA"/>
              </w:rPr>
            </w:pPr>
            <w:r>
              <w:rPr>
                <w:sz w:val="28"/>
                <w:szCs w:val="28"/>
                <w:lang w:val="uk-UA"/>
              </w:rPr>
              <w:t>53,2</w:t>
            </w:r>
          </w:p>
        </w:tc>
        <w:tc>
          <w:tcPr>
            <w:tcW w:w="1440" w:type="dxa"/>
          </w:tcPr>
          <w:p w:rsidR="009D6A99" w:rsidRPr="00BB4A12" w:rsidRDefault="009D6A99" w:rsidP="00956A5F">
            <w:pPr>
              <w:jc w:val="center"/>
              <w:rPr>
                <w:sz w:val="28"/>
                <w:szCs w:val="28"/>
                <w:lang w:val="uk-UA"/>
              </w:rPr>
            </w:pPr>
            <w:r>
              <w:rPr>
                <w:sz w:val="28"/>
                <w:szCs w:val="28"/>
                <w:lang w:val="uk-UA"/>
              </w:rPr>
              <w:t>67,5</w:t>
            </w:r>
          </w:p>
        </w:tc>
        <w:tc>
          <w:tcPr>
            <w:tcW w:w="1440" w:type="dxa"/>
          </w:tcPr>
          <w:p w:rsidR="009D6A99" w:rsidRPr="00BB4A12" w:rsidRDefault="009D6A99" w:rsidP="00D52A6E">
            <w:pPr>
              <w:jc w:val="center"/>
              <w:rPr>
                <w:sz w:val="28"/>
                <w:szCs w:val="28"/>
                <w:lang w:val="uk-UA"/>
              </w:rPr>
            </w:pPr>
            <w:r>
              <w:rPr>
                <w:sz w:val="28"/>
                <w:szCs w:val="28"/>
                <w:lang w:val="uk-UA"/>
              </w:rPr>
              <w:t>68</w:t>
            </w:r>
          </w:p>
        </w:tc>
      </w:tr>
    </w:tbl>
    <w:p w:rsidR="009C3AA8" w:rsidRPr="00BB4A12" w:rsidRDefault="009C3AA8" w:rsidP="00911F03">
      <w:pPr>
        <w:rPr>
          <w:sz w:val="28"/>
          <w:szCs w:val="28"/>
          <w:lang w:val="uk-UA"/>
        </w:rPr>
      </w:pPr>
    </w:p>
    <w:p w:rsidR="009C3AA8" w:rsidRPr="00BB4A12" w:rsidRDefault="00911F03" w:rsidP="009C3AA8">
      <w:pPr>
        <w:jc w:val="both"/>
        <w:rPr>
          <w:sz w:val="28"/>
          <w:szCs w:val="28"/>
          <w:lang w:val="uk-UA"/>
        </w:rPr>
      </w:pPr>
      <w:r w:rsidRPr="00BB4A12">
        <w:rPr>
          <w:b/>
          <w:sz w:val="28"/>
          <w:szCs w:val="28"/>
          <w:lang w:val="uk-UA"/>
        </w:rPr>
        <w:lastRenderedPageBreak/>
        <w:t>Оцінка результатів реалізації регуляторного акта та ступеня досягнення вищезазначених цілей:</w:t>
      </w:r>
      <w:r w:rsidRPr="00BB4A12">
        <w:rPr>
          <w:sz w:val="28"/>
          <w:szCs w:val="28"/>
          <w:lang w:val="uk-UA"/>
        </w:rPr>
        <w:t xml:space="preserve"> </w:t>
      </w:r>
      <w:r w:rsidR="009C3AA8" w:rsidRPr="00BB4A12">
        <w:rPr>
          <w:sz w:val="28"/>
          <w:szCs w:val="28"/>
          <w:lang w:val="uk-UA"/>
        </w:rPr>
        <w:t>дія</w:t>
      </w:r>
      <w:r w:rsidRPr="00BB4A12">
        <w:rPr>
          <w:sz w:val="28"/>
          <w:szCs w:val="28"/>
          <w:lang w:val="uk-UA"/>
        </w:rPr>
        <w:t xml:space="preserve"> даного регуляторного акта забезпеч</w:t>
      </w:r>
      <w:r w:rsidR="009C3AA8" w:rsidRPr="00BB4A12">
        <w:rPr>
          <w:sz w:val="28"/>
          <w:szCs w:val="28"/>
          <w:lang w:val="uk-UA"/>
        </w:rPr>
        <w:t>ує</w:t>
      </w:r>
      <w:r w:rsidRPr="00BB4A12">
        <w:rPr>
          <w:sz w:val="28"/>
          <w:szCs w:val="28"/>
          <w:lang w:val="uk-UA"/>
        </w:rPr>
        <w:t xml:space="preserve"> соціальний захист юридичних та фізичних осіб від необґрунтованого збільшення </w:t>
      </w:r>
      <w:r w:rsidR="00D52A6E" w:rsidRPr="00BB4A12">
        <w:rPr>
          <w:sz w:val="28"/>
          <w:szCs w:val="28"/>
          <w:lang w:val="uk-UA"/>
        </w:rPr>
        <w:t>розміру</w:t>
      </w:r>
      <w:r w:rsidRPr="00BB4A12">
        <w:rPr>
          <w:sz w:val="28"/>
          <w:szCs w:val="28"/>
          <w:lang w:val="uk-UA"/>
        </w:rPr>
        <w:t xml:space="preserve"> орендної плати за користування земельними ділянками та прозорість процедури визначення розміру </w:t>
      </w:r>
      <w:r w:rsidR="00D52A6E" w:rsidRPr="00BB4A12">
        <w:rPr>
          <w:sz w:val="28"/>
          <w:szCs w:val="28"/>
          <w:lang w:val="uk-UA"/>
        </w:rPr>
        <w:t>земельного под</w:t>
      </w:r>
      <w:r w:rsidR="00956A5F" w:rsidRPr="00BB4A12">
        <w:rPr>
          <w:sz w:val="28"/>
          <w:szCs w:val="28"/>
          <w:lang w:val="uk-UA"/>
        </w:rPr>
        <w:t>а</w:t>
      </w:r>
      <w:r w:rsidR="00D52A6E" w:rsidRPr="00BB4A12">
        <w:rPr>
          <w:sz w:val="28"/>
          <w:szCs w:val="28"/>
          <w:lang w:val="uk-UA"/>
        </w:rPr>
        <w:t>тку</w:t>
      </w:r>
      <w:r w:rsidRPr="00BB4A12">
        <w:rPr>
          <w:sz w:val="28"/>
          <w:szCs w:val="28"/>
          <w:lang w:val="uk-UA"/>
        </w:rPr>
        <w:t>. </w:t>
      </w:r>
    </w:p>
    <w:p w:rsidR="007D6FBA" w:rsidRPr="00BB4A12" w:rsidRDefault="007D6FBA" w:rsidP="009C3AA8">
      <w:pPr>
        <w:jc w:val="both"/>
        <w:rPr>
          <w:sz w:val="28"/>
          <w:szCs w:val="28"/>
          <w:lang w:val="uk-UA"/>
        </w:rPr>
      </w:pPr>
    </w:p>
    <w:p w:rsidR="00D216D1" w:rsidRPr="00BB4A12" w:rsidRDefault="009C3AA8" w:rsidP="00911F03">
      <w:pPr>
        <w:rPr>
          <w:sz w:val="28"/>
          <w:szCs w:val="28"/>
          <w:lang w:val="uk-UA"/>
        </w:rPr>
      </w:pPr>
      <w:r w:rsidRPr="00BB4A12">
        <w:rPr>
          <w:b/>
          <w:sz w:val="28"/>
          <w:szCs w:val="28"/>
          <w:lang w:val="uk-UA"/>
        </w:rPr>
        <w:t>Висновок:</w:t>
      </w:r>
      <w:r w:rsidRPr="00BB4A12">
        <w:rPr>
          <w:sz w:val="28"/>
          <w:szCs w:val="28"/>
          <w:lang w:val="uk-UA"/>
        </w:rPr>
        <w:t xml:space="preserve"> </w:t>
      </w:r>
      <w:r w:rsidR="009D6A99" w:rsidRPr="009D6A99">
        <w:rPr>
          <w:sz w:val="28"/>
          <w:szCs w:val="28"/>
          <w:lang w:val="uk-UA"/>
        </w:rPr>
        <w:t>регуляторний акт потребує внесення змін в частині приведення у відповідність діючому законодавству</w:t>
      </w:r>
      <w:r w:rsidRPr="00BB4A12">
        <w:rPr>
          <w:sz w:val="28"/>
          <w:szCs w:val="28"/>
          <w:lang w:val="uk-UA"/>
        </w:rPr>
        <w:t>.</w:t>
      </w:r>
    </w:p>
    <w:p w:rsidR="007F5F14" w:rsidRPr="00BB4A12" w:rsidRDefault="007F5F14" w:rsidP="00911F03">
      <w:pPr>
        <w:rPr>
          <w:sz w:val="28"/>
          <w:szCs w:val="28"/>
          <w:lang w:val="uk-UA"/>
        </w:rPr>
      </w:pPr>
    </w:p>
    <w:p w:rsidR="006259EE" w:rsidRPr="00BB4A12" w:rsidRDefault="006259EE" w:rsidP="00911F03">
      <w:pPr>
        <w:rPr>
          <w:sz w:val="28"/>
          <w:szCs w:val="28"/>
          <w:lang w:val="uk-UA"/>
        </w:rPr>
      </w:pPr>
    </w:p>
    <w:p w:rsidR="007F5F14" w:rsidRPr="00BB4A12" w:rsidRDefault="007F5F14" w:rsidP="00911F03">
      <w:pPr>
        <w:rPr>
          <w:sz w:val="28"/>
          <w:szCs w:val="28"/>
          <w:lang w:val="uk-UA"/>
        </w:rPr>
      </w:pPr>
      <w:r w:rsidRPr="00BB4A12">
        <w:rPr>
          <w:sz w:val="28"/>
          <w:szCs w:val="28"/>
          <w:lang w:val="uk-UA"/>
        </w:rPr>
        <w:t>Міський голова</w:t>
      </w:r>
      <w:r w:rsidRPr="00BB4A12">
        <w:rPr>
          <w:sz w:val="28"/>
          <w:szCs w:val="28"/>
          <w:lang w:val="uk-UA"/>
        </w:rPr>
        <w:tab/>
      </w:r>
      <w:r w:rsidRPr="00BB4A12">
        <w:rPr>
          <w:sz w:val="28"/>
          <w:szCs w:val="28"/>
          <w:lang w:val="uk-UA"/>
        </w:rPr>
        <w:tab/>
      </w:r>
      <w:r w:rsidRPr="00BB4A12">
        <w:rPr>
          <w:sz w:val="28"/>
          <w:szCs w:val="28"/>
          <w:lang w:val="uk-UA"/>
        </w:rPr>
        <w:tab/>
      </w:r>
      <w:r w:rsidRPr="00BB4A12">
        <w:rPr>
          <w:sz w:val="28"/>
          <w:szCs w:val="28"/>
          <w:lang w:val="uk-UA"/>
        </w:rPr>
        <w:tab/>
      </w:r>
      <w:r w:rsidRPr="00BB4A12">
        <w:rPr>
          <w:sz w:val="28"/>
          <w:szCs w:val="28"/>
          <w:lang w:val="uk-UA"/>
        </w:rPr>
        <w:tab/>
      </w:r>
      <w:r w:rsidRPr="00BB4A12">
        <w:rPr>
          <w:sz w:val="28"/>
          <w:szCs w:val="28"/>
          <w:lang w:val="uk-UA"/>
        </w:rPr>
        <w:tab/>
      </w:r>
      <w:r w:rsidRPr="00BB4A12">
        <w:rPr>
          <w:sz w:val="28"/>
          <w:szCs w:val="28"/>
          <w:lang w:val="uk-UA"/>
        </w:rPr>
        <w:tab/>
      </w:r>
      <w:r w:rsidRPr="00BB4A12">
        <w:rPr>
          <w:sz w:val="28"/>
          <w:szCs w:val="28"/>
          <w:lang w:val="uk-UA"/>
        </w:rPr>
        <w:tab/>
      </w:r>
      <w:r w:rsidR="006259EE" w:rsidRPr="00BB4A12">
        <w:rPr>
          <w:sz w:val="28"/>
          <w:szCs w:val="28"/>
          <w:lang w:val="uk-UA"/>
        </w:rPr>
        <w:t xml:space="preserve">     </w:t>
      </w:r>
      <w:r w:rsidRPr="00BB4A12">
        <w:rPr>
          <w:sz w:val="28"/>
          <w:szCs w:val="28"/>
          <w:lang w:val="uk-UA"/>
        </w:rPr>
        <w:t>С.І. Сухомлин</w:t>
      </w:r>
    </w:p>
    <w:p w:rsidR="006259EE" w:rsidRPr="00BB4A12" w:rsidRDefault="006259EE" w:rsidP="00911F03">
      <w:pPr>
        <w:rPr>
          <w:sz w:val="28"/>
          <w:szCs w:val="28"/>
          <w:lang w:val="uk-UA"/>
        </w:rPr>
      </w:pPr>
    </w:p>
    <w:p w:rsidR="006259EE" w:rsidRPr="00BB4A12" w:rsidRDefault="006259EE" w:rsidP="00911F03">
      <w:pPr>
        <w:rPr>
          <w:sz w:val="28"/>
          <w:szCs w:val="28"/>
          <w:lang w:val="uk-UA"/>
        </w:rPr>
      </w:pPr>
    </w:p>
    <w:p w:rsidR="006259EE" w:rsidRPr="00BB4A12" w:rsidRDefault="006259EE" w:rsidP="00911F03">
      <w:pPr>
        <w:rPr>
          <w:sz w:val="28"/>
          <w:szCs w:val="28"/>
          <w:lang w:val="uk-UA"/>
        </w:rPr>
      </w:pPr>
    </w:p>
    <w:p w:rsidR="00682BAA" w:rsidRPr="00BB4A12" w:rsidRDefault="00911F03" w:rsidP="00682BAA">
      <w:pPr>
        <w:rPr>
          <w:szCs w:val="28"/>
          <w:lang w:val="uk-UA"/>
        </w:rPr>
      </w:pPr>
      <w:r w:rsidRPr="00BB4A12">
        <w:rPr>
          <w:sz w:val="28"/>
          <w:szCs w:val="28"/>
          <w:lang w:val="uk-UA"/>
        </w:rPr>
        <w:br/>
      </w:r>
      <w:r w:rsidR="00682BAA" w:rsidRPr="00BB4A12">
        <w:rPr>
          <w:szCs w:val="28"/>
          <w:lang w:val="uk-UA"/>
        </w:rPr>
        <w:t>Директор департаменту містобудування та</w:t>
      </w:r>
    </w:p>
    <w:p w:rsidR="00682BAA" w:rsidRPr="00BB4A12" w:rsidRDefault="00682BAA" w:rsidP="00682BAA">
      <w:pPr>
        <w:rPr>
          <w:szCs w:val="28"/>
          <w:lang w:val="uk-UA"/>
        </w:rPr>
      </w:pPr>
      <w:r w:rsidRPr="00BB4A12">
        <w:rPr>
          <w:szCs w:val="28"/>
          <w:lang w:val="uk-UA"/>
        </w:rPr>
        <w:t>земельних відносин міської ради</w:t>
      </w:r>
    </w:p>
    <w:p w:rsidR="00682BAA" w:rsidRPr="00BB4A12" w:rsidRDefault="009D6A99" w:rsidP="00682BAA">
      <w:pPr>
        <w:rPr>
          <w:szCs w:val="28"/>
          <w:lang w:val="uk-UA"/>
        </w:rPr>
      </w:pPr>
      <w:r>
        <w:rPr>
          <w:szCs w:val="28"/>
          <w:lang w:val="uk-UA"/>
        </w:rPr>
        <w:t>Блажиєвський</w:t>
      </w:r>
      <w:r w:rsidR="00682BAA" w:rsidRPr="00BB4A12">
        <w:rPr>
          <w:szCs w:val="28"/>
          <w:lang w:val="uk-UA"/>
        </w:rPr>
        <w:t xml:space="preserve"> І.</w:t>
      </w:r>
      <w:r>
        <w:rPr>
          <w:szCs w:val="28"/>
          <w:lang w:val="uk-UA"/>
        </w:rPr>
        <w:t>Й.</w:t>
      </w:r>
    </w:p>
    <w:p w:rsidR="00911F03" w:rsidRPr="00BB4A12" w:rsidRDefault="00911F03" w:rsidP="00911F03">
      <w:pPr>
        <w:rPr>
          <w:szCs w:val="28"/>
          <w:lang w:val="uk-UA"/>
        </w:rPr>
      </w:pPr>
    </w:p>
    <w:p w:rsidR="00AE02F2" w:rsidRPr="00BB4A12" w:rsidRDefault="00AE02F2">
      <w:pPr>
        <w:rPr>
          <w:sz w:val="28"/>
          <w:szCs w:val="28"/>
          <w:lang w:val="uk-UA"/>
        </w:rPr>
      </w:pPr>
    </w:p>
    <w:sectPr w:rsidR="00AE02F2" w:rsidRPr="00BB4A12" w:rsidSect="007F5F14">
      <w:pgSz w:w="11906" w:h="16838"/>
      <w:pgMar w:top="540"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savePreviewPicture/>
  <w:compat/>
  <w:rsids>
    <w:rsidRoot w:val="00911F03"/>
    <w:rsid w:val="0000307E"/>
    <w:rsid w:val="00081E72"/>
    <w:rsid w:val="00315487"/>
    <w:rsid w:val="003F1B4D"/>
    <w:rsid w:val="0043464F"/>
    <w:rsid w:val="004F5D16"/>
    <w:rsid w:val="0059095F"/>
    <w:rsid w:val="005C29FF"/>
    <w:rsid w:val="006259EE"/>
    <w:rsid w:val="00682BAA"/>
    <w:rsid w:val="006B6863"/>
    <w:rsid w:val="00722949"/>
    <w:rsid w:val="007D35AF"/>
    <w:rsid w:val="007D6FBA"/>
    <w:rsid w:val="007F5F14"/>
    <w:rsid w:val="00911F03"/>
    <w:rsid w:val="00930162"/>
    <w:rsid w:val="00956A5F"/>
    <w:rsid w:val="009C3AA8"/>
    <w:rsid w:val="009D6A99"/>
    <w:rsid w:val="00AE02F2"/>
    <w:rsid w:val="00BB4A12"/>
    <w:rsid w:val="00BF11A3"/>
    <w:rsid w:val="00C70C88"/>
    <w:rsid w:val="00CA2062"/>
    <w:rsid w:val="00D216D1"/>
    <w:rsid w:val="00D52A6E"/>
    <w:rsid w:val="00E37FD6"/>
    <w:rsid w:val="00E8719D"/>
    <w:rsid w:val="00E92FD7"/>
    <w:rsid w:val="00EF20BD"/>
    <w:rsid w:val="00F21BF5"/>
    <w:rsid w:val="00F66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0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3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9D6A99"/>
    <w:rPr>
      <w:b/>
      <w:bCs/>
    </w:rPr>
  </w:style>
  <w:style w:type="paragraph" w:styleId="a5">
    <w:name w:val="Normal (Web)"/>
    <w:basedOn w:val="a"/>
    <w:rsid w:val="009D6A9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50851864">
      <w:bodyDiv w:val="1"/>
      <w:marLeft w:val="0"/>
      <w:marRight w:val="0"/>
      <w:marTop w:val="0"/>
      <w:marBottom w:val="0"/>
      <w:divBdr>
        <w:top w:val="none" w:sz="0" w:space="0" w:color="auto"/>
        <w:left w:val="none" w:sz="0" w:space="0" w:color="auto"/>
        <w:bottom w:val="none" w:sz="0" w:space="0" w:color="auto"/>
        <w:right w:val="none" w:sz="0" w:space="0" w:color="auto"/>
      </w:divBdr>
    </w:div>
    <w:div w:id="132600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Звіт про результати відстеження регуляторного акта “Положення про порядок встановлення розмірів та справляння орендної плати за земельні ділянки в м</vt:lpstr>
    </vt:vector>
  </TitlesOfParts>
  <Company>Home</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про результати відстеження регуляторного акта “Положення про порядок встановлення розмірів та справляння орендної плати за земельні ділянки в м</dc:title>
  <dc:creator>Server</dc:creator>
  <cp:lastModifiedBy>Victor</cp:lastModifiedBy>
  <cp:revision>3</cp:revision>
  <cp:lastPrinted>2017-02-13T07:34:00Z</cp:lastPrinted>
  <dcterms:created xsi:type="dcterms:W3CDTF">2019-03-21T07:30:00Z</dcterms:created>
  <dcterms:modified xsi:type="dcterms:W3CDTF">2019-03-22T07:40:00Z</dcterms:modified>
</cp:coreProperties>
</file>