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62" w:rsidRDefault="0052446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524462" w:rsidRDefault="0052446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до рішення виконавчого</w:t>
      </w:r>
    </w:p>
    <w:p w:rsidR="00524462" w:rsidRDefault="0052446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комітету міської ради</w:t>
      </w:r>
    </w:p>
    <w:p w:rsidR="00524462" w:rsidRDefault="0052446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B131A6">
        <w:rPr>
          <w:rFonts w:ascii="Times New Roman" w:hAnsi="Times New Roman"/>
          <w:sz w:val="28"/>
          <w:szCs w:val="28"/>
          <w:u w:val="single"/>
          <w:lang w:val="uk-UA"/>
        </w:rPr>
        <w:t>від 17.06.2020 р.</w:t>
      </w:r>
      <w:r>
        <w:rPr>
          <w:rFonts w:ascii="Times New Roman" w:hAnsi="Times New Roman"/>
          <w:sz w:val="28"/>
          <w:szCs w:val="28"/>
          <w:lang w:val="uk-UA"/>
        </w:rPr>
        <w:t xml:space="preserve"> №__</w:t>
      </w:r>
      <w:r w:rsidRPr="00B131A6">
        <w:rPr>
          <w:rFonts w:ascii="Times New Roman" w:hAnsi="Times New Roman"/>
          <w:sz w:val="28"/>
          <w:szCs w:val="28"/>
          <w:u w:val="single"/>
          <w:lang w:val="uk-UA"/>
        </w:rPr>
        <w:t>654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24462" w:rsidRDefault="0052446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 послуги, що надаються</w:t>
      </w:r>
    </w:p>
    <w:p w:rsidR="00524462" w:rsidRDefault="0052446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комунальним підприємством «Стоматологічна поліклініка № 2» Житомирської міської ради</w:t>
      </w:r>
    </w:p>
    <w:p w:rsidR="00524462" w:rsidRDefault="00524462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19" w:type="dxa"/>
        <w:tblInd w:w="93" w:type="dxa"/>
        <w:tblLook w:val="00A0"/>
      </w:tblPr>
      <w:tblGrid>
        <w:gridCol w:w="776"/>
        <w:gridCol w:w="194"/>
        <w:gridCol w:w="7128"/>
        <w:gridCol w:w="1521"/>
      </w:tblGrid>
      <w:tr w:rsidR="00524462" w:rsidRPr="00B131A6">
        <w:trPr>
          <w:trHeight w:val="322"/>
        </w:trPr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Назва послуги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Pr="00B131A6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131A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Тариф, грн.      (без ПДВ)</w:t>
            </w:r>
          </w:p>
        </w:tc>
      </w:tr>
      <w:tr w:rsidR="00524462" w:rsidRPr="00B131A6">
        <w:trPr>
          <w:trHeight w:val="322"/>
        </w:trPr>
        <w:tc>
          <w:tcPr>
            <w:tcW w:w="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Pr="00B131A6" w:rsidRDefault="005244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24462">
        <w:trPr>
          <w:trHeight w:val="37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Консультація лікаря, первинний огляд хворого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33,00</w:t>
            </w:r>
          </w:p>
        </w:tc>
      </w:tr>
      <w:tr w:rsidR="00524462">
        <w:trPr>
          <w:trHeight w:val="360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Повторний огляд хворого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33,00</w:t>
            </w:r>
          </w:p>
        </w:tc>
      </w:tr>
      <w:tr w:rsidR="00524462">
        <w:trPr>
          <w:trHeight w:val="31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Оформлення медичної документації первинного пацієнта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31,00</w:t>
            </w:r>
          </w:p>
        </w:tc>
      </w:tr>
      <w:tr w:rsidR="00524462">
        <w:trPr>
          <w:trHeight w:val="28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Анестезія 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31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4.1.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лідокаїн та аналоги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36,00</w:t>
            </w:r>
          </w:p>
        </w:tc>
      </w:tr>
      <w:tr w:rsidR="00524462">
        <w:trPr>
          <w:trHeight w:val="31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4.2.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артифрин та аналоги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46,00</w:t>
            </w:r>
          </w:p>
        </w:tc>
      </w:tr>
      <w:tr w:rsidR="00524462">
        <w:trPr>
          <w:trHeight w:val="315"/>
        </w:trPr>
        <w:tc>
          <w:tcPr>
            <w:tcW w:w="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Рентгенологічне дослідження (компʼютерна візіографія) 1 знімок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54,00</w:t>
            </w:r>
          </w:p>
        </w:tc>
      </w:tr>
      <w:tr w:rsidR="00524462">
        <w:trPr>
          <w:trHeight w:val="42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Хірургічний стоматологічний прийом</w:t>
            </w:r>
          </w:p>
        </w:tc>
      </w:tr>
      <w:tr w:rsidR="00524462">
        <w:trPr>
          <w:trHeight w:val="37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Видалення зуба просте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78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Видалення зуба  складне</w:t>
            </w:r>
            <w:bookmarkStart w:id="0" w:name="_GoBack"/>
            <w:bookmarkEnd w:id="0"/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171,00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Видалення зуба атипове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260,00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Розкриття абсцесу, дренування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81,00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Зупинка кровотечі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36,00</w:t>
            </w:r>
          </w:p>
        </w:tc>
      </w:tr>
      <w:tr w:rsidR="00524462">
        <w:trPr>
          <w:trHeight w:val="3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Видалення доброякісного новоутворення 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184,00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Вестибулопластика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216,00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Реплантація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295,00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Гінгівектомія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113,00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Кюретаж лунки при альвеолітах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100,00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Гемісекція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192,00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Альвеолектомія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132,00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Пластика вуздечки язика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157,00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Розтин, резекція  капюшона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114,00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Цистектомія з резекцією верхівки кореня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526,00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Первинна хірургічна обробка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176,00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Зняття зубних шин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149,00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Перев'язка після складного хірургічного втручання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105,00</w:t>
            </w:r>
          </w:p>
        </w:tc>
      </w:tr>
      <w:tr w:rsidR="00524462">
        <w:trPr>
          <w:trHeight w:val="3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Зняття швів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Накладання швів після простого видалення зуба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98,00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Накладання швів після складного видалення зуба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127,00</w:t>
            </w:r>
          </w:p>
        </w:tc>
      </w:tr>
      <w:tr w:rsidR="00524462">
        <w:trPr>
          <w:trHeight w:val="285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 w:rsidP="00B131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Терапевтичний стоматологічний прийом 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27 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при  середньому карієсі з накладанням пломби із застосуванням: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27.1.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136,00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195,00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27.3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207,00</w:t>
            </w:r>
          </w:p>
        </w:tc>
      </w:tr>
      <w:tr w:rsidR="00524462">
        <w:trPr>
          <w:trHeight w:val="58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Видалення, полірування пломби, пришліфовування, усунення травматичної оклюзії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84,00</w:t>
            </w:r>
          </w:p>
        </w:tc>
      </w:tr>
      <w:tr w:rsidR="00524462">
        <w:trPr>
          <w:trHeight w:val="27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гострого, глибокого карієсу перше відвідування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112,00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гострого, глибокого карієсу друге відвідування з накладанням пломби із застосуванням: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123,00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181,00</w:t>
            </w:r>
          </w:p>
        </w:tc>
      </w:tr>
      <w:tr w:rsidR="00524462">
        <w:trPr>
          <w:trHeight w:val="34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200,00</w:t>
            </w:r>
          </w:p>
        </w:tc>
      </w:tr>
      <w:tr w:rsidR="00524462">
        <w:trPr>
          <w:trHeight w:val="5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хронічного глибокого карієсу з накладанням пломби із застосуванням: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28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169,00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240,00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258,00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періодонтиту друге відвідування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162,00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періодонтиту третє відвідування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223,00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Лікування пульпіту, періодонтиту  без накладання пломби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однокореневого зуба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224,00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двокореневого зуба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312,00</w:t>
            </w:r>
          </w:p>
        </w:tc>
      </w:tr>
      <w:tr w:rsidR="00524462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34.3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трьохкореневого зуба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407,00</w:t>
            </w:r>
          </w:p>
        </w:tc>
      </w:tr>
      <w:tr w:rsidR="00524462">
        <w:trPr>
          <w:trHeight w:val="6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Механічне та хімічне розширення облітерованого каналу зуба, розпломбування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146,00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Пломбування зуба із застосуванням: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тимчасового пломбувального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110,00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124,00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36.4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143,00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Повна реставрація зуба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 хімкомпозитним матеріалом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203,00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Повна реставрація зуба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світлополімерним матеріалом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524462" w:rsidRDefault="00524462" w:rsidP="00B131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279,00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Повна реставрація зуба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світлополімерним матеріалом Діафіл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 w:rsidP="00B131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311,00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Відновлення коронки штифтом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однокореневого зуба із застосуванням: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 w:rsidP="00B131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24462">
        <w:trPr>
          <w:trHeight w:val="3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271,00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376,00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40.3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408,00</w:t>
            </w:r>
          </w:p>
        </w:tc>
      </w:tr>
      <w:tr w:rsidR="00524462">
        <w:trPr>
          <w:trHeight w:val="27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Відновлення коронки штифтом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багатокореневого зуба із застосуванням: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41.1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хімкомпозитного матеріалу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330,00</w:t>
            </w:r>
          </w:p>
        </w:tc>
      </w:tr>
      <w:tr w:rsidR="00524462">
        <w:trPr>
          <w:trHeight w:val="33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41.2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Лателюкс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435,00</w:t>
            </w:r>
          </w:p>
        </w:tc>
      </w:tr>
      <w:tr w:rsidR="00524462">
        <w:trPr>
          <w:trHeight w:val="28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41.3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світлополімерного матеріалу Діафіл (аналоги)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467,00</w:t>
            </w:r>
          </w:p>
        </w:tc>
      </w:tr>
      <w:tr w:rsidR="00524462">
        <w:trPr>
          <w:trHeight w:val="31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Професійна чистка зубів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186,00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Обробка ясен, аплікація 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462" w:rsidRDefault="00524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Обробка зубів при гіперестезії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90,00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Ортопедичний стоматологічний прийом (зубне протезування)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знімних пластинчатих протезів: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Повний знімний протез з матеріалів вітчизняного виробника (з вітчизняними зубами)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Повний знімний протез з матеріалів імпортного виробника (з імпортними зубами)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Повний протез з ускладненою постановкою зубів в анатомічному артикуляторі з вітчизняних матеріалів (з вітчизняними зубами)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Повний протез з ускладненою постановкою зубів в анатомічному артикуляторі з матеріалів імпортного виробника (з імпортними зубами)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Частковий протез  з вітчизняних матеріалів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Частковий протез  з імпортних матеріалів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додаткових елементів робіт до пластинчатих протезів: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та постановка гнутого кламеру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Виготовлення, кріплення та видалення ізоляції для торуса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Вигинання, постановка в базис стальної арматури і моделювання базиса армованого протеза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еластичної підкладки до базису протеза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Індивідуальна ложка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незнімних паяних протезів: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стальна штампована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Спайка 2-х коронок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Додаткова спайка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Коронка стальна з пластмасовим облицюванням (по Белкину)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стальний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Лапка лита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Лита оклюзійна накладка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литий з фасеткою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Стальний штифтовий зуб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пластмасова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Ковпачкова коронка з пластмасовою фасеткою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Бюгельне протезування виготовлене  на вогнетривких моделях: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Бюгельний протез з замковим кріпленням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Бюгельний протез з кламерним кріпленням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Бюгельний протез із змішаним кріпленням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замковим кріпленням+ кламерним)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4162,00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цільнолитих незнімних протезів: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лита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лита з пластмасовим облицюванням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литий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литий з пластмасовою фасеткою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Полукоронка лита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Вкладка лита куксова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Штифтова розбірна вкладка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Постійна величина до цільнолитих незнімних протезів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металокерамічних протезів: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металокерамічна, базова вкладка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металокерамічний, базова вкладка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металокерамічна, з транслюцентними масами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металокерамічний з транслюцентними масами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Коронка металокерамічна, з люмінесцентними масами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 металокерамічний з люмінесцентними масами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 знімних пластинчатих протезів з нейлону: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Повний знімний протез з нейлону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Частковий протез з нейлону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2588,00</w:t>
            </w:r>
          </w:p>
        </w:tc>
      </w:tr>
      <w:tr w:rsidR="0052446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Додаткові послуги: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консультація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Повторний огляд хворого, консультація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Зняття коронки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Цементування коронки цинк-фосфатним цементом (Адгезор)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Цементування коронки склоіномерним цементом (Кетак Цем)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Відбиток подвійний з силіконового матеріалу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Зета плюс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+з силіконового коригуючого матеріалу Зета плюс)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Відбиток з альгінатного матеріалу (Упін)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tabs>
                <w:tab w:val="left" w:pos="4380"/>
              </w:tabs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Відбиток з  силіконового матеріалу (Зета плюс)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Відбиток з силіконового матеріалу (Консіфлекс)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Відбиток з цинк-евгінольного матеріалу (Репін)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(аналоги)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</w:pPr>
            <w:r>
              <w:rPr>
                <w:rFonts w:ascii="Times New Roman" w:hAnsi="Times New Roman"/>
                <w:sz w:val="28"/>
                <w:szCs w:val="28"/>
              </w:rPr>
              <w:t>Декоративне покриття (коронки, фасетки, зуба)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34,00</w:t>
            </w:r>
          </w:p>
        </w:tc>
      </w:tr>
      <w:tr w:rsidR="00524462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2" w:rsidRDefault="00524462">
            <w:pPr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Декоративне покриття (кламера)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462" w:rsidRDefault="00524462">
            <w:pPr>
              <w:spacing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</w:tr>
    </w:tbl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В.о.начальника управління </w:t>
      </w:r>
    </w:p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охорони здоров»я міської ради                                                       І.А.Шкап</w:t>
      </w:r>
    </w:p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 w:rsidP="00B13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       О.М.Пашко</w:t>
      </w:r>
    </w:p>
    <w:p w:rsidR="00524462" w:rsidRDefault="00524462" w:rsidP="00B131A6">
      <w:pPr>
        <w:spacing w:beforeAutospacing="1" w:afterAutospacing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 w:rsidP="00B131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Pr="00B131A6" w:rsidRDefault="00524462" w:rsidP="00B131A6">
      <w:pPr>
        <w:spacing w:beforeAutospacing="1" w:afterAutospacing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beforeAutospacing="1" w:afterAutospacing="1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beforeAutospacing="1" w:afterAutospacing="1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beforeAutospacing="1" w:afterAutospacing="1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beforeAutospacing="1" w:afterAutospacing="1"/>
        <w:rPr>
          <w:rFonts w:ascii="Times New Roman" w:hAnsi="Times New Roman"/>
          <w:sz w:val="28"/>
          <w:szCs w:val="28"/>
          <w:lang w:val="uk-UA"/>
        </w:rPr>
      </w:pPr>
    </w:p>
    <w:p w:rsidR="00524462" w:rsidRDefault="00524462">
      <w:pPr>
        <w:spacing w:beforeAutospacing="1" w:afterAutospacing="1"/>
      </w:pPr>
    </w:p>
    <w:sectPr w:rsidR="00524462" w:rsidSect="00B131A6">
      <w:headerReference w:type="default" r:id="rId6"/>
      <w:pgSz w:w="11906" w:h="16838"/>
      <w:pgMar w:top="1079" w:right="850" w:bottom="1438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62" w:rsidRDefault="00524462" w:rsidP="0067368E">
      <w:pPr>
        <w:spacing w:after="0" w:line="240" w:lineRule="auto"/>
      </w:pPr>
      <w:r>
        <w:separator/>
      </w:r>
    </w:p>
  </w:endnote>
  <w:endnote w:type="continuationSeparator" w:id="0">
    <w:p w:rsidR="00524462" w:rsidRDefault="00524462" w:rsidP="0067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62" w:rsidRDefault="00524462" w:rsidP="0067368E">
      <w:pPr>
        <w:spacing w:after="0" w:line="240" w:lineRule="auto"/>
      </w:pPr>
      <w:r>
        <w:separator/>
      </w:r>
    </w:p>
  </w:footnote>
  <w:footnote w:type="continuationSeparator" w:id="0">
    <w:p w:rsidR="00524462" w:rsidRDefault="00524462" w:rsidP="0067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62" w:rsidRDefault="00524462">
    <w:pPr>
      <w:pStyle w:val="Header"/>
      <w:tabs>
        <w:tab w:val="clear" w:pos="4677"/>
        <w:tab w:val="clear" w:pos="9355"/>
      </w:tabs>
      <w:jc w:val="right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sz w:val="24"/>
        <w:szCs w:val="24"/>
        <w:lang w:val="uk-UA"/>
      </w:rPr>
      <w:t>Продовження додатка 2</w:t>
    </w:r>
  </w:p>
  <w:p w:rsidR="00524462" w:rsidRDefault="005244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68E"/>
    <w:rsid w:val="00377415"/>
    <w:rsid w:val="00524462"/>
    <w:rsid w:val="0067368E"/>
    <w:rsid w:val="00B131A6"/>
    <w:rsid w:val="00DB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uiPriority w:val="99"/>
    <w:rPr>
      <w:sz w:val="22"/>
      <w:lang w:val="ru-RU" w:eastAsia="en-US"/>
    </w:rPr>
  </w:style>
  <w:style w:type="character" w:customStyle="1" w:styleId="a0">
    <w:name w:val="Нижний колонтитул Знак"/>
    <w:uiPriority w:val="99"/>
    <w:rPr>
      <w:sz w:val="22"/>
      <w:lang w:val="ru-RU" w:eastAsia="en-US"/>
    </w:rPr>
  </w:style>
  <w:style w:type="character" w:customStyle="1" w:styleId="ListLabel1">
    <w:name w:val="ListLabel 1"/>
    <w:uiPriority w:val="99"/>
    <w:rsid w:val="0067368E"/>
  </w:style>
  <w:style w:type="character" w:customStyle="1" w:styleId="ListLabel2">
    <w:name w:val="ListLabel 2"/>
    <w:uiPriority w:val="99"/>
    <w:rsid w:val="0067368E"/>
  </w:style>
  <w:style w:type="character" w:customStyle="1" w:styleId="ListLabel3">
    <w:name w:val="ListLabel 3"/>
    <w:uiPriority w:val="99"/>
    <w:rsid w:val="0067368E"/>
  </w:style>
  <w:style w:type="character" w:customStyle="1" w:styleId="ListLabel4">
    <w:name w:val="ListLabel 4"/>
    <w:uiPriority w:val="99"/>
    <w:rsid w:val="0067368E"/>
  </w:style>
  <w:style w:type="character" w:customStyle="1" w:styleId="ListLabel5">
    <w:name w:val="ListLabel 5"/>
    <w:uiPriority w:val="99"/>
    <w:rsid w:val="0067368E"/>
  </w:style>
  <w:style w:type="paragraph" w:customStyle="1" w:styleId="a1">
    <w:name w:val="Заголовок"/>
    <w:basedOn w:val="Normal"/>
    <w:next w:val="BodyText"/>
    <w:uiPriority w:val="99"/>
    <w:rsid w:val="0067368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368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381"/>
    <w:rPr>
      <w:lang w:eastAsia="en-US"/>
    </w:rPr>
  </w:style>
  <w:style w:type="paragraph" w:styleId="List">
    <w:name w:val="List"/>
    <w:basedOn w:val="BodyText"/>
    <w:uiPriority w:val="99"/>
    <w:rsid w:val="0067368E"/>
    <w:rPr>
      <w:rFonts w:cs="Arial"/>
    </w:rPr>
  </w:style>
  <w:style w:type="paragraph" w:styleId="Caption">
    <w:name w:val="caption"/>
    <w:basedOn w:val="Normal"/>
    <w:uiPriority w:val="99"/>
    <w:qFormat/>
    <w:rsid w:val="006736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Покажчик"/>
    <w:basedOn w:val="Normal"/>
    <w:uiPriority w:val="99"/>
    <w:rsid w:val="0067368E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381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3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5</Pages>
  <Words>1157</Words>
  <Characters>6595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 Windows</cp:lastModifiedBy>
  <cp:revision>19</cp:revision>
  <dcterms:created xsi:type="dcterms:W3CDTF">2020-04-28T14:07:00Z</dcterms:created>
  <dcterms:modified xsi:type="dcterms:W3CDTF">2020-07-28T11:02:00Z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