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AB" w:rsidRPr="008244AB" w:rsidRDefault="008244AB" w:rsidP="008244AB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 УКРАЇНА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>ЖИТОМИРСЬКА МІСЬКА РАДА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Р І Ш Е Н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</w:t>
      </w:r>
      <w:proofErr w:type="spellEnd"/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Я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Друга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сесія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шостого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скликання</w:t>
      </w:r>
      <w:proofErr w:type="spellEnd"/>
    </w:p>
    <w:p w:rsidR="008244AB" w:rsidRPr="008244AB" w:rsidRDefault="008244AB" w:rsidP="008244AB">
      <w:pPr>
        <w:shd w:val="clear" w:color="auto" w:fill="FCFDFD"/>
        <w:spacing w:after="0" w:line="240" w:lineRule="auto"/>
        <w:jc w:val="right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244AB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</w:p>
    <w:p w:rsidR="008244AB" w:rsidRPr="008244AB" w:rsidRDefault="008244AB" w:rsidP="008244AB">
      <w:pPr>
        <w:shd w:val="clear" w:color="auto" w:fill="FCFDFD"/>
        <w:spacing w:before="94" w:after="94" w:line="240" w:lineRule="auto"/>
        <w:ind w:firstLine="374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8244A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Про </w:t>
      </w:r>
      <w:proofErr w:type="spellStart"/>
      <w:r w:rsidRPr="008244A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міський</w:t>
      </w:r>
      <w:proofErr w:type="spellEnd"/>
      <w:r w:rsidRPr="008244A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бюджет</w:t>
      </w:r>
      <w:r w:rsidRPr="008244A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br/>
        <w:t xml:space="preserve">на 2011 </w:t>
      </w:r>
      <w:proofErr w:type="spellStart"/>
      <w:proofErr w:type="gramStart"/>
      <w:r w:rsidRPr="008244A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підставі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статті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143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Конституції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статей 26, 61 Закону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“Про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місцеве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самоврядування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”,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статті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77 Бюджетного кодексу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, Закону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“Про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Державний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2011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“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Житомирська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рада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>ВИРІШИЛА: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доходів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на 2011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653 533 886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у тому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числі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субвенцій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державного бюджету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208 448 500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дотації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вирівнювання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одержуються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державного бюджету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68 315 600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додаткової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дотації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державного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бюджетам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вирівнювання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фінансової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забезпеченості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189 400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доходів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визначити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644 991 800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– 8 542 086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№1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)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2.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на 2011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653 533 886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у тому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числі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бюджету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639 659 900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бюджету 13 873 986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тимчасовою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класифікацією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кредитуванням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бюджетів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№2)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головними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розпорядниками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 3).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3.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проф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іцит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5 331 900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№5),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напрямом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використання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визначити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передачу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до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розвитку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фонду).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4.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дефіцит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5 331 900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джерелом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покриття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визначити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надходження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розвитку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5.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spellEnd"/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оборотного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касового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залишку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бюджетних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3 000 000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міжбюджетних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трансфертів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бюджетам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районів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міста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 4) на 2011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lastRenderedPageBreak/>
        <w:t xml:space="preserve">6.1.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Субвенцій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державного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бюджетам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208 448 500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у тому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числі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: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6.1.1.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Виплату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допомоги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сім’ям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дітьми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малозабезпеченим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сім’ям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дитинства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дітя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м-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тимчасової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державної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допомоги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– 143 125 000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6.1.2.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житлових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субсидій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населенню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оплату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електроенергії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природного газу,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тепло-,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водопостачання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водовідведення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квартирної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плати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утримання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будинків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споруд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прибудинкових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територій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),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вивезення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побутового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сміття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рідких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нечистот - 49 212 700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6.1.3.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зв’язку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інших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передбачених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законодавством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пільг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крім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пільг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одержання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ліків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зубопротезування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оплату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електроенергії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природного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скрапленого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газу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побутові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потреби, твердого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рідкого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пічного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побутового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палива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тепло-,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водопостачання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водовідведення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квартирної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плати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утримання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будинків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споруд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прибудинкових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територій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),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вивезення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побутового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сміття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рідких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нечистот)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компенсацію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ільговий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проїзд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окремих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категорій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громадян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- 14 425 300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6.1.4.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житлових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субсидій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населенню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придбання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твердого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рідкого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пічного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побутового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палива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скрапленого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газу – 38 400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6.1.5.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Виплату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державної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соц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іальної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допомоги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дітей-сиріт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дітей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позбавлених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батьківського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піклування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грошового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забезпечення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батькам-вихователям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прийомним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батькам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соціальних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дитячих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будинках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сімейного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типу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прийомних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сім'ях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принципом «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гроші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ходять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дитиною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» - 1 552 200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6.1.6.Збереження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середньої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заробітної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плати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період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працевлаштування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посадових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осіб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самоврядування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числа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депутатів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ідповідних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потребують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працевлаштування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зв’язку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закінченням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строку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повноважень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– 44 900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6.2.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Інших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субвенцій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делегованих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повноважень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– 7 287 900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6.3.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Субвенції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державного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бюджетам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фінансування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ремонту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приміщень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управлінь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соц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захисту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міст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республіканського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Автономній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Республіці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Крим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обласного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значення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районних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містах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Києві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Севастополі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районних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містах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 для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здійснення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заходів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спільного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Св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ітовим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банком проекту „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Вдосконалення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системи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соціальної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допомоги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” – 50 000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7.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перелік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об’єктів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( </w:t>
      </w:r>
      <w:proofErr w:type="spellStart"/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№6),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фінансування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буде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здійснено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рахунок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розвитку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8.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резервного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на 2011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2 793 900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9.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перелік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захищених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статей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на 2011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економічною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структурою :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lastRenderedPageBreak/>
        <w:t xml:space="preserve">оплата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працівників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бюджетних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код 1110);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нарахування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заробітну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плату ( код 1120);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придбання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медикаментів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перев’язувальних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матеріалів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код 1132);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поточні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трансферти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населенню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код 1340);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забезпечення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продуктами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харчування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( 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код1133);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оплата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комунальних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енергоносіїв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 код 1160);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поточні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трансферти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місцевим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бюджетам ( код 1320).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10.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складі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реалізацію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державних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регіональних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галузевих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програм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суму 410 399 436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 7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)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11.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складі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спеціального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охорони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навколишнього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природного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середовища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865 900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( </w:t>
      </w:r>
      <w:proofErr w:type="spellStart"/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додаток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№ 8).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12.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право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комітету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здійснювати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упродовж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2011 року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внесення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змін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субвенцій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державного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обласного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проводити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перерозподіл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субвенцій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між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районними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ст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бюджетами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подальшим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затвердженням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черговій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сесії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13.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Витрати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утримання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Житомирської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ради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проводити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межах 21 534 000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гривень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виходячи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чисельності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кількості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287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одиниць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14.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Посадовий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оклад, надбавки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виплачувати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згідно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чинного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законодавства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враховуючи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безпосередню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участь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розробці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проведенні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експертизи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проектів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нормативно-правових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актів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комітету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: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високі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досягнення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-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50%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посадового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окладу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урахуванням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надбавки за ранг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вислугу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; за роботу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відомостями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носіями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мають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ступінь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секретності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«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Ц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ілком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таємно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» -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розмірі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15%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посадового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окладу.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Поточне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преміювання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проводити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щомісячно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середнього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відсотка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премії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встановленого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розпорядженням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, секретарю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першому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заступнику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заступникам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питань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діяльності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керуючому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справами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виконкому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місячної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заробітної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плати,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урахуванням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посадового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окладу, надбавок за ранг,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вислугу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високі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досягнення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інших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надбавок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доплат.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Преміювання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державних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професійних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свят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ювілейних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дат,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матеріальних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допомог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оздоровлення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для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вирішення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соц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іально-побутових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питань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–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розмірах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згідно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чинного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законодавства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в межах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затвердженого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оплати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15.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Житомирському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надається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право: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-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визначати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кількісний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склад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чисельність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)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департаментів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управлінь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відділів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служб) в межах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lastRenderedPageBreak/>
        <w:t>чисельності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;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-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встановлювати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надбавки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посадового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окладу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урахуванням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надбавки за ранг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вислугу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високі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досягнення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преміювати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матеріальні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допомоги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першому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заступнику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заступникам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питань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діяльності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ради, секретарю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керуючому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справами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комітету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керівникам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структурних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ідрозділів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заступникам в межах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затвердженого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оплати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відповідного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органу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-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затверджувати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штатні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розписи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органів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Житомирської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16.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право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виконавчому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комітету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отримувати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-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позики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покриття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тимчасових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касових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розривів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пов’язаних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забезпеченням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захищених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статей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видатків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загального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фонду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бюджету;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-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середньострокові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позики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суми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невиконання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відповідному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звітному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періоді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розрахункових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доходів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на 2011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враховуються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визначенні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обсягу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міжбюджетних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трансфертів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Законі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«Про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Державний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України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2011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».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17.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Дозволити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департаменту бюджету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фінансів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ради,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погодженням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постійною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комісією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ради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питань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комунальної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власності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інвестицій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протягом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періоду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здійснювати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конкурсних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засадах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розміщення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тимчасово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депозитних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рахунках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банків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подальшим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поверненням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таких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кінця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поточного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періоду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18.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Головним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розпорядникам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коштів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бюджету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забезпечити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першочерговому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порядку потребу в коштах на оплату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працівників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бюджетних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відповідно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встановлених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чинним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законодавством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умов оплати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праці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розміру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мінімальної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заробітної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плати,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проведення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розрахунків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електричну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енергію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теплову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енергію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водопостачання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водовідведення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природний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газ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зв’язку</w:t>
      </w:r>
      <w:proofErr w:type="spellEnd"/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споживаються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бюджетними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установами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  <w:t xml:space="preserve">19.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Установити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зору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I-II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групи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надаються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розмірі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50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відсотків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вартості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користування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житлом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квартирна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плата),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комунальних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(газ,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електроенергія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інші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види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) в межах норм,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передбачених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діючим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законодавством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твердого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палива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скрапленого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газу в межах норм,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встановлених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для продажу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населенню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для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осіб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проживають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будинках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не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мають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центрального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опалення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щодо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плати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житло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комунальні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послуги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тверде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паливо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скраплений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газ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надавати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інвалідам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зору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I-II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групи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членам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їх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сім'ї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проживають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разом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ними,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незалежно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від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виду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житла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форми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власності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нього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. При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наданні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ільг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до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членів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сімей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по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зору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lastRenderedPageBreak/>
        <w:t>належить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 дружина (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чоловік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),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їхні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неповнолітні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(до 18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років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);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неодружені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повнолітні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діти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які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визнані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інвалідами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дитинства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I та II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групи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або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інвалідами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I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групи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; особа, яка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проживає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разом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інвалідом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I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групи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доглядає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за ним за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умови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інвалід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не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перебуває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у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шлюбі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;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непрацездатні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батьки; особа, яка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знаходиться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</w:t>
      </w:r>
      <w:proofErr w:type="gram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ід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опікою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або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піклуванням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громадянина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що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має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право на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пільги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, та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проживає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разом 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з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ним.</w:t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hyperlink r:id="rId4" w:history="1"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20. 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Додатки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 № 1-9 до 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цього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 </w:t>
        </w:r>
        <w:proofErr w:type="spellStart"/>
        <w:proofErr w:type="gram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р</w:t>
        </w:r>
        <w:proofErr w:type="gram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ішення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 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є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 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його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 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невід’ємною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 xml:space="preserve"> 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частиною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. (</w:t>
        </w:r>
        <w:proofErr w:type="spellStart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Скачати</w:t>
        </w:r>
        <w:proofErr w:type="spellEnd"/>
        <w:r w:rsidRPr="008244AB">
          <w:rPr>
            <w:rFonts w:ascii="Arial" w:eastAsia="Times New Roman" w:hAnsi="Arial" w:cs="Arial"/>
            <w:color w:val="000099"/>
            <w:sz w:val="27"/>
            <w:lang w:eastAsia="ru-RU"/>
          </w:rPr>
          <w:t>)</w:t>
        </w:r>
      </w:hyperlink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br/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Міський</w:t>
      </w:r>
      <w:proofErr w:type="spellEnd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 xml:space="preserve"> голова                            </w:t>
      </w:r>
      <w:proofErr w:type="spellStart"/>
      <w:r w:rsidRPr="008244AB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В.М.Дебой</w:t>
      </w:r>
      <w:proofErr w:type="spellEnd"/>
    </w:p>
    <w:p w:rsidR="008037C0" w:rsidRDefault="008037C0"/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4AB"/>
    <w:rsid w:val="00000F71"/>
    <w:rsid w:val="000035E8"/>
    <w:rsid w:val="00005038"/>
    <w:rsid w:val="0001799F"/>
    <w:rsid w:val="00030C3C"/>
    <w:rsid w:val="00035052"/>
    <w:rsid w:val="0003509F"/>
    <w:rsid w:val="0004339E"/>
    <w:rsid w:val="00045DD3"/>
    <w:rsid w:val="00050243"/>
    <w:rsid w:val="000530FF"/>
    <w:rsid w:val="000550FB"/>
    <w:rsid w:val="0005518F"/>
    <w:rsid w:val="00055204"/>
    <w:rsid w:val="00060DEB"/>
    <w:rsid w:val="000611D7"/>
    <w:rsid w:val="000674A4"/>
    <w:rsid w:val="000706AE"/>
    <w:rsid w:val="00084260"/>
    <w:rsid w:val="000855F6"/>
    <w:rsid w:val="000860D7"/>
    <w:rsid w:val="00091FED"/>
    <w:rsid w:val="00093E69"/>
    <w:rsid w:val="00094605"/>
    <w:rsid w:val="0009741C"/>
    <w:rsid w:val="000A02A5"/>
    <w:rsid w:val="000A2DFE"/>
    <w:rsid w:val="000A4EA6"/>
    <w:rsid w:val="000B5964"/>
    <w:rsid w:val="000B6025"/>
    <w:rsid w:val="000D5549"/>
    <w:rsid w:val="000E171B"/>
    <w:rsid w:val="000E3D26"/>
    <w:rsid w:val="000E477A"/>
    <w:rsid w:val="000E5EE6"/>
    <w:rsid w:val="000F45C4"/>
    <w:rsid w:val="000F5203"/>
    <w:rsid w:val="000F7116"/>
    <w:rsid w:val="000F77FC"/>
    <w:rsid w:val="000F7CE0"/>
    <w:rsid w:val="001078DC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21A"/>
    <w:rsid w:val="00160F18"/>
    <w:rsid w:val="001645BE"/>
    <w:rsid w:val="00164C5B"/>
    <w:rsid w:val="001837DA"/>
    <w:rsid w:val="00186C08"/>
    <w:rsid w:val="0019296A"/>
    <w:rsid w:val="001A1FC0"/>
    <w:rsid w:val="001A4D95"/>
    <w:rsid w:val="001B2155"/>
    <w:rsid w:val="001B3465"/>
    <w:rsid w:val="001B4413"/>
    <w:rsid w:val="001B6A4C"/>
    <w:rsid w:val="001C3883"/>
    <w:rsid w:val="001C5A4F"/>
    <w:rsid w:val="001D4F35"/>
    <w:rsid w:val="001D640B"/>
    <w:rsid w:val="001F2D19"/>
    <w:rsid w:val="001F5672"/>
    <w:rsid w:val="001F7CF4"/>
    <w:rsid w:val="002053B0"/>
    <w:rsid w:val="002154CB"/>
    <w:rsid w:val="0022079A"/>
    <w:rsid w:val="00221CA8"/>
    <w:rsid w:val="00222D48"/>
    <w:rsid w:val="00232422"/>
    <w:rsid w:val="00233531"/>
    <w:rsid w:val="00241AAE"/>
    <w:rsid w:val="00242A67"/>
    <w:rsid w:val="00251C7D"/>
    <w:rsid w:val="002522D9"/>
    <w:rsid w:val="0025302B"/>
    <w:rsid w:val="0025630E"/>
    <w:rsid w:val="00257686"/>
    <w:rsid w:val="00263745"/>
    <w:rsid w:val="00267C63"/>
    <w:rsid w:val="00271442"/>
    <w:rsid w:val="002746B9"/>
    <w:rsid w:val="00277CFE"/>
    <w:rsid w:val="00280C80"/>
    <w:rsid w:val="00282F9D"/>
    <w:rsid w:val="00286A26"/>
    <w:rsid w:val="00287ACA"/>
    <w:rsid w:val="00293BF0"/>
    <w:rsid w:val="00293CEB"/>
    <w:rsid w:val="002971F4"/>
    <w:rsid w:val="00297C0B"/>
    <w:rsid w:val="00297EA7"/>
    <w:rsid w:val="002A7BFF"/>
    <w:rsid w:val="002B24BD"/>
    <w:rsid w:val="002B3431"/>
    <w:rsid w:val="002B518D"/>
    <w:rsid w:val="002B62B1"/>
    <w:rsid w:val="002C1377"/>
    <w:rsid w:val="002D25D9"/>
    <w:rsid w:val="002D48AE"/>
    <w:rsid w:val="002E1AF1"/>
    <w:rsid w:val="002E39B7"/>
    <w:rsid w:val="002F02E1"/>
    <w:rsid w:val="002F2729"/>
    <w:rsid w:val="002F556D"/>
    <w:rsid w:val="002F6DC8"/>
    <w:rsid w:val="003006C1"/>
    <w:rsid w:val="0030577E"/>
    <w:rsid w:val="003174E1"/>
    <w:rsid w:val="003212DA"/>
    <w:rsid w:val="003332DB"/>
    <w:rsid w:val="00333BB9"/>
    <w:rsid w:val="0033613F"/>
    <w:rsid w:val="00336EB3"/>
    <w:rsid w:val="00337989"/>
    <w:rsid w:val="0034045C"/>
    <w:rsid w:val="00340F70"/>
    <w:rsid w:val="00342192"/>
    <w:rsid w:val="00344A9F"/>
    <w:rsid w:val="00360249"/>
    <w:rsid w:val="00362135"/>
    <w:rsid w:val="0036290C"/>
    <w:rsid w:val="00371CA3"/>
    <w:rsid w:val="00372361"/>
    <w:rsid w:val="00373573"/>
    <w:rsid w:val="003741FC"/>
    <w:rsid w:val="00382254"/>
    <w:rsid w:val="00383B8D"/>
    <w:rsid w:val="00384FE8"/>
    <w:rsid w:val="003976CC"/>
    <w:rsid w:val="00397BE8"/>
    <w:rsid w:val="003A024F"/>
    <w:rsid w:val="003A4A26"/>
    <w:rsid w:val="003B67B7"/>
    <w:rsid w:val="003C169E"/>
    <w:rsid w:val="003D4B4E"/>
    <w:rsid w:val="003E4710"/>
    <w:rsid w:val="003E5572"/>
    <w:rsid w:val="003F0007"/>
    <w:rsid w:val="003F22A4"/>
    <w:rsid w:val="0040142E"/>
    <w:rsid w:val="004030CB"/>
    <w:rsid w:val="00407C04"/>
    <w:rsid w:val="00411649"/>
    <w:rsid w:val="00417821"/>
    <w:rsid w:val="004258FB"/>
    <w:rsid w:val="004276F2"/>
    <w:rsid w:val="00431437"/>
    <w:rsid w:val="004331A4"/>
    <w:rsid w:val="004364B9"/>
    <w:rsid w:val="00444E11"/>
    <w:rsid w:val="004473CB"/>
    <w:rsid w:val="0045677C"/>
    <w:rsid w:val="00460D37"/>
    <w:rsid w:val="004662D3"/>
    <w:rsid w:val="004733BF"/>
    <w:rsid w:val="00473F6A"/>
    <w:rsid w:val="00474FC0"/>
    <w:rsid w:val="00476328"/>
    <w:rsid w:val="00490587"/>
    <w:rsid w:val="004943C4"/>
    <w:rsid w:val="00494C1C"/>
    <w:rsid w:val="004A3B8D"/>
    <w:rsid w:val="004A52BC"/>
    <w:rsid w:val="004A5858"/>
    <w:rsid w:val="004B1B2A"/>
    <w:rsid w:val="004B2ADA"/>
    <w:rsid w:val="004B5814"/>
    <w:rsid w:val="004B7A65"/>
    <w:rsid w:val="004B7EB2"/>
    <w:rsid w:val="004C1432"/>
    <w:rsid w:val="004C2AD7"/>
    <w:rsid w:val="004C4BAA"/>
    <w:rsid w:val="004D4596"/>
    <w:rsid w:val="004D5B9E"/>
    <w:rsid w:val="004E1229"/>
    <w:rsid w:val="004E28C0"/>
    <w:rsid w:val="004E3983"/>
    <w:rsid w:val="004E75FD"/>
    <w:rsid w:val="004F3923"/>
    <w:rsid w:val="004F4600"/>
    <w:rsid w:val="005032C8"/>
    <w:rsid w:val="0051339A"/>
    <w:rsid w:val="00513CDE"/>
    <w:rsid w:val="00517A77"/>
    <w:rsid w:val="005203B0"/>
    <w:rsid w:val="0053171C"/>
    <w:rsid w:val="00540951"/>
    <w:rsid w:val="0054317D"/>
    <w:rsid w:val="005444E5"/>
    <w:rsid w:val="00554DFB"/>
    <w:rsid w:val="00556CCF"/>
    <w:rsid w:val="00561206"/>
    <w:rsid w:val="00561A01"/>
    <w:rsid w:val="00563C4C"/>
    <w:rsid w:val="0058281B"/>
    <w:rsid w:val="005836CF"/>
    <w:rsid w:val="005A3C8E"/>
    <w:rsid w:val="005A46C3"/>
    <w:rsid w:val="005A7087"/>
    <w:rsid w:val="005A782B"/>
    <w:rsid w:val="005B576D"/>
    <w:rsid w:val="005C6992"/>
    <w:rsid w:val="005D0704"/>
    <w:rsid w:val="005D28BD"/>
    <w:rsid w:val="005E183F"/>
    <w:rsid w:val="005E1FF4"/>
    <w:rsid w:val="005E5535"/>
    <w:rsid w:val="005E623C"/>
    <w:rsid w:val="005F3307"/>
    <w:rsid w:val="00602279"/>
    <w:rsid w:val="006043E5"/>
    <w:rsid w:val="00623733"/>
    <w:rsid w:val="00624BF6"/>
    <w:rsid w:val="00636E35"/>
    <w:rsid w:val="006378AD"/>
    <w:rsid w:val="00637FD6"/>
    <w:rsid w:val="00644AA3"/>
    <w:rsid w:val="0064553D"/>
    <w:rsid w:val="00646908"/>
    <w:rsid w:val="006517BB"/>
    <w:rsid w:val="00655334"/>
    <w:rsid w:val="00656988"/>
    <w:rsid w:val="00660DEA"/>
    <w:rsid w:val="00663E6C"/>
    <w:rsid w:val="00664C5F"/>
    <w:rsid w:val="0067199E"/>
    <w:rsid w:val="00672CB6"/>
    <w:rsid w:val="00673B64"/>
    <w:rsid w:val="00686C60"/>
    <w:rsid w:val="00693893"/>
    <w:rsid w:val="00694F2B"/>
    <w:rsid w:val="006A13AA"/>
    <w:rsid w:val="006A22C2"/>
    <w:rsid w:val="006A2CFE"/>
    <w:rsid w:val="006A5E92"/>
    <w:rsid w:val="006B0113"/>
    <w:rsid w:val="006B34C1"/>
    <w:rsid w:val="006B3FB7"/>
    <w:rsid w:val="006C541B"/>
    <w:rsid w:val="006D158F"/>
    <w:rsid w:val="006D68C6"/>
    <w:rsid w:val="006E05E0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314A"/>
    <w:rsid w:val="007535D6"/>
    <w:rsid w:val="0076081C"/>
    <w:rsid w:val="00767FDF"/>
    <w:rsid w:val="00772DDB"/>
    <w:rsid w:val="00773F27"/>
    <w:rsid w:val="00776083"/>
    <w:rsid w:val="00780CAE"/>
    <w:rsid w:val="00784C00"/>
    <w:rsid w:val="0078608F"/>
    <w:rsid w:val="00786A85"/>
    <w:rsid w:val="007913B8"/>
    <w:rsid w:val="00793204"/>
    <w:rsid w:val="00793443"/>
    <w:rsid w:val="007970C8"/>
    <w:rsid w:val="007A2DEE"/>
    <w:rsid w:val="007A5681"/>
    <w:rsid w:val="007B3F18"/>
    <w:rsid w:val="007C0427"/>
    <w:rsid w:val="007C7F32"/>
    <w:rsid w:val="007D3D2B"/>
    <w:rsid w:val="007D580A"/>
    <w:rsid w:val="007E4F2A"/>
    <w:rsid w:val="007E740E"/>
    <w:rsid w:val="007E74D8"/>
    <w:rsid w:val="00801B1D"/>
    <w:rsid w:val="008037C0"/>
    <w:rsid w:val="0080382E"/>
    <w:rsid w:val="0080548C"/>
    <w:rsid w:val="00807513"/>
    <w:rsid w:val="00817C47"/>
    <w:rsid w:val="00822DE2"/>
    <w:rsid w:val="0082445F"/>
    <w:rsid w:val="008244AB"/>
    <w:rsid w:val="008304DC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70729"/>
    <w:rsid w:val="00871D99"/>
    <w:rsid w:val="0088369E"/>
    <w:rsid w:val="00885EBB"/>
    <w:rsid w:val="00891AE8"/>
    <w:rsid w:val="00893F23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6AA4"/>
    <w:rsid w:val="008F5F69"/>
    <w:rsid w:val="00900281"/>
    <w:rsid w:val="0090607F"/>
    <w:rsid w:val="00907AE0"/>
    <w:rsid w:val="00911DEE"/>
    <w:rsid w:val="00923409"/>
    <w:rsid w:val="00924D61"/>
    <w:rsid w:val="0094423E"/>
    <w:rsid w:val="00951453"/>
    <w:rsid w:val="00952B98"/>
    <w:rsid w:val="0096692E"/>
    <w:rsid w:val="00975B86"/>
    <w:rsid w:val="0097732A"/>
    <w:rsid w:val="00983878"/>
    <w:rsid w:val="0098567A"/>
    <w:rsid w:val="009923DF"/>
    <w:rsid w:val="00992DA9"/>
    <w:rsid w:val="00992E30"/>
    <w:rsid w:val="00994B9E"/>
    <w:rsid w:val="00995ED3"/>
    <w:rsid w:val="00996997"/>
    <w:rsid w:val="00997C58"/>
    <w:rsid w:val="009A3A83"/>
    <w:rsid w:val="009B05C8"/>
    <w:rsid w:val="009B0AB1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5953"/>
    <w:rsid w:val="009E6ACE"/>
    <w:rsid w:val="009F2460"/>
    <w:rsid w:val="009F2CFE"/>
    <w:rsid w:val="00A01439"/>
    <w:rsid w:val="00A0194E"/>
    <w:rsid w:val="00A16094"/>
    <w:rsid w:val="00A168DF"/>
    <w:rsid w:val="00A27FE1"/>
    <w:rsid w:val="00A319FF"/>
    <w:rsid w:val="00A32A73"/>
    <w:rsid w:val="00A3360D"/>
    <w:rsid w:val="00A35A97"/>
    <w:rsid w:val="00A54D5A"/>
    <w:rsid w:val="00A60760"/>
    <w:rsid w:val="00A60E31"/>
    <w:rsid w:val="00A62277"/>
    <w:rsid w:val="00A62475"/>
    <w:rsid w:val="00A66DC4"/>
    <w:rsid w:val="00A76BEA"/>
    <w:rsid w:val="00A775B5"/>
    <w:rsid w:val="00A775BC"/>
    <w:rsid w:val="00A81980"/>
    <w:rsid w:val="00A831D3"/>
    <w:rsid w:val="00A90495"/>
    <w:rsid w:val="00A90F54"/>
    <w:rsid w:val="00AA0E37"/>
    <w:rsid w:val="00AA29FB"/>
    <w:rsid w:val="00AA5555"/>
    <w:rsid w:val="00AB177B"/>
    <w:rsid w:val="00AB46BE"/>
    <w:rsid w:val="00AB70CB"/>
    <w:rsid w:val="00AD14EB"/>
    <w:rsid w:val="00AD2064"/>
    <w:rsid w:val="00AD2193"/>
    <w:rsid w:val="00AD30F1"/>
    <w:rsid w:val="00AD7126"/>
    <w:rsid w:val="00AF1241"/>
    <w:rsid w:val="00AF4971"/>
    <w:rsid w:val="00AF6F46"/>
    <w:rsid w:val="00AF7854"/>
    <w:rsid w:val="00B0510D"/>
    <w:rsid w:val="00B10E4F"/>
    <w:rsid w:val="00B12C49"/>
    <w:rsid w:val="00B15BB8"/>
    <w:rsid w:val="00B21987"/>
    <w:rsid w:val="00B261DC"/>
    <w:rsid w:val="00B30C43"/>
    <w:rsid w:val="00B31EF2"/>
    <w:rsid w:val="00B47FA6"/>
    <w:rsid w:val="00B537EA"/>
    <w:rsid w:val="00B70F67"/>
    <w:rsid w:val="00B758FD"/>
    <w:rsid w:val="00B83E4D"/>
    <w:rsid w:val="00B96767"/>
    <w:rsid w:val="00B968D3"/>
    <w:rsid w:val="00B9735C"/>
    <w:rsid w:val="00BA179F"/>
    <w:rsid w:val="00BA2531"/>
    <w:rsid w:val="00BB0C7C"/>
    <w:rsid w:val="00BB2988"/>
    <w:rsid w:val="00BB45D6"/>
    <w:rsid w:val="00BC21E5"/>
    <w:rsid w:val="00BC2C13"/>
    <w:rsid w:val="00BD0965"/>
    <w:rsid w:val="00BD3F5F"/>
    <w:rsid w:val="00BD7323"/>
    <w:rsid w:val="00BF2A13"/>
    <w:rsid w:val="00BF4FA8"/>
    <w:rsid w:val="00BF67B5"/>
    <w:rsid w:val="00C04288"/>
    <w:rsid w:val="00C0645E"/>
    <w:rsid w:val="00C1264F"/>
    <w:rsid w:val="00C2458E"/>
    <w:rsid w:val="00C305F3"/>
    <w:rsid w:val="00C410DB"/>
    <w:rsid w:val="00C45301"/>
    <w:rsid w:val="00C45F0F"/>
    <w:rsid w:val="00C461D0"/>
    <w:rsid w:val="00C464B6"/>
    <w:rsid w:val="00C47B12"/>
    <w:rsid w:val="00C5236E"/>
    <w:rsid w:val="00C530C0"/>
    <w:rsid w:val="00C57C67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B5F94"/>
    <w:rsid w:val="00CB64B7"/>
    <w:rsid w:val="00CC2C87"/>
    <w:rsid w:val="00CC4BDC"/>
    <w:rsid w:val="00CC51B4"/>
    <w:rsid w:val="00CD06D3"/>
    <w:rsid w:val="00CD5D28"/>
    <w:rsid w:val="00CE17FA"/>
    <w:rsid w:val="00CE3919"/>
    <w:rsid w:val="00CE659C"/>
    <w:rsid w:val="00CE6A57"/>
    <w:rsid w:val="00CF0CA7"/>
    <w:rsid w:val="00CF1929"/>
    <w:rsid w:val="00D02642"/>
    <w:rsid w:val="00D121F8"/>
    <w:rsid w:val="00D126DD"/>
    <w:rsid w:val="00D22F7D"/>
    <w:rsid w:val="00D252A7"/>
    <w:rsid w:val="00D369B8"/>
    <w:rsid w:val="00D40332"/>
    <w:rsid w:val="00D430BB"/>
    <w:rsid w:val="00D45795"/>
    <w:rsid w:val="00D561E6"/>
    <w:rsid w:val="00D63C38"/>
    <w:rsid w:val="00D63FE4"/>
    <w:rsid w:val="00D82CB9"/>
    <w:rsid w:val="00D9252D"/>
    <w:rsid w:val="00D96C03"/>
    <w:rsid w:val="00DA4205"/>
    <w:rsid w:val="00DB1ED6"/>
    <w:rsid w:val="00DB234A"/>
    <w:rsid w:val="00DB37DA"/>
    <w:rsid w:val="00DB47E3"/>
    <w:rsid w:val="00DB4AD8"/>
    <w:rsid w:val="00DC0770"/>
    <w:rsid w:val="00DC4B19"/>
    <w:rsid w:val="00DC553E"/>
    <w:rsid w:val="00DD003F"/>
    <w:rsid w:val="00DD02F1"/>
    <w:rsid w:val="00DD0DC7"/>
    <w:rsid w:val="00DD2165"/>
    <w:rsid w:val="00DD2DFC"/>
    <w:rsid w:val="00DD79C4"/>
    <w:rsid w:val="00DF3752"/>
    <w:rsid w:val="00E02050"/>
    <w:rsid w:val="00E06FD0"/>
    <w:rsid w:val="00E0764C"/>
    <w:rsid w:val="00E13132"/>
    <w:rsid w:val="00E14168"/>
    <w:rsid w:val="00E16B51"/>
    <w:rsid w:val="00E204BE"/>
    <w:rsid w:val="00E267C9"/>
    <w:rsid w:val="00E300EE"/>
    <w:rsid w:val="00E30360"/>
    <w:rsid w:val="00E36100"/>
    <w:rsid w:val="00E54284"/>
    <w:rsid w:val="00E8628A"/>
    <w:rsid w:val="00E86559"/>
    <w:rsid w:val="00E95E4C"/>
    <w:rsid w:val="00E96232"/>
    <w:rsid w:val="00EB1184"/>
    <w:rsid w:val="00EC0109"/>
    <w:rsid w:val="00EC0571"/>
    <w:rsid w:val="00EC5B49"/>
    <w:rsid w:val="00EC71A6"/>
    <w:rsid w:val="00EC7948"/>
    <w:rsid w:val="00ED07E7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14E76"/>
    <w:rsid w:val="00F263D7"/>
    <w:rsid w:val="00F33E59"/>
    <w:rsid w:val="00F36FC6"/>
    <w:rsid w:val="00F37ADD"/>
    <w:rsid w:val="00F41B89"/>
    <w:rsid w:val="00F463E5"/>
    <w:rsid w:val="00F504E4"/>
    <w:rsid w:val="00F50FAA"/>
    <w:rsid w:val="00F57423"/>
    <w:rsid w:val="00F57705"/>
    <w:rsid w:val="00F60BC7"/>
    <w:rsid w:val="00F70ACB"/>
    <w:rsid w:val="00F74042"/>
    <w:rsid w:val="00F75953"/>
    <w:rsid w:val="00F85761"/>
    <w:rsid w:val="00FA1C02"/>
    <w:rsid w:val="00FA287F"/>
    <w:rsid w:val="00FA554A"/>
    <w:rsid w:val="00FA7DEB"/>
    <w:rsid w:val="00FB1934"/>
    <w:rsid w:val="00FC0580"/>
    <w:rsid w:val="00FC317D"/>
    <w:rsid w:val="00FC3408"/>
    <w:rsid w:val="00FD0BFD"/>
    <w:rsid w:val="00FE0A1B"/>
    <w:rsid w:val="00FF06F0"/>
    <w:rsid w:val="00FF073D"/>
    <w:rsid w:val="00FF12CD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zt-rada.gov.ua/data/files/201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8659</Characters>
  <Application>Microsoft Office Word</Application>
  <DocSecurity>0</DocSecurity>
  <Lines>72</Lines>
  <Paragraphs>20</Paragraphs>
  <ScaleCrop>false</ScaleCrop>
  <Company>Microsoft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2018-01-02T13:56:00Z</dcterms:created>
  <dcterms:modified xsi:type="dcterms:W3CDTF">2018-01-02T13:57:00Z</dcterms:modified>
</cp:coreProperties>
</file>