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6F" w:rsidRPr="00166A6F" w:rsidRDefault="00166A6F" w:rsidP="00166A6F">
      <w:pPr>
        <w:spacing w:after="160"/>
        <w:contextualSpacing/>
        <w:jc w:val="center"/>
        <w:rPr>
          <w:rFonts w:eastAsia="Calibri"/>
          <w:lang w:val="uk-UA" w:eastAsia="en-US"/>
        </w:rPr>
      </w:pPr>
    </w:p>
    <w:tbl>
      <w:tblPr>
        <w:tblStyle w:val="a3"/>
        <w:tblW w:w="0" w:type="auto"/>
        <w:tblLook w:val="04A0"/>
      </w:tblPr>
      <w:tblGrid>
        <w:gridCol w:w="636"/>
        <w:gridCol w:w="3754"/>
        <w:gridCol w:w="5239"/>
      </w:tblGrid>
      <w:tr w:rsidR="00166A6F" w:rsidRPr="00166A6F" w:rsidTr="00F556F1">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1.</w:t>
            </w:r>
          </w:p>
        </w:tc>
        <w:tc>
          <w:tcPr>
            <w:tcW w:w="3754" w:type="dxa"/>
          </w:tcPr>
          <w:p w:rsidR="00166A6F" w:rsidRPr="00166A6F" w:rsidRDefault="00166A6F" w:rsidP="00166A6F">
            <w:pPr>
              <w:tabs>
                <w:tab w:val="left" w:pos="851"/>
              </w:tabs>
              <w:spacing w:after="160"/>
              <w:jc w:val="both"/>
              <w:rPr>
                <w:rFonts w:eastAsia="Calibri"/>
                <w:lang w:val="uk-UA" w:eastAsia="en-US"/>
              </w:rPr>
            </w:pPr>
            <w:r w:rsidRPr="00166A6F">
              <w:rPr>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239" w:type="dxa"/>
          </w:tcPr>
          <w:p w:rsidR="00166A6F" w:rsidRPr="00166A6F" w:rsidRDefault="00166A6F" w:rsidP="00166A6F">
            <w:pPr>
              <w:shd w:val="clear" w:color="auto" w:fill="FFFFFF"/>
              <w:spacing w:after="160"/>
              <w:jc w:val="both"/>
              <w:rPr>
                <w:rFonts w:eastAsia="Calibri"/>
                <w:lang w:val="uk-UA" w:eastAsia="en-US"/>
              </w:rPr>
            </w:pPr>
            <w:r w:rsidRPr="00166A6F">
              <w:rPr>
                <w:rFonts w:eastAsia="Calibri"/>
                <w:bCs/>
                <w:lang w:val="uk-UA" w:eastAsia="en-US"/>
              </w:rPr>
              <w:t>Виконавчий комітет Житомирської міської ради Житомирської області</w:t>
            </w:r>
            <w:r w:rsidRPr="00166A6F">
              <w:rPr>
                <w:rFonts w:eastAsia="Calibri"/>
                <w:lang w:val="uk-UA" w:eastAsia="en-US"/>
              </w:rPr>
              <w:t xml:space="preserve">; майдан ім. С. П. Корольова, 4/2, м. Житомир, 10014; </w:t>
            </w:r>
            <w:r w:rsidRPr="00166A6F">
              <w:rPr>
                <w:lang w:val="uk-UA" w:eastAsia="en-US"/>
              </w:rPr>
              <w:t xml:space="preserve">код  за ЄДРПОУ- 04053625; </w:t>
            </w:r>
            <w:r w:rsidRPr="00166A6F">
              <w:rPr>
                <w:lang w:val="uk-UA"/>
              </w:rPr>
              <w:t xml:space="preserve">категорія замовника – </w:t>
            </w:r>
            <w:r w:rsidRPr="00166A6F">
              <w:rPr>
                <w:rFonts w:eastAsia="Calibri"/>
                <w:lang w:val="uk-UA" w:eastAsia="en-US"/>
              </w:rPr>
              <w:t xml:space="preserve">Органи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w:t>
            </w:r>
            <w:r w:rsidRPr="00166A6F">
              <w:rPr>
                <w:lang w:val="uk-UA"/>
              </w:rPr>
              <w:t>органів державної влади.</w:t>
            </w:r>
          </w:p>
        </w:tc>
      </w:tr>
      <w:tr w:rsidR="00166A6F" w:rsidRPr="00166A6F" w:rsidTr="00F556F1">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2.</w:t>
            </w:r>
          </w:p>
        </w:tc>
        <w:tc>
          <w:tcPr>
            <w:tcW w:w="3754" w:type="dxa"/>
          </w:tcPr>
          <w:p w:rsidR="00166A6F" w:rsidRPr="00166A6F" w:rsidRDefault="00166A6F" w:rsidP="00166A6F">
            <w:pPr>
              <w:shd w:val="clear" w:color="auto" w:fill="FFFFFF"/>
              <w:spacing w:after="160"/>
              <w:contextualSpacing/>
              <w:jc w:val="both"/>
              <w:rPr>
                <w:rFonts w:eastAsia="Calibri"/>
                <w:lang w:val="uk-UA" w:eastAsia="en-US"/>
              </w:rPr>
            </w:pPr>
            <w:r w:rsidRPr="00166A6F">
              <w:rPr>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239" w:type="dxa"/>
          </w:tcPr>
          <w:p w:rsidR="00166A6F" w:rsidRPr="00166A6F" w:rsidRDefault="00C939AB" w:rsidP="00C939AB">
            <w:pPr>
              <w:shd w:val="clear" w:color="auto" w:fill="FFFFFF"/>
              <w:spacing w:after="160"/>
              <w:contextualSpacing/>
              <w:rPr>
                <w:rFonts w:eastAsia="Calibri"/>
                <w:lang w:val="uk-UA" w:eastAsia="en-US"/>
              </w:rPr>
            </w:pPr>
            <w:r w:rsidRPr="00166A6F">
              <w:rPr>
                <w:rFonts w:eastAsia="Calibri"/>
                <w:lang w:val="uk-UA" w:eastAsia="en-US"/>
              </w:rPr>
              <w:t>Електрична енергія</w:t>
            </w:r>
            <w:r w:rsidR="00166A6F" w:rsidRPr="00166A6F">
              <w:rPr>
                <w:rFonts w:eastAsia="Calibri"/>
                <w:lang w:val="uk-UA" w:eastAsia="en-US"/>
              </w:rPr>
              <w:t xml:space="preserve"> (ДК 021:2015 09310000-5 (електрична енергія)</w:t>
            </w:r>
          </w:p>
        </w:tc>
      </w:tr>
      <w:tr w:rsidR="00166A6F" w:rsidRPr="00166A6F" w:rsidTr="00FB0F3D">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3.</w:t>
            </w:r>
          </w:p>
        </w:tc>
        <w:tc>
          <w:tcPr>
            <w:tcW w:w="3754" w:type="dxa"/>
          </w:tcPr>
          <w:p w:rsidR="00166A6F" w:rsidRPr="00166A6F" w:rsidRDefault="00166A6F" w:rsidP="00166A6F">
            <w:pPr>
              <w:tabs>
                <w:tab w:val="left" w:pos="851"/>
              </w:tabs>
              <w:spacing w:after="120"/>
              <w:jc w:val="both"/>
              <w:rPr>
                <w:rFonts w:eastAsia="Calibri"/>
                <w:lang w:val="uk-UA" w:eastAsia="en-US"/>
              </w:rPr>
            </w:pPr>
            <w:r w:rsidRPr="00166A6F">
              <w:rPr>
                <w:lang w:val="uk-UA"/>
              </w:rPr>
              <w:t>Ідентифікатор</w:t>
            </w:r>
            <w:r w:rsidRPr="00166A6F">
              <w:t xml:space="preserve"> </w:t>
            </w:r>
            <w:r w:rsidRPr="00166A6F">
              <w:rPr>
                <w:lang w:val="uk-UA"/>
              </w:rPr>
              <w:t>закупівлі</w:t>
            </w:r>
            <w:r w:rsidRPr="00166A6F">
              <w:t xml:space="preserve">: </w:t>
            </w:r>
          </w:p>
        </w:tc>
        <w:tc>
          <w:tcPr>
            <w:tcW w:w="5239" w:type="dxa"/>
            <w:shd w:val="clear" w:color="auto" w:fill="auto"/>
          </w:tcPr>
          <w:p w:rsidR="00166A6F" w:rsidRPr="00166A6F" w:rsidRDefault="00166A6F" w:rsidP="00FB0F3D">
            <w:pPr>
              <w:tabs>
                <w:tab w:val="left" w:pos="851"/>
              </w:tabs>
              <w:spacing w:after="120"/>
              <w:jc w:val="both"/>
              <w:rPr>
                <w:rFonts w:eastAsia="Calibri"/>
                <w:lang w:val="en-US" w:eastAsia="en-US"/>
              </w:rPr>
            </w:pPr>
            <w:r w:rsidRPr="00166A6F">
              <w:rPr>
                <w:rFonts w:eastAsia="Calibri"/>
                <w:lang w:val="en-US" w:eastAsia="en-US"/>
              </w:rPr>
              <w:t>UA-2021-11-</w:t>
            </w:r>
            <w:r w:rsidR="00FB0F3D" w:rsidRPr="00FB0F3D">
              <w:rPr>
                <w:rFonts w:eastAsia="Calibri"/>
                <w:lang w:val="uk-UA" w:eastAsia="en-US"/>
              </w:rPr>
              <w:t>18</w:t>
            </w:r>
            <w:r w:rsidRPr="00166A6F">
              <w:rPr>
                <w:rFonts w:eastAsia="Calibri"/>
                <w:lang w:val="en-US" w:eastAsia="en-US"/>
              </w:rPr>
              <w:t>-</w:t>
            </w:r>
            <w:r w:rsidR="00FB0F3D" w:rsidRPr="00FB0F3D">
              <w:rPr>
                <w:rFonts w:eastAsia="Calibri"/>
                <w:lang w:val="uk-UA" w:eastAsia="en-US"/>
              </w:rPr>
              <w:t>014145</w:t>
            </w:r>
            <w:r w:rsidRPr="00166A6F">
              <w:rPr>
                <w:rFonts w:eastAsia="Calibri"/>
                <w:lang w:val="en-US" w:eastAsia="en-US"/>
              </w:rPr>
              <w:t>-a</w:t>
            </w:r>
          </w:p>
        </w:tc>
      </w:tr>
      <w:tr w:rsidR="00166A6F" w:rsidRPr="00166A6F" w:rsidTr="00F556F1">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4.</w:t>
            </w:r>
          </w:p>
        </w:tc>
        <w:tc>
          <w:tcPr>
            <w:tcW w:w="3754" w:type="dxa"/>
          </w:tcPr>
          <w:p w:rsidR="00166A6F" w:rsidRPr="00166A6F" w:rsidRDefault="00166A6F" w:rsidP="00166A6F">
            <w:pPr>
              <w:widowControl w:val="0"/>
              <w:autoSpaceDE w:val="0"/>
              <w:autoSpaceDN w:val="0"/>
              <w:adjustRightInd w:val="0"/>
              <w:spacing w:after="160"/>
              <w:jc w:val="both"/>
              <w:rPr>
                <w:rFonts w:eastAsia="Calibri"/>
                <w:lang w:val="uk-UA" w:eastAsia="en-US"/>
              </w:rPr>
            </w:pPr>
            <w:r w:rsidRPr="00166A6F">
              <w:rPr>
                <w:lang w:val="uk-UA"/>
              </w:rPr>
              <w:t>Обґрунтування технічних та якісних характеристик предмета закупівлі.</w:t>
            </w:r>
          </w:p>
          <w:p w:rsidR="00166A6F" w:rsidRPr="00166A6F" w:rsidRDefault="00166A6F" w:rsidP="00166A6F">
            <w:pPr>
              <w:spacing w:after="160"/>
              <w:ind w:firstLine="708"/>
              <w:jc w:val="both"/>
              <w:rPr>
                <w:lang w:val="uk-UA"/>
              </w:rPr>
            </w:pPr>
          </w:p>
        </w:tc>
        <w:tc>
          <w:tcPr>
            <w:tcW w:w="5239" w:type="dxa"/>
          </w:tcPr>
          <w:p w:rsidR="00166A6F" w:rsidRDefault="00166A6F" w:rsidP="00166A6F">
            <w:pPr>
              <w:spacing w:after="160"/>
              <w:contextualSpacing/>
              <w:jc w:val="both"/>
              <w:rPr>
                <w:rFonts w:eastAsia="Calibri"/>
                <w:lang w:val="uk-UA" w:eastAsia="en-US"/>
              </w:rPr>
            </w:pPr>
            <w:r w:rsidRPr="00166A6F">
              <w:rPr>
                <w:rFonts w:eastAsia="Calibri"/>
                <w:lang w:val="uk-UA" w:eastAsia="en-US"/>
              </w:rPr>
              <w:t>З метою безперебійної роботи виконавчого комітету Житомирської міської ради Житомирської області і виконавчих органів та для забезпечення утримання в належному стані адміністративних будівель міської ради  є потреба у закупівлі постачання електричної енергії  за кошти місцевого бюджету.</w:t>
            </w:r>
            <w:r w:rsidRPr="00166A6F">
              <w:rPr>
                <w:rFonts w:ascii="Calibri" w:eastAsia="Calibri" w:hAnsi="Calibri"/>
                <w:lang w:val="uk-UA" w:eastAsia="en-US"/>
              </w:rPr>
              <w:t xml:space="preserve"> </w:t>
            </w:r>
            <w:r w:rsidRPr="00166A6F">
              <w:rPr>
                <w:rFonts w:eastAsia="Calibri"/>
                <w:lang w:val="uk-UA" w:eastAsia="en-US"/>
              </w:rPr>
              <w:t xml:space="preserve">Товар повинен відповідати наступним технічним вимогам до предмета закупівлі, що визначені наступними нормативно-правовими актами: Закон України «Про публічні закупівлі» від 19.09.2019 р. № 114-IX; Закон України «Про ринок електричної енергії» від 13.04.2017              № 2019-VIII, Постанова Національної комісії, що здійснює державне регулювання у сферах енергетики та комунальних послуг (НКРЕКП) від 14.03.2018 №312 «Про затвердження Правил роздрібного ринку електричної енергії», Порядок забезпечення стандартів якості електропостачання та надання компенсацій споживачам за їх недотримання, затверджений постановою НКРЕКП від 12.06.2018 р. № 375, Кодекс комерційного обліку електричної енергії, Кодекс системи розподілу, Кодекс системи передачі, 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 та відповідати вимогам положень пункту 11.4.6 глави 11.4 розділу XI Кодексу систем розподілу, затвердженого постановою НКРЕКП від 14.03.2018 № 310. </w:t>
            </w:r>
          </w:p>
          <w:p w:rsidR="00CF2D07" w:rsidRPr="00CF2D07" w:rsidRDefault="00CF2D07" w:rsidP="00CF2D07">
            <w:pPr>
              <w:spacing w:after="160"/>
              <w:contextualSpacing/>
              <w:jc w:val="both"/>
              <w:rPr>
                <w:rFonts w:eastAsia="Calibri"/>
                <w:lang w:val="uk-UA" w:eastAsia="en-US"/>
              </w:rPr>
            </w:pPr>
            <w:r w:rsidRPr="00CF2D07">
              <w:rPr>
                <w:rFonts w:eastAsia="Calibri"/>
                <w:lang w:val="uk-UA" w:eastAsia="en-US"/>
              </w:rPr>
              <w:t xml:space="preserve">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w:t>
            </w:r>
            <w:r w:rsidRPr="00CF2D07">
              <w:rPr>
                <w:rFonts w:eastAsia="Calibri"/>
                <w:lang w:val="uk-UA" w:eastAsia="en-US"/>
              </w:rPr>
              <w:lastRenderedPageBreak/>
              <w:t>напруги електропостачання в електричних мережах загального пр</w:t>
            </w:r>
            <w:r>
              <w:rPr>
                <w:rFonts w:eastAsia="Calibri"/>
                <w:lang w:val="uk-UA" w:eastAsia="en-US"/>
              </w:rPr>
              <w:t>изначення (EN 50160:2010, IDT).</w:t>
            </w:r>
          </w:p>
          <w:p w:rsidR="00CF2D07" w:rsidRPr="00166A6F" w:rsidRDefault="00CF2D07" w:rsidP="00CF2D07">
            <w:pPr>
              <w:spacing w:after="160"/>
              <w:contextualSpacing/>
              <w:jc w:val="both"/>
              <w:rPr>
                <w:rFonts w:eastAsia="Calibri"/>
                <w:lang w:val="uk-UA" w:eastAsia="en-US"/>
              </w:rPr>
            </w:pPr>
            <w:r w:rsidRPr="00CF2D07">
              <w:rPr>
                <w:rFonts w:eastAsia="Calibri"/>
                <w:lang w:val="uk-UA" w:eastAsia="en-US"/>
              </w:rPr>
              <w:t>Оцінка відповідності показників якості електричної енергії проводиться на проміжку розрахункового періоду рівного 24 годинам.</w:t>
            </w:r>
          </w:p>
        </w:tc>
      </w:tr>
      <w:tr w:rsidR="00166A6F" w:rsidRPr="00166A6F" w:rsidTr="005D4036">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lastRenderedPageBreak/>
              <w:t>4.1.</w:t>
            </w:r>
          </w:p>
        </w:tc>
        <w:tc>
          <w:tcPr>
            <w:tcW w:w="3754" w:type="dxa"/>
          </w:tcPr>
          <w:p w:rsidR="00166A6F" w:rsidRPr="00166A6F" w:rsidRDefault="00166A6F" w:rsidP="00166A6F">
            <w:pPr>
              <w:spacing w:after="160"/>
              <w:outlineLvl w:val="1"/>
              <w:rPr>
                <w:lang w:val="uk-UA"/>
              </w:rPr>
            </w:pPr>
            <w:r w:rsidRPr="00166A6F">
              <w:rPr>
                <w:lang w:val="uk-UA"/>
              </w:rPr>
              <w:t>Обґрунтування розміру бюджетного призначення.</w:t>
            </w:r>
          </w:p>
        </w:tc>
        <w:tc>
          <w:tcPr>
            <w:tcW w:w="5239" w:type="dxa"/>
            <w:shd w:val="clear" w:color="auto" w:fill="auto"/>
          </w:tcPr>
          <w:p w:rsidR="00166A6F" w:rsidRPr="00166A6F" w:rsidRDefault="00166A6F" w:rsidP="00284C4A">
            <w:pPr>
              <w:spacing w:after="160"/>
              <w:jc w:val="both"/>
              <w:rPr>
                <w:lang w:val="uk-UA"/>
              </w:rPr>
            </w:pPr>
            <w:r w:rsidRPr="00166A6F">
              <w:rPr>
                <w:lang w:val="uk-UA"/>
              </w:rPr>
              <w:t xml:space="preserve">Розмір бюджетного призначення визначено відповідно до </w:t>
            </w:r>
            <w:r w:rsidR="005D4036">
              <w:rPr>
                <w:lang w:val="uk-UA"/>
              </w:rPr>
              <w:t xml:space="preserve">очікуваної потреби в електричній енергії </w:t>
            </w:r>
            <w:r w:rsidR="005D4036" w:rsidRPr="00166A6F">
              <w:rPr>
                <w:lang w:val="uk-UA"/>
              </w:rPr>
              <w:t>на 202</w:t>
            </w:r>
            <w:r w:rsidR="005D4036" w:rsidRPr="005D4036">
              <w:rPr>
                <w:lang w:val="uk-UA"/>
              </w:rPr>
              <w:t>2</w:t>
            </w:r>
            <w:r w:rsidR="005D4036" w:rsidRPr="00166A6F">
              <w:rPr>
                <w:lang w:val="uk-UA"/>
              </w:rPr>
              <w:t xml:space="preserve"> рік</w:t>
            </w:r>
            <w:r w:rsidR="005D4036">
              <w:rPr>
                <w:lang w:val="uk-UA"/>
              </w:rPr>
              <w:t xml:space="preserve">, що склало 700 000 кВт/год і тарифу </w:t>
            </w:r>
            <w:r w:rsidR="00C939AB">
              <w:rPr>
                <w:lang w:val="uk-UA"/>
              </w:rPr>
              <w:t>з</w:t>
            </w:r>
            <w:r w:rsidR="005D4036">
              <w:rPr>
                <w:lang w:val="uk-UA"/>
              </w:rPr>
              <w:t xml:space="preserve">а одиницю </w:t>
            </w:r>
            <w:r w:rsidR="005D4036" w:rsidRPr="005D4036">
              <w:rPr>
                <w:lang w:val="uk-UA"/>
              </w:rPr>
              <w:t>кВт/год</w:t>
            </w:r>
            <w:r w:rsidR="00284C4A">
              <w:rPr>
                <w:lang w:val="uk-UA"/>
              </w:rPr>
              <w:t>.</w:t>
            </w:r>
            <w:r w:rsidR="005D4036" w:rsidRPr="005D4036">
              <w:rPr>
                <w:lang w:val="uk-UA"/>
              </w:rPr>
              <w:t xml:space="preserve"> </w:t>
            </w:r>
            <w:r w:rsidRPr="00166A6F">
              <w:rPr>
                <w:lang w:val="uk-UA"/>
              </w:rPr>
              <w:t xml:space="preserve">КПКВК 0210150 </w:t>
            </w:r>
            <w:r w:rsidRPr="00166A6F">
              <w:rPr>
                <w:rFonts w:eastAsia="Calibri"/>
                <w:lang w:val="uk-UA" w:eastAsia="en-US"/>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ради (КЕКВ 227</w:t>
            </w:r>
            <w:r w:rsidR="005D4036">
              <w:rPr>
                <w:rFonts w:eastAsia="Calibri"/>
                <w:lang w:val="uk-UA" w:eastAsia="en-US"/>
              </w:rPr>
              <w:t>3</w:t>
            </w:r>
            <w:r w:rsidRPr="00166A6F">
              <w:rPr>
                <w:rFonts w:eastAsia="Calibri"/>
                <w:lang w:val="uk-UA" w:eastAsia="en-US"/>
              </w:rPr>
              <w:t>)</w:t>
            </w:r>
            <w:r w:rsidR="005D4036">
              <w:rPr>
                <w:rFonts w:eastAsia="Calibri"/>
                <w:lang w:val="uk-UA" w:eastAsia="en-US"/>
              </w:rPr>
              <w:t>.</w:t>
            </w:r>
            <w:r w:rsidRPr="00166A6F">
              <w:rPr>
                <w:rFonts w:eastAsia="Calibri"/>
                <w:lang w:val="uk-UA" w:eastAsia="en-US"/>
              </w:rPr>
              <w:t xml:space="preserve"> </w:t>
            </w:r>
          </w:p>
        </w:tc>
      </w:tr>
      <w:tr w:rsidR="00166A6F" w:rsidRPr="00166A6F" w:rsidTr="00F556F1">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4.2.</w:t>
            </w:r>
          </w:p>
        </w:tc>
        <w:tc>
          <w:tcPr>
            <w:tcW w:w="3754" w:type="dxa"/>
          </w:tcPr>
          <w:p w:rsidR="00166A6F" w:rsidRPr="00166A6F" w:rsidRDefault="00166A6F" w:rsidP="00166A6F">
            <w:pPr>
              <w:tabs>
                <w:tab w:val="left" w:pos="851"/>
              </w:tabs>
              <w:spacing w:after="160"/>
              <w:jc w:val="both"/>
              <w:rPr>
                <w:lang w:val="uk-UA"/>
              </w:rPr>
            </w:pPr>
            <w:r w:rsidRPr="00166A6F">
              <w:rPr>
                <w:lang w:val="uk-UA"/>
              </w:rPr>
              <w:t>Очікувана вартість предмета закупівлі.</w:t>
            </w:r>
          </w:p>
        </w:tc>
        <w:tc>
          <w:tcPr>
            <w:tcW w:w="5239" w:type="dxa"/>
          </w:tcPr>
          <w:p w:rsidR="00166A6F" w:rsidRPr="00166A6F" w:rsidRDefault="00166A6F" w:rsidP="00284C4A">
            <w:pPr>
              <w:tabs>
                <w:tab w:val="left" w:pos="851"/>
              </w:tabs>
              <w:spacing w:after="160"/>
              <w:jc w:val="both"/>
              <w:rPr>
                <w:color w:val="FF0000"/>
                <w:lang w:val="uk-UA"/>
              </w:rPr>
            </w:pPr>
            <w:r w:rsidRPr="00166A6F">
              <w:rPr>
                <w:lang w:val="uk-UA"/>
              </w:rPr>
              <w:t>3 465 000,00  грн.(</w:t>
            </w:r>
            <w:r w:rsidR="00284C4A">
              <w:rPr>
                <w:lang w:val="uk-UA"/>
              </w:rPr>
              <w:t>Т</w:t>
            </w:r>
            <w:r w:rsidRPr="00166A6F">
              <w:rPr>
                <w:lang w:val="uk-UA"/>
              </w:rPr>
              <w:t>ри мільйон</w:t>
            </w:r>
            <w:r w:rsidR="00284C4A">
              <w:rPr>
                <w:lang w:val="uk-UA"/>
              </w:rPr>
              <w:t>и</w:t>
            </w:r>
            <w:r w:rsidRPr="00166A6F">
              <w:rPr>
                <w:lang w:val="uk-UA"/>
              </w:rPr>
              <w:t xml:space="preserve"> чотириста шістдесят п’ять тисяч  грн. 00 коп.)</w:t>
            </w:r>
            <w:r w:rsidRPr="00166A6F">
              <w:rPr>
                <w:rFonts w:eastAsia="Calibri"/>
                <w:lang w:val="uk-UA" w:eastAsia="en-US"/>
              </w:rPr>
              <w:t xml:space="preserve"> з ПДВ</w:t>
            </w:r>
            <w:r w:rsidRPr="00166A6F">
              <w:rPr>
                <w:lang w:val="uk-UA"/>
              </w:rPr>
              <w:t>.</w:t>
            </w:r>
          </w:p>
        </w:tc>
      </w:tr>
      <w:tr w:rsidR="00166A6F" w:rsidRPr="00166A6F" w:rsidTr="00F556F1">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4.3</w:t>
            </w:r>
          </w:p>
        </w:tc>
        <w:tc>
          <w:tcPr>
            <w:tcW w:w="3754" w:type="dxa"/>
          </w:tcPr>
          <w:p w:rsidR="00166A6F" w:rsidRPr="00166A6F" w:rsidRDefault="00166A6F" w:rsidP="00166A6F">
            <w:pPr>
              <w:tabs>
                <w:tab w:val="left" w:pos="851"/>
              </w:tabs>
              <w:spacing w:after="160"/>
              <w:jc w:val="both"/>
              <w:rPr>
                <w:lang w:val="uk-UA"/>
              </w:rPr>
            </w:pPr>
            <w:r w:rsidRPr="00166A6F">
              <w:rPr>
                <w:lang w:val="uk-UA"/>
              </w:rPr>
              <w:t>Обґрунтування очікуваної вартості предмета закупівлі.</w:t>
            </w:r>
          </w:p>
          <w:p w:rsidR="00166A6F" w:rsidRPr="00166A6F" w:rsidRDefault="00166A6F" w:rsidP="00166A6F">
            <w:pPr>
              <w:tabs>
                <w:tab w:val="left" w:pos="851"/>
              </w:tabs>
              <w:spacing w:after="120"/>
              <w:jc w:val="both"/>
              <w:rPr>
                <w:lang w:val="uk-UA"/>
              </w:rPr>
            </w:pPr>
          </w:p>
        </w:tc>
        <w:tc>
          <w:tcPr>
            <w:tcW w:w="5239" w:type="dxa"/>
          </w:tcPr>
          <w:p w:rsidR="00166A6F" w:rsidRPr="00166A6F" w:rsidRDefault="00166A6F" w:rsidP="00C939AB">
            <w:pPr>
              <w:spacing w:after="160"/>
              <w:contextualSpacing/>
              <w:jc w:val="both"/>
              <w:rPr>
                <w:rFonts w:eastAsia="Calibri"/>
                <w:color w:val="FF0000"/>
                <w:highlight w:val="yellow"/>
                <w:lang w:val="uk-UA" w:eastAsia="en-US"/>
              </w:rPr>
            </w:pPr>
            <w:r w:rsidRPr="00166A6F">
              <w:rPr>
                <w:rFonts w:eastAsia="Calibri"/>
                <w:lang w:val="uk-UA" w:eastAsia="en-US"/>
              </w:rPr>
              <w:t>Розрахунок очікуваної вартості предмета закупівлі здійснено на підставі загального обсягу споживання електричної енергії</w:t>
            </w:r>
            <w:r w:rsidR="00C939AB">
              <w:rPr>
                <w:rFonts w:eastAsia="Calibri"/>
                <w:lang w:val="uk-UA" w:eastAsia="en-US"/>
              </w:rPr>
              <w:t xml:space="preserve"> в натуральних показниках</w:t>
            </w:r>
            <w:r w:rsidR="00C939AB" w:rsidRPr="00166A6F">
              <w:rPr>
                <w:rFonts w:eastAsia="Calibri"/>
                <w:lang w:val="uk-UA" w:eastAsia="en-US"/>
              </w:rPr>
              <w:t xml:space="preserve"> Квт/</w:t>
            </w:r>
            <w:proofErr w:type="spellStart"/>
            <w:r w:rsidR="00C939AB" w:rsidRPr="00166A6F">
              <w:rPr>
                <w:rFonts w:eastAsia="Calibri"/>
                <w:lang w:val="uk-UA" w:eastAsia="en-US"/>
              </w:rPr>
              <w:t>год</w:t>
            </w:r>
            <w:proofErr w:type="spellEnd"/>
            <w:r w:rsidR="00C939AB">
              <w:rPr>
                <w:rFonts w:eastAsia="Calibri"/>
                <w:lang w:val="uk-UA" w:eastAsia="en-US"/>
              </w:rPr>
              <w:t xml:space="preserve"> та</w:t>
            </w:r>
            <w:r w:rsidRPr="00166A6F">
              <w:rPr>
                <w:rFonts w:eastAsia="Calibri"/>
                <w:lang w:val="uk-UA" w:eastAsia="en-US"/>
              </w:rPr>
              <w:t xml:space="preserve">  розрахункової цифри за даним тарифом на електричну енергію</w:t>
            </w:r>
            <w:r w:rsidR="00C939AB">
              <w:rPr>
                <w:rFonts w:eastAsia="Calibri"/>
                <w:lang w:val="uk-UA" w:eastAsia="en-US"/>
              </w:rPr>
              <w:t>.</w:t>
            </w:r>
            <w:r w:rsidRPr="00166A6F">
              <w:rPr>
                <w:rFonts w:eastAsia="Calibri"/>
                <w:lang w:val="uk-UA" w:eastAsia="en-US"/>
              </w:rPr>
              <w:t xml:space="preserve"> </w:t>
            </w:r>
          </w:p>
        </w:tc>
      </w:tr>
      <w:tr w:rsidR="00166A6F" w:rsidRPr="00166A6F" w:rsidTr="00F556F1">
        <w:tc>
          <w:tcPr>
            <w:tcW w:w="636" w:type="dxa"/>
          </w:tcPr>
          <w:p w:rsidR="00166A6F" w:rsidRPr="00166A6F" w:rsidRDefault="00166A6F" w:rsidP="00166A6F">
            <w:pPr>
              <w:spacing w:after="160"/>
              <w:contextualSpacing/>
              <w:jc w:val="center"/>
              <w:rPr>
                <w:rFonts w:eastAsia="Calibri"/>
                <w:bCs/>
                <w:lang w:val="uk-UA" w:eastAsia="en-US"/>
              </w:rPr>
            </w:pPr>
            <w:r w:rsidRPr="00166A6F">
              <w:rPr>
                <w:rFonts w:eastAsia="Calibri"/>
                <w:bCs/>
                <w:lang w:val="uk-UA" w:eastAsia="en-US"/>
              </w:rPr>
              <w:t>5.</w:t>
            </w:r>
          </w:p>
        </w:tc>
        <w:tc>
          <w:tcPr>
            <w:tcW w:w="3754" w:type="dxa"/>
          </w:tcPr>
          <w:p w:rsidR="00166A6F" w:rsidRPr="00166A6F" w:rsidRDefault="00166A6F" w:rsidP="00C939AB">
            <w:pPr>
              <w:spacing w:after="160"/>
              <w:jc w:val="both"/>
            </w:pPr>
            <w:r w:rsidRPr="00166A6F">
              <w:t xml:space="preserve">Процедура </w:t>
            </w:r>
            <w:r w:rsidRPr="00166A6F">
              <w:rPr>
                <w:lang w:val="uk-UA"/>
              </w:rPr>
              <w:t>закупівлі</w:t>
            </w:r>
            <w:r w:rsidRPr="00166A6F">
              <w:t>.</w:t>
            </w:r>
          </w:p>
        </w:tc>
        <w:tc>
          <w:tcPr>
            <w:tcW w:w="5239" w:type="dxa"/>
          </w:tcPr>
          <w:p w:rsidR="00166A6F" w:rsidRPr="00166A6F" w:rsidRDefault="00064D49" w:rsidP="00166A6F">
            <w:pPr>
              <w:spacing w:after="160"/>
              <w:ind w:right="-1"/>
              <w:jc w:val="both"/>
              <w:rPr>
                <w:color w:val="FF0000"/>
                <w:lang w:val="uk-UA"/>
              </w:rPr>
            </w:pPr>
            <w:r w:rsidRPr="00064D49">
              <w:rPr>
                <w:lang w:val="uk-UA"/>
              </w:rPr>
              <w:t>Відк</w:t>
            </w:r>
            <w:r>
              <w:rPr>
                <w:lang w:val="uk-UA"/>
              </w:rPr>
              <w:t>риті торги</w:t>
            </w:r>
          </w:p>
        </w:tc>
      </w:tr>
    </w:tbl>
    <w:p w:rsidR="00166A6F" w:rsidRPr="00166A6F" w:rsidRDefault="00166A6F" w:rsidP="00166A6F">
      <w:pPr>
        <w:spacing w:after="160"/>
        <w:contextualSpacing/>
        <w:jc w:val="center"/>
        <w:rPr>
          <w:rFonts w:eastAsia="Calibri"/>
          <w:lang w:val="uk-UA" w:eastAsia="en-US"/>
        </w:rPr>
      </w:pPr>
    </w:p>
    <w:p w:rsidR="00166A6F" w:rsidRPr="00A32803" w:rsidRDefault="00166A6F" w:rsidP="00A32803">
      <w:pPr>
        <w:ind w:firstLine="709"/>
        <w:jc w:val="both"/>
        <w:rPr>
          <w:sz w:val="28"/>
          <w:szCs w:val="28"/>
          <w:lang w:val="uk-UA"/>
        </w:rPr>
      </w:pPr>
    </w:p>
    <w:sectPr w:rsidR="00166A6F" w:rsidRPr="00A32803" w:rsidSect="0082079A">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4E" w:rsidRDefault="00872B4E" w:rsidP="00354DB8">
      <w:r>
        <w:separator/>
      </w:r>
    </w:p>
  </w:endnote>
  <w:endnote w:type="continuationSeparator" w:id="0">
    <w:p w:rsidR="00872B4E" w:rsidRDefault="00872B4E" w:rsidP="00354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4E" w:rsidRDefault="00872B4E" w:rsidP="00354DB8">
      <w:r>
        <w:separator/>
      </w:r>
    </w:p>
  </w:footnote>
  <w:footnote w:type="continuationSeparator" w:id="0">
    <w:p w:rsidR="00872B4E" w:rsidRDefault="00872B4E" w:rsidP="00354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B8" w:rsidRDefault="00354DB8">
    <w:pPr>
      <w:pStyle w:val="a5"/>
      <w:jc w:val="center"/>
    </w:pPr>
  </w:p>
  <w:p w:rsidR="00354DB8" w:rsidRDefault="00354D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E5A"/>
    <w:multiLevelType w:val="multilevel"/>
    <w:tmpl w:val="6A1E86A2"/>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08833E5D"/>
    <w:multiLevelType w:val="hybridMultilevel"/>
    <w:tmpl w:val="7C1CD766"/>
    <w:lvl w:ilvl="0" w:tplc="0CF0A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16C69A7"/>
    <w:multiLevelType w:val="hybridMultilevel"/>
    <w:tmpl w:val="4A840F16"/>
    <w:lvl w:ilvl="0" w:tplc="A8566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4B1D56"/>
    <w:multiLevelType w:val="hybridMultilevel"/>
    <w:tmpl w:val="C26E90C0"/>
    <w:lvl w:ilvl="0" w:tplc="867CA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C35326"/>
    <w:rsid w:val="000004BC"/>
    <w:rsid w:val="000163F4"/>
    <w:rsid w:val="00042E02"/>
    <w:rsid w:val="00050C60"/>
    <w:rsid w:val="00064D49"/>
    <w:rsid w:val="000B3842"/>
    <w:rsid w:val="000C1814"/>
    <w:rsid w:val="000E6A35"/>
    <w:rsid w:val="000F729D"/>
    <w:rsid w:val="0011104B"/>
    <w:rsid w:val="00137A1A"/>
    <w:rsid w:val="00164600"/>
    <w:rsid w:val="00166A6F"/>
    <w:rsid w:val="001B5FDA"/>
    <w:rsid w:val="001F4EC0"/>
    <w:rsid w:val="00200EA2"/>
    <w:rsid w:val="002073D5"/>
    <w:rsid w:val="0021188A"/>
    <w:rsid w:val="0021460B"/>
    <w:rsid w:val="002446E9"/>
    <w:rsid w:val="00260D95"/>
    <w:rsid w:val="002766DF"/>
    <w:rsid w:val="00276702"/>
    <w:rsid w:val="0028396B"/>
    <w:rsid w:val="00284C4A"/>
    <w:rsid w:val="0028612E"/>
    <w:rsid w:val="002A5422"/>
    <w:rsid w:val="002B5692"/>
    <w:rsid w:val="002D44F8"/>
    <w:rsid w:val="002E1BE0"/>
    <w:rsid w:val="002E4062"/>
    <w:rsid w:val="002F53C5"/>
    <w:rsid w:val="00300186"/>
    <w:rsid w:val="003057A7"/>
    <w:rsid w:val="00307FD7"/>
    <w:rsid w:val="00316180"/>
    <w:rsid w:val="003170E3"/>
    <w:rsid w:val="00354DB8"/>
    <w:rsid w:val="003637A9"/>
    <w:rsid w:val="00381EBB"/>
    <w:rsid w:val="00390541"/>
    <w:rsid w:val="0039595D"/>
    <w:rsid w:val="003D5850"/>
    <w:rsid w:val="00411135"/>
    <w:rsid w:val="00424F9C"/>
    <w:rsid w:val="004400A7"/>
    <w:rsid w:val="00440234"/>
    <w:rsid w:val="00442A79"/>
    <w:rsid w:val="00476820"/>
    <w:rsid w:val="004C452E"/>
    <w:rsid w:val="004D5B20"/>
    <w:rsid w:val="004D76E2"/>
    <w:rsid w:val="004F1134"/>
    <w:rsid w:val="00512126"/>
    <w:rsid w:val="00512BCE"/>
    <w:rsid w:val="00520750"/>
    <w:rsid w:val="00532A40"/>
    <w:rsid w:val="0053402A"/>
    <w:rsid w:val="00537B69"/>
    <w:rsid w:val="00541C92"/>
    <w:rsid w:val="0054695F"/>
    <w:rsid w:val="005645C9"/>
    <w:rsid w:val="0059056C"/>
    <w:rsid w:val="005A143B"/>
    <w:rsid w:val="005D2827"/>
    <w:rsid w:val="005D4036"/>
    <w:rsid w:val="005E09DE"/>
    <w:rsid w:val="00600417"/>
    <w:rsid w:val="00607FB7"/>
    <w:rsid w:val="006229C1"/>
    <w:rsid w:val="006436EE"/>
    <w:rsid w:val="0065006E"/>
    <w:rsid w:val="00656CD6"/>
    <w:rsid w:val="00691B30"/>
    <w:rsid w:val="00697460"/>
    <w:rsid w:val="006B1071"/>
    <w:rsid w:val="006E72B2"/>
    <w:rsid w:val="006F1181"/>
    <w:rsid w:val="006F5A37"/>
    <w:rsid w:val="0070710E"/>
    <w:rsid w:val="00716DD0"/>
    <w:rsid w:val="00723977"/>
    <w:rsid w:val="0072630A"/>
    <w:rsid w:val="00734131"/>
    <w:rsid w:val="007466D0"/>
    <w:rsid w:val="00763935"/>
    <w:rsid w:val="00763C01"/>
    <w:rsid w:val="00771A9D"/>
    <w:rsid w:val="00780238"/>
    <w:rsid w:val="00791898"/>
    <w:rsid w:val="007B3081"/>
    <w:rsid w:val="007E0C92"/>
    <w:rsid w:val="00801FD2"/>
    <w:rsid w:val="00813C9A"/>
    <w:rsid w:val="0082079A"/>
    <w:rsid w:val="00825CAC"/>
    <w:rsid w:val="008262A8"/>
    <w:rsid w:val="00832751"/>
    <w:rsid w:val="00872B4E"/>
    <w:rsid w:val="008836B9"/>
    <w:rsid w:val="008848F7"/>
    <w:rsid w:val="008B7793"/>
    <w:rsid w:val="008C2BA1"/>
    <w:rsid w:val="008D12DC"/>
    <w:rsid w:val="00920799"/>
    <w:rsid w:val="00927ED5"/>
    <w:rsid w:val="0093423A"/>
    <w:rsid w:val="00957FC6"/>
    <w:rsid w:val="00966850"/>
    <w:rsid w:val="009677F3"/>
    <w:rsid w:val="0097460C"/>
    <w:rsid w:val="009833A4"/>
    <w:rsid w:val="0098507D"/>
    <w:rsid w:val="009A3452"/>
    <w:rsid w:val="009B586A"/>
    <w:rsid w:val="009C615F"/>
    <w:rsid w:val="009D6F38"/>
    <w:rsid w:val="009E3958"/>
    <w:rsid w:val="009F441E"/>
    <w:rsid w:val="00A137CE"/>
    <w:rsid w:val="00A32803"/>
    <w:rsid w:val="00A34D15"/>
    <w:rsid w:val="00A362E6"/>
    <w:rsid w:val="00A463DE"/>
    <w:rsid w:val="00A53FC5"/>
    <w:rsid w:val="00A61782"/>
    <w:rsid w:val="00AB5BED"/>
    <w:rsid w:val="00AB60C2"/>
    <w:rsid w:val="00AD1408"/>
    <w:rsid w:val="00AD1E34"/>
    <w:rsid w:val="00AD751B"/>
    <w:rsid w:val="00AE434A"/>
    <w:rsid w:val="00B22D9F"/>
    <w:rsid w:val="00B26D87"/>
    <w:rsid w:val="00B35CA7"/>
    <w:rsid w:val="00B54409"/>
    <w:rsid w:val="00B559A0"/>
    <w:rsid w:val="00B801D5"/>
    <w:rsid w:val="00B91A77"/>
    <w:rsid w:val="00BB67CC"/>
    <w:rsid w:val="00BC45A4"/>
    <w:rsid w:val="00BE6793"/>
    <w:rsid w:val="00BF58CA"/>
    <w:rsid w:val="00C0345D"/>
    <w:rsid w:val="00C1312A"/>
    <w:rsid w:val="00C171C7"/>
    <w:rsid w:val="00C20B45"/>
    <w:rsid w:val="00C35326"/>
    <w:rsid w:val="00C42CB2"/>
    <w:rsid w:val="00C6006D"/>
    <w:rsid w:val="00C735CE"/>
    <w:rsid w:val="00C939AB"/>
    <w:rsid w:val="00CA14E2"/>
    <w:rsid w:val="00CB4FC5"/>
    <w:rsid w:val="00CE1934"/>
    <w:rsid w:val="00CF2D07"/>
    <w:rsid w:val="00D16679"/>
    <w:rsid w:val="00D2621B"/>
    <w:rsid w:val="00D517E2"/>
    <w:rsid w:val="00D61183"/>
    <w:rsid w:val="00D65E05"/>
    <w:rsid w:val="00D97B5E"/>
    <w:rsid w:val="00DA4595"/>
    <w:rsid w:val="00DC72CE"/>
    <w:rsid w:val="00DF5E81"/>
    <w:rsid w:val="00E07824"/>
    <w:rsid w:val="00E4058E"/>
    <w:rsid w:val="00E465DF"/>
    <w:rsid w:val="00E563B2"/>
    <w:rsid w:val="00E808BC"/>
    <w:rsid w:val="00E878B1"/>
    <w:rsid w:val="00EB277B"/>
    <w:rsid w:val="00ED68C1"/>
    <w:rsid w:val="00EE5DD0"/>
    <w:rsid w:val="00EF187B"/>
    <w:rsid w:val="00F45D9A"/>
    <w:rsid w:val="00F55F52"/>
    <w:rsid w:val="00F834AD"/>
    <w:rsid w:val="00FA289E"/>
    <w:rsid w:val="00FA634E"/>
    <w:rsid w:val="00FB0F3D"/>
    <w:rsid w:val="00FB7EB3"/>
    <w:rsid w:val="00FD1A48"/>
    <w:rsid w:val="00FD2B3E"/>
    <w:rsid w:val="00FD5BA9"/>
    <w:rsid w:val="00FE1F91"/>
    <w:rsid w:val="00FE6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9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0541"/>
    <w:pPr>
      <w:ind w:left="720"/>
      <w:contextualSpacing/>
    </w:pPr>
  </w:style>
  <w:style w:type="paragraph" w:styleId="a5">
    <w:name w:val="header"/>
    <w:basedOn w:val="a"/>
    <w:link w:val="a6"/>
    <w:uiPriority w:val="99"/>
    <w:unhideWhenUsed/>
    <w:rsid w:val="00354DB8"/>
    <w:pPr>
      <w:tabs>
        <w:tab w:val="center" w:pos="4677"/>
        <w:tab w:val="right" w:pos="9355"/>
      </w:tabs>
    </w:pPr>
  </w:style>
  <w:style w:type="character" w:customStyle="1" w:styleId="a6">
    <w:name w:val="Верхний колонтитул Знак"/>
    <w:basedOn w:val="a0"/>
    <w:link w:val="a5"/>
    <w:uiPriority w:val="99"/>
    <w:rsid w:val="00354DB8"/>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354DB8"/>
    <w:pPr>
      <w:tabs>
        <w:tab w:val="center" w:pos="4677"/>
        <w:tab w:val="right" w:pos="9355"/>
      </w:tabs>
    </w:pPr>
  </w:style>
  <w:style w:type="character" w:customStyle="1" w:styleId="a8">
    <w:name w:val="Нижний колонтитул Знак"/>
    <w:basedOn w:val="a0"/>
    <w:link w:val="a7"/>
    <w:uiPriority w:val="99"/>
    <w:semiHidden/>
    <w:rsid w:val="00354DB8"/>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9C615F"/>
    <w:rPr>
      <w:rFonts w:ascii="Segoe UI" w:hAnsi="Segoe UI" w:cs="Segoe UI"/>
      <w:sz w:val="18"/>
      <w:szCs w:val="18"/>
    </w:rPr>
  </w:style>
  <w:style w:type="character" w:customStyle="1" w:styleId="aa">
    <w:name w:val="Текст выноски Знак"/>
    <w:basedOn w:val="a0"/>
    <w:link w:val="a9"/>
    <w:uiPriority w:val="99"/>
    <w:semiHidden/>
    <w:rsid w:val="009C615F"/>
    <w:rPr>
      <w:rFonts w:ascii="Segoe UI" w:eastAsia="Times New Roman" w:hAnsi="Segoe UI" w:cs="Segoe UI"/>
      <w:sz w:val="18"/>
      <w:szCs w:val="18"/>
      <w:lang w:val="ru-RU" w:eastAsia="ru-RU"/>
    </w:rPr>
  </w:style>
  <w:style w:type="character" w:styleId="ab">
    <w:name w:val="Hyperlink"/>
    <w:basedOn w:val="a0"/>
    <w:uiPriority w:val="99"/>
    <w:unhideWhenUsed/>
    <w:rsid w:val="00825CA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02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98D21-C72E-4586-8BB8-6F634886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cp:lastPrinted>2021-11-19T12:53:00Z</cp:lastPrinted>
  <dcterms:created xsi:type="dcterms:W3CDTF">2021-11-19T14:35:00Z</dcterms:created>
  <dcterms:modified xsi:type="dcterms:W3CDTF">2021-11-19T14:35:00Z</dcterms:modified>
</cp:coreProperties>
</file>