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13B0" w14:textId="77777777" w:rsidR="00166A6F" w:rsidRPr="00166A6F" w:rsidRDefault="00166A6F" w:rsidP="00166A6F">
      <w:pPr>
        <w:jc w:val="center"/>
        <w:rPr>
          <w:rFonts w:eastAsia="Calibri"/>
          <w:b/>
          <w:lang w:val="uk-UA" w:eastAsia="en-US"/>
        </w:rPr>
      </w:pPr>
      <w:r w:rsidRPr="00166A6F">
        <w:rPr>
          <w:rFonts w:eastAsia="Calibri"/>
          <w:b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64EC2D" w14:textId="77777777" w:rsidR="00166A6F" w:rsidRPr="00166A6F" w:rsidRDefault="00166A6F" w:rsidP="00166A6F">
      <w:pPr>
        <w:jc w:val="center"/>
        <w:rPr>
          <w:rFonts w:eastAsia="Calibri"/>
          <w:b/>
          <w:lang w:val="uk-UA" w:eastAsia="en-US"/>
        </w:rPr>
      </w:pPr>
    </w:p>
    <w:p w14:paraId="10C55EC2" w14:textId="77777777" w:rsidR="00166A6F" w:rsidRP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  <w:r w:rsidRPr="00166A6F">
        <w:rPr>
          <w:rFonts w:eastAsia="Calibri"/>
          <w:lang w:val="uk-UA" w:eastAsia="en-US"/>
        </w:rPr>
        <w:t>(відповідно до пункту 4</w:t>
      </w:r>
      <w:r w:rsidRPr="00166A6F">
        <w:rPr>
          <w:rFonts w:eastAsia="Calibri"/>
          <w:vertAlign w:val="superscript"/>
          <w:lang w:val="uk-UA" w:eastAsia="en-US"/>
        </w:rPr>
        <w:t xml:space="preserve">1 </w:t>
      </w:r>
      <w:r w:rsidRPr="00166A6F">
        <w:rPr>
          <w:rFonts w:eastAsia="Calibri"/>
          <w:lang w:val="uk-UA" w:eastAsia="en-US"/>
        </w:rPr>
        <w:t>постанови КМУ від 11.10.2016 № 710 «Про ефективне використання державних коштів» (зі змінами))</w:t>
      </w:r>
    </w:p>
    <w:p w14:paraId="7ED0E056" w14:textId="77777777" w:rsidR="00166A6F" w:rsidRP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754"/>
        <w:gridCol w:w="5238"/>
      </w:tblGrid>
      <w:tr w:rsidR="00166A6F" w:rsidRPr="00166A6F" w14:paraId="334763AD" w14:textId="77777777" w:rsidTr="00F556F1">
        <w:tc>
          <w:tcPr>
            <w:tcW w:w="636" w:type="dxa"/>
          </w:tcPr>
          <w:p w14:paraId="2E3B355C" w14:textId="77777777"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1.</w:t>
            </w:r>
          </w:p>
        </w:tc>
        <w:tc>
          <w:tcPr>
            <w:tcW w:w="3754" w:type="dxa"/>
          </w:tcPr>
          <w:p w14:paraId="307AD67A" w14:textId="77777777" w:rsidR="00166A6F" w:rsidRPr="00166A6F" w:rsidRDefault="00166A6F" w:rsidP="00166A6F">
            <w:pPr>
              <w:tabs>
                <w:tab w:val="left" w:pos="851"/>
              </w:tabs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9" w:type="dxa"/>
          </w:tcPr>
          <w:p w14:paraId="7382C7CE" w14:textId="77777777" w:rsidR="001A177C" w:rsidRDefault="00166A6F" w:rsidP="001A177C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1A177C">
              <w:rPr>
                <w:rFonts w:eastAsia="Calibri"/>
                <w:b/>
                <w:bCs/>
                <w:lang w:val="uk-UA" w:eastAsia="en-US"/>
              </w:rPr>
              <w:t>Виконавчий комітет Житомирської міської ради Житомирської області</w:t>
            </w:r>
            <w:r w:rsidRPr="00166A6F">
              <w:rPr>
                <w:rFonts w:eastAsia="Calibri"/>
                <w:lang w:val="uk-UA" w:eastAsia="en-US"/>
              </w:rPr>
              <w:t xml:space="preserve">; майдан </w:t>
            </w:r>
            <w:r w:rsidR="001A177C">
              <w:rPr>
                <w:rFonts w:eastAsia="Calibri"/>
                <w:lang w:val="uk-UA" w:eastAsia="en-US"/>
              </w:rPr>
              <w:t xml:space="preserve">                                </w:t>
            </w:r>
            <w:r w:rsidRPr="00166A6F">
              <w:rPr>
                <w:rFonts w:eastAsia="Calibri"/>
                <w:lang w:val="uk-UA" w:eastAsia="en-US"/>
              </w:rPr>
              <w:t xml:space="preserve">ім. С. П. Корольова, 4/2, м. Житомир, 10014; </w:t>
            </w:r>
            <w:r w:rsidR="001A177C">
              <w:rPr>
                <w:rFonts w:eastAsia="Calibri"/>
                <w:lang w:val="uk-UA" w:eastAsia="en-US"/>
              </w:rPr>
              <w:t xml:space="preserve">             </w:t>
            </w:r>
            <w:r w:rsidRPr="00166A6F">
              <w:rPr>
                <w:lang w:val="uk-UA" w:eastAsia="en-US"/>
              </w:rPr>
              <w:t xml:space="preserve">код  за ЄДРПОУ- 04053625; </w:t>
            </w:r>
          </w:p>
          <w:p w14:paraId="7B382098" w14:textId="77777777" w:rsidR="00166A6F" w:rsidRPr="00166A6F" w:rsidRDefault="00166A6F" w:rsidP="001A177C">
            <w:pPr>
              <w:shd w:val="clear" w:color="auto" w:fill="FFFFFF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 xml:space="preserve">категорія замовника – </w:t>
            </w:r>
            <w:r w:rsidRPr="00166A6F">
              <w:rPr>
                <w:rFonts w:eastAsia="Calibri"/>
                <w:lang w:val="uk-UA" w:eastAsia="en-US"/>
              </w:rPr>
              <w:t xml:space="preserve"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</w:t>
            </w:r>
            <w:r w:rsidRPr="00166A6F">
              <w:rPr>
                <w:lang w:val="uk-UA"/>
              </w:rPr>
              <w:t>органів державної влади.</w:t>
            </w:r>
          </w:p>
        </w:tc>
      </w:tr>
      <w:tr w:rsidR="00166A6F" w:rsidRPr="00172999" w14:paraId="339E71A0" w14:textId="77777777" w:rsidTr="00F556F1">
        <w:tc>
          <w:tcPr>
            <w:tcW w:w="636" w:type="dxa"/>
          </w:tcPr>
          <w:p w14:paraId="54C7B272" w14:textId="77777777"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2.</w:t>
            </w:r>
          </w:p>
        </w:tc>
        <w:tc>
          <w:tcPr>
            <w:tcW w:w="3754" w:type="dxa"/>
          </w:tcPr>
          <w:p w14:paraId="0C15AE03" w14:textId="77777777" w:rsidR="00166A6F" w:rsidRPr="00166A6F" w:rsidRDefault="00166A6F" w:rsidP="00166A6F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9" w:type="dxa"/>
          </w:tcPr>
          <w:p w14:paraId="36C16076" w14:textId="0EB299E3" w:rsidR="00166A6F" w:rsidRPr="00652F54" w:rsidRDefault="00652F54" w:rsidP="001A177C">
            <w:pPr>
              <w:shd w:val="clear" w:color="auto" w:fill="FFFFFF"/>
              <w:spacing w:after="160"/>
              <w:contextualSpacing/>
              <w:rPr>
                <w:rFonts w:eastAsia="Calibri"/>
                <w:b/>
                <w:bCs/>
                <w:lang w:val="uk-UA" w:eastAsia="en-US"/>
              </w:rPr>
            </w:pPr>
            <w:bookmarkStart w:id="0" w:name="_GoBack"/>
            <w:proofErr w:type="spellStart"/>
            <w:r w:rsidRPr="00652F54">
              <w:rPr>
                <w:b/>
                <w:bCs/>
                <w:color w:val="333333"/>
                <w:shd w:val="clear" w:color="auto" w:fill="FFFFFF"/>
              </w:rPr>
              <w:t>Послуги</w:t>
            </w:r>
            <w:proofErr w:type="spellEnd"/>
            <w:r w:rsidRPr="00652F54">
              <w:rPr>
                <w:b/>
                <w:bCs/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652F54">
              <w:rPr>
                <w:b/>
                <w:bCs/>
                <w:color w:val="333333"/>
                <w:shd w:val="clear" w:color="auto" w:fill="FFFFFF"/>
              </w:rPr>
              <w:t>централізованого</w:t>
            </w:r>
            <w:proofErr w:type="spellEnd"/>
            <w:r w:rsidRPr="00652F54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52F54">
              <w:rPr>
                <w:b/>
                <w:bCs/>
                <w:color w:val="333333"/>
                <w:shd w:val="clear" w:color="auto" w:fill="FFFFFF"/>
              </w:rPr>
              <w:t>водовідведення</w:t>
            </w:r>
            <w:proofErr w:type="spellEnd"/>
            <w:r w:rsidRPr="00652F54">
              <w:rPr>
                <w:rFonts w:eastAsia="Calibri"/>
                <w:b/>
                <w:bCs/>
                <w:lang w:val="uk-UA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uk-UA" w:eastAsia="en-US"/>
              </w:rPr>
              <w:t>(</w:t>
            </w:r>
            <w:r w:rsidRPr="00652F54">
              <w:rPr>
                <w:rStyle w:val="qaclassifierdk"/>
                <w:b/>
                <w:bCs/>
                <w:color w:val="314155"/>
                <w:bdr w:val="none" w:sz="0" w:space="0" w:color="auto" w:frame="1"/>
              </w:rPr>
              <w:t>ДК 021</w:t>
            </w:r>
            <w:r w:rsidRPr="00652F54">
              <w:rPr>
                <w:rStyle w:val="qaclassifiertype"/>
                <w:b/>
                <w:bCs/>
                <w:color w:val="314155"/>
                <w:bdr w:val="none" w:sz="0" w:space="0" w:color="auto" w:frame="1"/>
              </w:rPr>
              <w:t>:2015: </w:t>
            </w:r>
            <w:r w:rsidRPr="00652F54">
              <w:rPr>
                <w:rStyle w:val="qaclassifierdescrcode"/>
                <w:b/>
                <w:bCs/>
                <w:color w:val="314155"/>
                <w:bdr w:val="none" w:sz="0" w:space="0" w:color="auto" w:frame="1"/>
              </w:rPr>
              <w:t>90430000-0</w:t>
            </w:r>
            <w:r w:rsidRPr="00652F54">
              <w:rPr>
                <w:rStyle w:val="qaclassifierdescr"/>
                <w:b/>
                <w:bCs/>
                <w:color w:val="314155"/>
                <w:bdr w:val="none" w:sz="0" w:space="0" w:color="auto" w:frame="1"/>
              </w:rPr>
              <w:t> </w:t>
            </w:r>
            <w:proofErr w:type="spellStart"/>
            <w:r w:rsidRPr="00652F54">
              <w:rPr>
                <w:rStyle w:val="qaclassifierdescrprimary"/>
                <w:b/>
                <w:bCs/>
                <w:color w:val="314155"/>
                <w:bdr w:val="none" w:sz="0" w:space="0" w:color="auto" w:frame="1"/>
              </w:rPr>
              <w:t>Послуги</w:t>
            </w:r>
            <w:proofErr w:type="spellEnd"/>
            <w:r w:rsidRPr="00652F54">
              <w:rPr>
                <w:rStyle w:val="qaclassifierdescrprimary"/>
                <w:b/>
                <w:bCs/>
                <w:color w:val="314155"/>
                <w:bdr w:val="none" w:sz="0" w:space="0" w:color="auto" w:frame="1"/>
              </w:rPr>
              <w:t xml:space="preserve"> з </w:t>
            </w:r>
            <w:proofErr w:type="spellStart"/>
            <w:r w:rsidRPr="00652F54">
              <w:rPr>
                <w:rStyle w:val="qaclassifierdescrprimary"/>
                <w:b/>
                <w:bCs/>
                <w:color w:val="314155"/>
                <w:bdr w:val="none" w:sz="0" w:space="0" w:color="auto" w:frame="1"/>
              </w:rPr>
              <w:t>відведення</w:t>
            </w:r>
            <w:proofErr w:type="spellEnd"/>
            <w:r w:rsidRPr="00652F54">
              <w:rPr>
                <w:rStyle w:val="qaclassifierdescrprimary"/>
                <w:b/>
                <w:bCs/>
                <w:color w:val="314155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qaclassifierdescrprimary"/>
                <w:b/>
                <w:bCs/>
                <w:color w:val="314155"/>
                <w:bdr w:val="none" w:sz="0" w:space="0" w:color="auto" w:frame="1"/>
              </w:rPr>
              <w:t>стічних</w:t>
            </w:r>
            <w:proofErr w:type="spellEnd"/>
            <w:r w:rsidRPr="00652F54">
              <w:rPr>
                <w:rStyle w:val="qaclassifierdescrprimary"/>
                <w:b/>
                <w:bCs/>
                <w:color w:val="314155"/>
                <w:bdr w:val="none" w:sz="0" w:space="0" w:color="auto" w:frame="1"/>
              </w:rPr>
              <w:t xml:space="preserve"> вод</w:t>
            </w:r>
            <w:r>
              <w:rPr>
                <w:rStyle w:val="qaclassifierdescrprimary"/>
                <w:b/>
                <w:bCs/>
                <w:color w:val="314155"/>
                <w:bdr w:val="none" w:sz="0" w:space="0" w:color="auto" w:frame="1"/>
                <w:lang w:val="uk-UA"/>
              </w:rPr>
              <w:t>)</w:t>
            </w:r>
            <w:bookmarkEnd w:id="0"/>
          </w:p>
        </w:tc>
      </w:tr>
      <w:tr w:rsidR="00166A6F" w:rsidRPr="00166A6F" w14:paraId="7EACBA60" w14:textId="77777777" w:rsidTr="00FB0F3D">
        <w:tc>
          <w:tcPr>
            <w:tcW w:w="636" w:type="dxa"/>
          </w:tcPr>
          <w:p w14:paraId="6079CA09" w14:textId="77777777"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3.</w:t>
            </w:r>
          </w:p>
        </w:tc>
        <w:tc>
          <w:tcPr>
            <w:tcW w:w="3754" w:type="dxa"/>
          </w:tcPr>
          <w:p w14:paraId="3B489CFA" w14:textId="77777777" w:rsidR="00166A6F" w:rsidRPr="00166A6F" w:rsidRDefault="00166A6F" w:rsidP="00166A6F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Ідентифікатор</w:t>
            </w:r>
            <w:r w:rsidRPr="00166A6F">
              <w:t xml:space="preserve"> </w:t>
            </w:r>
            <w:r w:rsidRPr="00166A6F">
              <w:rPr>
                <w:lang w:val="uk-UA"/>
              </w:rPr>
              <w:t>закупівлі</w:t>
            </w:r>
            <w:r w:rsidRPr="00166A6F">
              <w:t xml:space="preserve">: </w:t>
            </w:r>
          </w:p>
        </w:tc>
        <w:tc>
          <w:tcPr>
            <w:tcW w:w="5239" w:type="dxa"/>
            <w:shd w:val="clear" w:color="auto" w:fill="auto"/>
          </w:tcPr>
          <w:p w14:paraId="6BBAF743" w14:textId="64EC7000" w:rsidR="00166A6F" w:rsidRPr="00652F54" w:rsidRDefault="00652F54" w:rsidP="002D503D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b/>
                <w:bCs/>
                <w:lang w:val="en-US" w:eastAsia="en-US"/>
              </w:rPr>
            </w:pPr>
            <w:r w:rsidRPr="00652F54">
              <w:rPr>
                <w:b/>
                <w:bCs/>
                <w:color w:val="333333"/>
                <w:shd w:val="clear" w:color="auto" w:fill="FFFFFF"/>
              </w:rPr>
              <w:t>UA-2022-10-20-011431-a</w:t>
            </w:r>
          </w:p>
        </w:tc>
      </w:tr>
      <w:tr w:rsidR="00166A6F" w:rsidRPr="00652F54" w14:paraId="44D5AE6E" w14:textId="77777777" w:rsidTr="00F556F1">
        <w:tc>
          <w:tcPr>
            <w:tcW w:w="636" w:type="dxa"/>
          </w:tcPr>
          <w:p w14:paraId="4376EA96" w14:textId="77777777"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4.</w:t>
            </w:r>
          </w:p>
        </w:tc>
        <w:tc>
          <w:tcPr>
            <w:tcW w:w="3754" w:type="dxa"/>
          </w:tcPr>
          <w:p w14:paraId="4412641E" w14:textId="77777777" w:rsidR="00166A6F" w:rsidRPr="00166A6F" w:rsidRDefault="00166A6F" w:rsidP="00166A6F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Обґрунтування технічних та якісних характеристик предмета закупівлі.</w:t>
            </w:r>
          </w:p>
          <w:p w14:paraId="1097B4C2" w14:textId="77777777" w:rsidR="00166A6F" w:rsidRPr="00166A6F" w:rsidRDefault="00166A6F" w:rsidP="00166A6F">
            <w:pPr>
              <w:spacing w:after="160"/>
              <w:ind w:firstLine="708"/>
              <w:jc w:val="both"/>
              <w:rPr>
                <w:lang w:val="uk-UA"/>
              </w:rPr>
            </w:pPr>
          </w:p>
        </w:tc>
        <w:tc>
          <w:tcPr>
            <w:tcW w:w="5239" w:type="dxa"/>
          </w:tcPr>
          <w:p w14:paraId="2602647C" w14:textId="23A54794" w:rsidR="00CF2D07" w:rsidRPr="00652F54" w:rsidRDefault="00652F54" w:rsidP="00261EBE">
            <w:pPr>
              <w:spacing w:after="160"/>
              <w:contextualSpacing/>
              <w:jc w:val="both"/>
              <w:rPr>
                <w:color w:val="333333"/>
                <w:bdr w:val="none" w:sz="0" w:space="0" w:color="auto" w:frame="1"/>
              </w:rPr>
            </w:pPr>
            <w:r w:rsidRPr="00652F54">
              <w:rPr>
                <w:color w:val="333333"/>
                <w:shd w:val="clear" w:color="auto" w:fill="FFFFFF"/>
                <w:lang w:val="uk-UA"/>
              </w:rPr>
              <w:t>Відповідно до п.2 ч.2 статті 40 Закону України «Про публічні закупівлі» №922-</w:t>
            </w:r>
            <w:r w:rsidRPr="00652F54">
              <w:rPr>
                <w:color w:val="333333"/>
                <w:shd w:val="clear" w:color="auto" w:fill="FFFFFF"/>
              </w:rPr>
              <w:t>VIII</w:t>
            </w:r>
            <w:r w:rsidRPr="00652F54">
              <w:rPr>
                <w:color w:val="333333"/>
                <w:shd w:val="clear" w:color="auto" w:fill="FFFFFF"/>
                <w:lang w:val="uk-UA"/>
              </w:rPr>
              <w:t xml:space="preserve"> від 25.12.2015 року якщо послуги можуть бути надані виключно певним суб’єктом господарювання, через відсутності конкуренції (у тому числі з технічних причин) на відповідному</w:t>
            </w:r>
            <w:r w:rsidRPr="00652F54">
              <w:rPr>
                <w:rStyle w:val="h-hidden"/>
                <w:color w:val="333333"/>
                <w:bdr w:val="none" w:sz="0" w:space="0" w:color="auto" w:frame="1"/>
              </w:rPr>
              <w:t> </w:t>
            </w:r>
            <w:r w:rsidRPr="00652F54">
              <w:rPr>
                <w:rStyle w:val="h-hidden"/>
                <w:color w:val="333333"/>
                <w:bdr w:val="none" w:sz="0" w:space="0" w:color="auto" w:frame="1"/>
                <w:lang w:val="uk-UA"/>
              </w:rPr>
              <w:t>ринку, внаслідок чого договір про закупівлю може бути укладено лише з одним постачальником, за відсутності при цьому альтернативи, уповноваженою особою було прийнято рішення застосувати, переговорну процедуру закупівлі. Комунальне Підприємство «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  <w:lang w:val="uk-UA"/>
              </w:rPr>
              <w:t>Житомирводоканал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  <w:lang w:val="uk-UA"/>
              </w:rPr>
              <w:t xml:space="preserve">» Житомирської міської ради відповідно до Статуту створене територіальною громадою м. Житомира для проведення виробничо-технічної діяльності, спрямованої на надійне та безперебійне забезпечення споживачів послугами водопостачання та водовідведення для задоволення потреб у його послугах (роботах, товарах) та реалізації інтересів територіальної громади міста Житомира.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Відповідно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до ч.1 ст.5 Закону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України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«Про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природні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монополії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»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від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r w:rsidRPr="00652F54">
              <w:rPr>
                <w:rStyle w:val="h-hidden"/>
                <w:color w:val="333333"/>
                <w:bdr w:val="none" w:sz="0" w:space="0" w:color="auto" w:frame="1"/>
              </w:rPr>
              <w:lastRenderedPageBreak/>
              <w:t xml:space="preserve">20.04.2000 № 1682-ІП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регулюється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діяльність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суб’єктів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природних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монополій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gram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у таких сферах</w:t>
            </w:r>
            <w:proofErr w:type="gram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: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централізоване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водопостачання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та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централізоване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водовідведення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.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Згідно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ч.2 ст.5 Закону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України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«Про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природні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монополії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»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від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20.04.2000 № 1682-ІП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зведений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перелік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суб’єктів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природних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монополій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ведеться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Антимонопольним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комітетом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України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на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підставі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реєстрів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суб’єктів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природних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монополій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у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сфері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житлово-комунального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господарства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що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формується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національною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комісією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що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здійснює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державне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регулювання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у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сфері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комунальних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послуг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а в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інших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сферах, у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яких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діють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суб’єкти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природних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монополій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-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національними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комісіями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регулювання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природних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монополій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у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відповідній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сфері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або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органи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виконавчої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влади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що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здійснюють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функції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такого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регулювання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до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створення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зазначених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комісій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.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Відповідно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до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інформації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зведеного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переліку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суб’єктів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природних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монополій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розміщеного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на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офіційному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вебсайті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Антимонопольного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комітету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України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(http://www.amc.gov.ua),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встановлено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що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Комунальне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Підприємство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«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Житомирводоканал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»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Житомирської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міської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ради включено до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зведеного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переліку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суб’єктів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природних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монополій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та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території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Житомирської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області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.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Інформацією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що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міститься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у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Ліцензійному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реєстрі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Національної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комісії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що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здійснює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державне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регулювання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у сферах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енергетики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та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комунальних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послуг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на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офіційному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вебсайті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Національної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комісії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що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здійснює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державне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регулювання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у сферах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енергетики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та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комунальних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послуг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(НКРЕКП) (http://www.nerc.gov.ua),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встановлено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що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КП «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Житомирводоканал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»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Житомирської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міської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ради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має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ліцензію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на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провадження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господарської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діяльності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надання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послуг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з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централізованого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водопостачання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та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централізованого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водовідведення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. У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зв’язку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з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вищевикладеним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послуги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з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централізованого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водопостачання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та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централізованого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водовідведення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можуть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бути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надані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виключно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Комунальне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Підприємство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«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Житомирводоканал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»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Житомирської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міської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ради (ЄДРПОУ 03344065) у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зв’язку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з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відсутністю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конкуренції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з </w:t>
            </w:r>
            <w:proofErr w:type="spellStart"/>
            <w:r w:rsidRPr="00652F54">
              <w:rPr>
                <w:rStyle w:val="h-hidden"/>
                <w:color w:val="333333"/>
                <w:bdr w:val="none" w:sz="0" w:space="0" w:color="auto" w:frame="1"/>
              </w:rPr>
              <w:t>технічних</w:t>
            </w:r>
            <w:proofErr w:type="spellEnd"/>
            <w:r w:rsidRPr="00652F54">
              <w:rPr>
                <w:rStyle w:val="h-hidden"/>
                <w:color w:val="333333"/>
                <w:bdr w:val="none" w:sz="0" w:space="0" w:color="auto" w:frame="1"/>
              </w:rPr>
              <w:t xml:space="preserve"> причин. </w:t>
            </w:r>
          </w:p>
        </w:tc>
      </w:tr>
      <w:tr w:rsidR="00166A6F" w:rsidRPr="002D03FF" w14:paraId="589C135C" w14:textId="77777777" w:rsidTr="005D4036">
        <w:tc>
          <w:tcPr>
            <w:tcW w:w="636" w:type="dxa"/>
          </w:tcPr>
          <w:p w14:paraId="54919371" w14:textId="77777777"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lastRenderedPageBreak/>
              <w:t>4.1.</w:t>
            </w:r>
          </w:p>
        </w:tc>
        <w:tc>
          <w:tcPr>
            <w:tcW w:w="3754" w:type="dxa"/>
          </w:tcPr>
          <w:p w14:paraId="6FD23BF3" w14:textId="77777777" w:rsidR="00166A6F" w:rsidRPr="00166A6F" w:rsidRDefault="00166A6F" w:rsidP="00166A6F">
            <w:pPr>
              <w:spacing w:after="160"/>
              <w:outlineLvl w:val="1"/>
              <w:rPr>
                <w:lang w:val="uk-UA"/>
              </w:rPr>
            </w:pPr>
            <w:r w:rsidRPr="00166A6F">
              <w:rPr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9" w:type="dxa"/>
            <w:shd w:val="clear" w:color="auto" w:fill="auto"/>
          </w:tcPr>
          <w:p w14:paraId="6F52DAAD" w14:textId="2F5BBADD" w:rsidR="00166A6F" w:rsidRPr="00166A6F" w:rsidRDefault="00166A6F" w:rsidP="00DF5031">
            <w:pPr>
              <w:spacing w:after="160"/>
              <w:jc w:val="both"/>
              <w:rPr>
                <w:lang w:val="uk-UA"/>
              </w:rPr>
            </w:pPr>
            <w:r w:rsidRPr="00166A6F">
              <w:rPr>
                <w:lang w:val="uk-UA"/>
              </w:rPr>
              <w:t xml:space="preserve">Розмір бюджетного призначення визначено відповідно до </w:t>
            </w:r>
            <w:r w:rsidR="005D4036">
              <w:rPr>
                <w:lang w:val="uk-UA"/>
              </w:rPr>
              <w:t xml:space="preserve">очікуваної потреби </w:t>
            </w:r>
            <w:r w:rsidR="00DF5031" w:rsidRPr="00DF5031">
              <w:rPr>
                <w:lang w:val="uk-UA"/>
              </w:rPr>
              <w:t xml:space="preserve">у закупівлі послуги з </w:t>
            </w:r>
            <w:r w:rsidR="00652F54" w:rsidRPr="00652F54">
              <w:rPr>
                <w:rStyle w:val="h-hidden"/>
                <w:color w:val="333333"/>
                <w:bdr w:val="none" w:sz="0" w:space="0" w:color="auto" w:frame="1"/>
                <w:lang w:val="uk-UA"/>
              </w:rPr>
              <w:t xml:space="preserve">централізованого водовідведення </w:t>
            </w:r>
            <w:r w:rsidR="005D4036">
              <w:rPr>
                <w:lang w:val="uk-UA"/>
              </w:rPr>
              <w:t xml:space="preserve"> і тарифу </w:t>
            </w:r>
            <w:r w:rsidR="00C939AB">
              <w:rPr>
                <w:lang w:val="uk-UA"/>
              </w:rPr>
              <w:t>з</w:t>
            </w:r>
            <w:r w:rsidR="005D4036">
              <w:rPr>
                <w:lang w:val="uk-UA"/>
              </w:rPr>
              <w:t>а одиницю</w:t>
            </w:r>
            <w:r w:rsidR="00652F54">
              <w:rPr>
                <w:lang w:val="uk-UA"/>
              </w:rPr>
              <w:t>, кількість -</w:t>
            </w:r>
            <w:r w:rsidR="005D4036">
              <w:rPr>
                <w:lang w:val="uk-UA"/>
              </w:rPr>
              <w:t xml:space="preserve"> </w:t>
            </w:r>
            <w:r w:rsidR="00652F54">
              <w:rPr>
                <w:lang w:val="uk-UA"/>
              </w:rPr>
              <w:t xml:space="preserve">3632,2 </w:t>
            </w:r>
            <w:proofErr w:type="spellStart"/>
            <w:r w:rsidR="00652F54">
              <w:rPr>
                <w:lang w:val="uk-UA"/>
              </w:rPr>
              <w:t>м.куб</w:t>
            </w:r>
            <w:proofErr w:type="spellEnd"/>
            <w:r w:rsidR="00652F54">
              <w:rPr>
                <w:lang w:val="uk-UA"/>
              </w:rPr>
              <w:t>.,</w:t>
            </w:r>
            <w:r w:rsidR="005D4036" w:rsidRPr="005D4036">
              <w:rPr>
                <w:lang w:val="uk-UA"/>
              </w:rPr>
              <w:t xml:space="preserve"> </w:t>
            </w:r>
            <w:r w:rsidR="00DF5031" w:rsidRPr="00DF5031">
              <w:rPr>
                <w:lang w:val="uk-UA"/>
              </w:rPr>
              <w:t xml:space="preserve">за КПКВК 0210160 Керівництво і управління у відповідній сфері у містах (місті Києві), селищах, </w:t>
            </w:r>
            <w:r w:rsidR="00DF5031" w:rsidRPr="00DF5031">
              <w:rPr>
                <w:lang w:val="uk-UA"/>
              </w:rPr>
              <w:lastRenderedPageBreak/>
              <w:t>селах, об’</w:t>
            </w:r>
            <w:r w:rsidR="00DF5031">
              <w:rPr>
                <w:lang w:val="uk-UA"/>
              </w:rPr>
              <w:t xml:space="preserve">єднаних територіальних громадах </w:t>
            </w:r>
            <w:r w:rsidR="00DF5031" w:rsidRPr="00DF5031">
              <w:rPr>
                <w:lang w:val="uk-UA"/>
              </w:rPr>
              <w:t>(КЕКВ 227</w:t>
            </w:r>
            <w:r w:rsidR="00652F54">
              <w:rPr>
                <w:lang w:val="uk-UA"/>
              </w:rPr>
              <w:t>2</w:t>
            </w:r>
            <w:r w:rsidR="00DF5031" w:rsidRPr="00DF5031">
              <w:rPr>
                <w:lang w:val="uk-UA"/>
              </w:rPr>
              <w:t>) відповідно до бюджетного запиту на 2022 рік.</w:t>
            </w:r>
            <w:r w:rsidRPr="00166A6F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166A6F" w:rsidRPr="00172999" w14:paraId="61B6B5B1" w14:textId="77777777" w:rsidTr="00F556F1">
        <w:tc>
          <w:tcPr>
            <w:tcW w:w="636" w:type="dxa"/>
          </w:tcPr>
          <w:p w14:paraId="769F9BA4" w14:textId="77777777"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lastRenderedPageBreak/>
              <w:t>4.2.</w:t>
            </w:r>
          </w:p>
        </w:tc>
        <w:tc>
          <w:tcPr>
            <w:tcW w:w="3754" w:type="dxa"/>
          </w:tcPr>
          <w:p w14:paraId="6422E002" w14:textId="77777777" w:rsidR="00166A6F" w:rsidRPr="00166A6F" w:rsidRDefault="00166A6F" w:rsidP="00166A6F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166A6F">
              <w:rPr>
                <w:lang w:val="uk-UA"/>
              </w:rPr>
              <w:t>Очікувана вартість предмета закупівлі.</w:t>
            </w:r>
          </w:p>
        </w:tc>
        <w:tc>
          <w:tcPr>
            <w:tcW w:w="5239" w:type="dxa"/>
          </w:tcPr>
          <w:p w14:paraId="28F88944" w14:textId="45DD7A60" w:rsidR="00166A6F" w:rsidRPr="00166A6F" w:rsidRDefault="00652F54" w:rsidP="00C274DC">
            <w:pPr>
              <w:tabs>
                <w:tab w:val="left" w:pos="851"/>
              </w:tabs>
              <w:spacing w:after="16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70 000,00</w:t>
            </w:r>
            <w:r w:rsidR="00166A6F" w:rsidRPr="00166A6F">
              <w:rPr>
                <w:lang w:val="uk-UA"/>
              </w:rPr>
              <w:t xml:space="preserve"> грн.(</w:t>
            </w:r>
            <w:r>
              <w:rPr>
                <w:lang w:val="uk-UA"/>
              </w:rPr>
              <w:t>Сімдес</w:t>
            </w:r>
            <w:r w:rsidR="00172999">
              <w:rPr>
                <w:lang w:val="uk-UA"/>
              </w:rPr>
              <w:t>ят тисяч</w:t>
            </w:r>
            <w:r>
              <w:rPr>
                <w:lang w:val="uk-UA"/>
              </w:rPr>
              <w:t xml:space="preserve"> грн.00</w:t>
            </w:r>
            <w:r w:rsidR="00166A6F" w:rsidRPr="00166A6F">
              <w:rPr>
                <w:lang w:val="uk-UA"/>
              </w:rPr>
              <w:t xml:space="preserve"> коп.)</w:t>
            </w:r>
            <w:r w:rsidR="00166A6F" w:rsidRPr="00166A6F">
              <w:rPr>
                <w:rFonts w:eastAsia="Calibri"/>
                <w:lang w:val="uk-UA" w:eastAsia="en-US"/>
              </w:rPr>
              <w:t xml:space="preserve"> з ПДВ</w:t>
            </w:r>
            <w:r w:rsidR="00166A6F" w:rsidRPr="00166A6F">
              <w:rPr>
                <w:lang w:val="uk-UA"/>
              </w:rPr>
              <w:t>.</w:t>
            </w:r>
          </w:p>
        </w:tc>
      </w:tr>
      <w:tr w:rsidR="00166A6F" w:rsidRPr="00172999" w14:paraId="5DB0E1D6" w14:textId="77777777" w:rsidTr="00F556F1">
        <w:tc>
          <w:tcPr>
            <w:tcW w:w="636" w:type="dxa"/>
          </w:tcPr>
          <w:p w14:paraId="396525C9" w14:textId="77777777"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4.3</w:t>
            </w:r>
          </w:p>
        </w:tc>
        <w:tc>
          <w:tcPr>
            <w:tcW w:w="3754" w:type="dxa"/>
          </w:tcPr>
          <w:p w14:paraId="78676BBB" w14:textId="77777777" w:rsidR="00166A6F" w:rsidRPr="00166A6F" w:rsidRDefault="00166A6F" w:rsidP="00166A6F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166A6F">
              <w:rPr>
                <w:lang w:val="uk-UA"/>
              </w:rPr>
              <w:t>Обґрунтування очікуваної вартості предмета закупівлі.</w:t>
            </w:r>
          </w:p>
          <w:p w14:paraId="329CCB5D" w14:textId="77777777" w:rsidR="00166A6F" w:rsidRPr="00166A6F" w:rsidRDefault="00166A6F" w:rsidP="00166A6F">
            <w:pPr>
              <w:tabs>
                <w:tab w:val="left" w:pos="851"/>
              </w:tabs>
              <w:spacing w:after="120"/>
              <w:jc w:val="both"/>
              <w:rPr>
                <w:lang w:val="uk-UA"/>
              </w:rPr>
            </w:pPr>
          </w:p>
        </w:tc>
        <w:tc>
          <w:tcPr>
            <w:tcW w:w="5239" w:type="dxa"/>
          </w:tcPr>
          <w:p w14:paraId="44326DF3" w14:textId="6AEF472A" w:rsidR="00166A6F" w:rsidRPr="00166A6F" w:rsidRDefault="00166A6F" w:rsidP="00AB3008">
            <w:pPr>
              <w:spacing w:after="160"/>
              <w:contextualSpacing/>
              <w:jc w:val="both"/>
              <w:rPr>
                <w:rFonts w:eastAsia="Calibri"/>
                <w:color w:val="FF0000"/>
                <w:highlight w:val="yellow"/>
                <w:lang w:val="uk-UA" w:eastAsia="en-US"/>
              </w:rPr>
            </w:pPr>
            <w:r w:rsidRPr="00166A6F">
              <w:rPr>
                <w:rFonts w:eastAsia="Calibri"/>
                <w:lang w:val="uk-UA" w:eastAsia="en-US"/>
              </w:rPr>
              <w:t>Розрахунок очікуваної вартості предмета закупівлі здійснено на підставі обсягу</w:t>
            </w:r>
            <w:r w:rsidR="00652F54">
              <w:rPr>
                <w:rFonts w:eastAsia="Calibri"/>
                <w:lang w:val="uk-UA" w:eastAsia="en-US"/>
              </w:rPr>
              <w:t xml:space="preserve"> послуг водовідведення</w:t>
            </w:r>
            <w:r w:rsidR="00C939AB">
              <w:rPr>
                <w:rFonts w:eastAsia="Calibri"/>
                <w:lang w:val="uk-UA" w:eastAsia="en-US"/>
              </w:rPr>
              <w:t xml:space="preserve"> в натуральних показниках</w:t>
            </w:r>
            <w:r w:rsidR="00E23906">
              <w:rPr>
                <w:rFonts w:eastAsia="Calibri"/>
                <w:lang w:val="uk-UA" w:eastAsia="en-US"/>
              </w:rPr>
              <w:t xml:space="preserve"> (3632,2 </w:t>
            </w:r>
            <w:proofErr w:type="spellStart"/>
            <w:r w:rsidR="00E23906">
              <w:rPr>
                <w:rFonts w:eastAsia="Calibri"/>
                <w:lang w:val="uk-UA" w:eastAsia="en-US"/>
              </w:rPr>
              <w:t>м.куб</w:t>
            </w:r>
            <w:proofErr w:type="spellEnd"/>
            <w:r w:rsidR="00E23906">
              <w:rPr>
                <w:rFonts w:eastAsia="Calibri"/>
                <w:lang w:val="uk-UA" w:eastAsia="en-US"/>
              </w:rPr>
              <w:t>)</w:t>
            </w:r>
            <w:r w:rsidR="00C939AB" w:rsidRPr="00166A6F">
              <w:rPr>
                <w:rFonts w:eastAsia="Calibri"/>
                <w:lang w:val="uk-UA" w:eastAsia="en-US"/>
              </w:rPr>
              <w:t xml:space="preserve"> </w:t>
            </w:r>
            <w:r w:rsidR="00C939AB">
              <w:rPr>
                <w:rFonts w:eastAsia="Calibri"/>
                <w:lang w:val="uk-UA" w:eastAsia="en-US"/>
              </w:rPr>
              <w:t>та</w:t>
            </w:r>
            <w:r w:rsidRPr="00166A6F">
              <w:rPr>
                <w:rFonts w:eastAsia="Calibri"/>
                <w:lang w:val="uk-UA" w:eastAsia="en-US"/>
              </w:rPr>
              <w:t xml:space="preserve">  розрахункової цифри за даним тарифом</w:t>
            </w:r>
            <w:r w:rsidR="00E23906">
              <w:rPr>
                <w:rFonts w:eastAsia="Calibri"/>
                <w:lang w:val="uk-UA" w:eastAsia="en-US"/>
              </w:rPr>
              <w:t xml:space="preserve"> (16,06 грн. без ПДВ)</w:t>
            </w:r>
            <w:r w:rsidRPr="00166A6F">
              <w:rPr>
                <w:rFonts w:eastAsia="Calibri"/>
                <w:lang w:val="uk-UA" w:eastAsia="en-US"/>
              </w:rPr>
              <w:t xml:space="preserve"> на</w:t>
            </w:r>
            <w:r w:rsidR="00AB3008">
              <w:rPr>
                <w:rFonts w:eastAsia="Calibri"/>
                <w:lang w:val="uk-UA" w:eastAsia="en-US"/>
              </w:rPr>
              <w:t xml:space="preserve"> </w:t>
            </w:r>
            <w:r w:rsidR="00652F54">
              <w:rPr>
                <w:rFonts w:eastAsia="Calibri"/>
                <w:lang w:val="uk-UA" w:eastAsia="en-US"/>
              </w:rPr>
              <w:t xml:space="preserve">послуги </w:t>
            </w:r>
            <w:r w:rsidRPr="00166A6F">
              <w:rPr>
                <w:rFonts w:eastAsia="Calibri"/>
                <w:lang w:val="uk-UA" w:eastAsia="en-US"/>
              </w:rPr>
              <w:t xml:space="preserve"> </w:t>
            </w:r>
            <w:r w:rsidR="00652F54" w:rsidRPr="00DF5031">
              <w:rPr>
                <w:lang w:val="uk-UA"/>
              </w:rPr>
              <w:t xml:space="preserve">з </w:t>
            </w:r>
            <w:r w:rsidR="00652F54" w:rsidRPr="00652F54">
              <w:rPr>
                <w:rStyle w:val="h-hidden"/>
                <w:color w:val="333333"/>
                <w:bdr w:val="none" w:sz="0" w:space="0" w:color="auto" w:frame="1"/>
                <w:lang w:val="uk-UA"/>
              </w:rPr>
              <w:t xml:space="preserve">централізованого водовідведення </w:t>
            </w:r>
            <w:r w:rsidR="00652F54">
              <w:rPr>
                <w:rStyle w:val="h-hidden"/>
                <w:color w:val="333333"/>
                <w:bdr w:val="none" w:sz="0" w:space="0" w:color="auto" w:frame="1"/>
                <w:lang w:val="uk-UA"/>
              </w:rPr>
              <w:t>.</w:t>
            </w:r>
          </w:p>
        </w:tc>
      </w:tr>
      <w:tr w:rsidR="00166A6F" w:rsidRPr="00166A6F" w14:paraId="6B04E66F" w14:textId="77777777" w:rsidTr="00F556F1">
        <w:tc>
          <w:tcPr>
            <w:tcW w:w="636" w:type="dxa"/>
          </w:tcPr>
          <w:p w14:paraId="65D4B16C" w14:textId="77777777"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5.</w:t>
            </w:r>
          </w:p>
        </w:tc>
        <w:tc>
          <w:tcPr>
            <w:tcW w:w="3754" w:type="dxa"/>
          </w:tcPr>
          <w:p w14:paraId="2BA75E8B" w14:textId="77777777" w:rsidR="00166A6F" w:rsidRPr="00166A6F" w:rsidRDefault="00166A6F" w:rsidP="00C939AB">
            <w:pPr>
              <w:spacing w:after="160"/>
              <w:jc w:val="both"/>
            </w:pPr>
            <w:r w:rsidRPr="00166A6F">
              <w:t xml:space="preserve">Процедура </w:t>
            </w:r>
            <w:r w:rsidRPr="00166A6F">
              <w:rPr>
                <w:lang w:val="uk-UA"/>
              </w:rPr>
              <w:t>закупівлі</w:t>
            </w:r>
            <w:r w:rsidRPr="00166A6F">
              <w:t>.</w:t>
            </w:r>
          </w:p>
        </w:tc>
        <w:tc>
          <w:tcPr>
            <w:tcW w:w="5239" w:type="dxa"/>
          </w:tcPr>
          <w:p w14:paraId="4EE2B9F6" w14:textId="77777777" w:rsidR="00166A6F" w:rsidRPr="00166A6F" w:rsidRDefault="00C56C4C" w:rsidP="00C56C4C">
            <w:pPr>
              <w:spacing w:after="160"/>
              <w:ind w:right="-1"/>
              <w:jc w:val="both"/>
              <w:rPr>
                <w:color w:val="FF0000"/>
                <w:lang w:val="uk-UA"/>
              </w:rPr>
            </w:pPr>
            <w:r w:rsidRPr="00C56C4C">
              <w:rPr>
                <w:lang w:val="uk-UA"/>
              </w:rPr>
              <w:t xml:space="preserve">Згідно </w:t>
            </w:r>
            <w:proofErr w:type="spellStart"/>
            <w:r w:rsidRPr="00C56C4C">
              <w:rPr>
                <w:lang w:val="uk-UA"/>
              </w:rPr>
              <w:t>абз</w:t>
            </w:r>
            <w:proofErr w:type="spellEnd"/>
            <w:r w:rsidRPr="00C56C4C">
              <w:rPr>
                <w:lang w:val="uk-UA"/>
              </w:rPr>
              <w:t>. 4 п. 2, ч. 2 ст. 40 Закону України «Про публічні закупівлі» застосовується переговорна  процедура закупівлі.</w:t>
            </w:r>
          </w:p>
        </w:tc>
      </w:tr>
    </w:tbl>
    <w:p w14:paraId="360928E3" w14:textId="77777777" w:rsidR="00166A6F" w:rsidRP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p w14:paraId="187249FC" w14:textId="77777777" w:rsid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p w14:paraId="738D00E4" w14:textId="77777777" w:rsidR="00C939AB" w:rsidRPr="00166A6F" w:rsidRDefault="00C939AB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p w14:paraId="4A6F4396" w14:textId="77777777" w:rsidR="00231067" w:rsidRDefault="00166A6F" w:rsidP="00166A6F">
      <w:pPr>
        <w:spacing w:after="160"/>
        <w:contextualSpacing/>
        <w:rPr>
          <w:rFonts w:eastAsia="Calibri"/>
          <w:lang w:val="uk-UA" w:eastAsia="en-US"/>
        </w:rPr>
      </w:pPr>
      <w:r w:rsidRPr="00166A6F">
        <w:rPr>
          <w:rFonts w:eastAsia="Calibri"/>
          <w:lang w:val="uk-UA" w:eastAsia="en-US"/>
        </w:rPr>
        <w:t xml:space="preserve">Начальник </w:t>
      </w:r>
      <w:r w:rsidR="00231067" w:rsidRPr="00166A6F">
        <w:rPr>
          <w:rFonts w:eastAsia="Calibri"/>
          <w:lang w:val="uk-UA" w:eastAsia="en-US"/>
        </w:rPr>
        <w:t xml:space="preserve">відділу </w:t>
      </w:r>
      <w:r w:rsidRPr="00166A6F">
        <w:rPr>
          <w:rFonts w:eastAsia="Calibri"/>
          <w:lang w:val="uk-UA" w:eastAsia="en-US"/>
        </w:rPr>
        <w:t>господарського</w:t>
      </w:r>
    </w:p>
    <w:p w14:paraId="03681B73" w14:textId="1A0E39A7" w:rsidR="00166A6F" w:rsidRPr="00166A6F" w:rsidRDefault="00231067" w:rsidP="00166A6F">
      <w:pPr>
        <w:spacing w:after="160"/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забезпечення міської ради</w:t>
      </w:r>
      <w:r w:rsidR="00166A6F" w:rsidRPr="00166A6F">
        <w:rPr>
          <w:rFonts w:eastAsia="Calibri"/>
          <w:lang w:val="uk-UA" w:eastAsia="en-US"/>
        </w:rPr>
        <w:t xml:space="preserve">                                                      </w:t>
      </w:r>
      <w:r>
        <w:rPr>
          <w:rFonts w:eastAsia="Calibri"/>
          <w:lang w:val="uk-UA" w:eastAsia="en-US"/>
        </w:rPr>
        <w:t xml:space="preserve">               </w:t>
      </w:r>
      <w:r w:rsidR="00166A6F" w:rsidRPr="00166A6F">
        <w:rPr>
          <w:rFonts w:eastAsia="Calibri"/>
          <w:lang w:val="uk-UA" w:eastAsia="en-US"/>
        </w:rPr>
        <w:t>Анатолій ВЕСЕЛЬСЬКИЙ</w:t>
      </w:r>
    </w:p>
    <w:p w14:paraId="4BF1BE8D" w14:textId="77777777" w:rsidR="00166A6F" w:rsidRPr="00A32803" w:rsidRDefault="00166A6F" w:rsidP="00A32803">
      <w:pPr>
        <w:ind w:firstLine="709"/>
        <w:jc w:val="both"/>
        <w:rPr>
          <w:sz w:val="28"/>
          <w:szCs w:val="28"/>
          <w:lang w:val="uk-UA"/>
        </w:rPr>
      </w:pPr>
    </w:p>
    <w:sectPr w:rsidR="00166A6F" w:rsidRPr="00A32803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5D3E" w14:textId="77777777" w:rsidR="00AF416E" w:rsidRDefault="00AF416E" w:rsidP="00354DB8">
      <w:r>
        <w:separator/>
      </w:r>
    </w:p>
  </w:endnote>
  <w:endnote w:type="continuationSeparator" w:id="0">
    <w:p w14:paraId="455D1482" w14:textId="77777777" w:rsidR="00AF416E" w:rsidRDefault="00AF416E" w:rsidP="0035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FC2BC" w14:textId="77777777" w:rsidR="00AF416E" w:rsidRDefault="00AF416E" w:rsidP="00354DB8">
      <w:r>
        <w:separator/>
      </w:r>
    </w:p>
  </w:footnote>
  <w:footnote w:type="continuationSeparator" w:id="0">
    <w:p w14:paraId="129B3644" w14:textId="77777777" w:rsidR="00AF416E" w:rsidRDefault="00AF416E" w:rsidP="0035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1943" w14:textId="77777777" w:rsidR="00354DB8" w:rsidRDefault="00354DB8">
    <w:pPr>
      <w:pStyle w:val="a5"/>
      <w:jc w:val="center"/>
    </w:pPr>
  </w:p>
  <w:p w14:paraId="021AE0D5" w14:textId="77777777" w:rsidR="00354DB8" w:rsidRDefault="00354D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26"/>
    <w:rsid w:val="000004BC"/>
    <w:rsid w:val="000163F4"/>
    <w:rsid w:val="00042E02"/>
    <w:rsid w:val="00050C60"/>
    <w:rsid w:val="00064D49"/>
    <w:rsid w:val="000B3842"/>
    <w:rsid w:val="000C1814"/>
    <w:rsid w:val="000E1899"/>
    <w:rsid w:val="000E6A35"/>
    <w:rsid w:val="000F729D"/>
    <w:rsid w:val="00137A1A"/>
    <w:rsid w:val="00164600"/>
    <w:rsid w:val="00166A6F"/>
    <w:rsid w:val="00172999"/>
    <w:rsid w:val="00183E3D"/>
    <w:rsid w:val="001A177C"/>
    <w:rsid w:val="001B5FDA"/>
    <w:rsid w:val="001F4EC0"/>
    <w:rsid w:val="00200EA2"/>
    <w:rsid w:val="002073D5"/>
    <w:rsid w:val="0021188A"/>
    <w:rsid w:val="0021460B"/>
    <w:rsid w:val="00231067"/>
    <w:rsid w:val="002446E9"/>
    <w:rsid w:val="00260D95"/>
    <w:rsid w:val="00261EBE"/>
    <w:rsid w:val="002766DF"/>
    <w:rsid w:val="00276702"/>
    <w:rsid w:val="0028396B"/>
    <w:rsid w:val="00284C4A"/>
    <w:rsid w:val="0028612E"/>
    <w:rsid w:val="002A5422"/>
    <w:rsid w:val="002B5692"/>
    <w:rsid w:val="002D03FF"/>
    <w:rsid w:val="002D44F8"/>
    <w:rsid w:val="002D503D"/>
    <w:rsid w:val="002E1BE0"/>
    <w:rsid w:val="002E4062"/>
    <w:rsid w:val="002F53C5"/>
    <w:rsid w:val="00300186"/>
    <w:rsid w:val="003057A7"/>
    <w:rsid w:val="00307FD7"/>
    <w:rsid w:val="00316180"/>
    <w:rsid w:val="003170E3"/>
    <w:rsid w:val="00354DB8"/>
    <w:rsid w:val="00363658"/>
    <w:rsid w:val="003637A9"/>
    <w:rsid w:val="00381EBB"/>
    <w:rsid w:val="00390541"/>
    <w:rsid w:val="0039595D"/>
    <w:rsid w:val="003D5850"/>
    <w:rsid w:val="00411135"/>
    <w:rsid w:val="00424F9C"/>
    <w:rsid w:val="004400A7"/>
    <w:rsid w:val="00440234"/>
    <w:rsid w:val="00442A79"/>
    <w:rsid w:val="00476820"/>
    <w:rsid w:val="004C452E"/>
    <w:rsid w:val="004D5B20"/>
    <w:rsid w:val="004D76E2"/>
    <w:rsid w:val="004F1134"/>
    <w:rsid w:val="00512126"/>
    <w:rsid w:val="00512BCE"/>
    <w:rsid w:val="00520750"/>
    <w:rsid w:val="00532A40"/>
    <w:rsid w:val="0053402A"/>
    <w:rsid w:val="00537B69"/>
    <w:rsid w:val="00541C92"/>
    <w:rsid w:val="005420D4"/>
    <w:rsid w:val="0054695F"/>
    <w:rsid w:val="005645C9"/>
    <w:rsid w:val="0059056C"/>
    <w:rsid w:val="005A143B"/>
    <w:rsid w:val="005D2827"/>
    <w:rsid w:val="005D4036"/>
    <w:rsid w:val="005E09DE"/>
    <w:rsid w:val="00600417"/>
    <w:rsid w:val="00607FB7"/>
    <w:rsid w:val="006229C1"/>
    <w:rsid w:val="006436EE"/>
    <w:rsid w:val="0065006E"/>
    <w:rsid w:val="00652F54"/>
    <w:rsid w:val="00656CD6"/>
    <w:rsid w:val="00691B30"/>
    <w:rsid w:val="00697460"/>
    <w:rsid w:val="006B1071"/>
    <w:rsid w:val="006E72B2"/>
    <w:rsid w:val="006F1181"/>
    <w:rsid w:val="006F5A37"/>
    <w:rsid w:val="0070710E"/>
    <w:rsid w:val="00711CD2"/>
    <w:rsid w:val="00716DD0"/>
    <w:rsid w:val="00723977"/>
    <w:rsid w:val="0072630A"/>
    <w:rsid w:val="00734131"/>
    <w:rsid w:val="007466D0"/>
    <w:rsid w:val="00763935"/>
    <w:rsid w:val="00763C01"/>
    <w:rsid w:val="00771A9D"/>
    <w:rsid w:val="00780238"/>
    <w:rsid w:val="00791898"/>
    <w:rsid w:val="007B3081"/>
    <w:rsid w:val="007E0C92"/>
    <w:rsid w:val="00801FD2"/>
    <w:rsid w:val="00813C9A"/>
    <w:rsid w:val="0082079A"/>
    <w:rsid w:val="00825CAC"/>
    <w:rsid w:val="008262A8"/>
    <w:rsid w:val="00830A0C"/>
    <w:rsid w:val="00832751"/>
    <w:rsid w:val="008836B9"/>
    <w:rsid w:val="008848F7"/>
    <w:rsid w:val="008B7793"/>
    <w:rsid w:val="008C2BA1"/>
    <w:rsid w:val="008D12DC"/>
    <w:rsid w:val="00920799"/>
    <w:rsid w:val="00927ED5"/>
    <w:rsid w:val="0093423A"/>
    <w:rsid w:val="00957FC6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059B5"/>
    <w:rsid w:val="00A137CE"/>
    <w:rsid w:val="00A32803"/>
    <w:rsid w:val="00A34D15"/>
    <w:rsid w:val="00A362E6"/>
    <w:rsid w:val="00A463DE"/>
    <w:rsid w:val="00A53FC5"/>
    <w:rsid w:val="00A61782"/>
    <w:rsid w:val="00AB3008"/>
    <w:rsid w:val="00AB5BED"/>
    <w:rsid w:val="00AB60C2"/>
    <w:rsid w:val="00AD1408"/>
    <w:rsid w:val="00AD1E34"/>
    <w:rsid w:val="00AD751B"/>
    <w:rsid w:val="00AE434A"/>
    <w:rsid w:val="00AF416E"/>
    <w:rsid w:val="00B05479"/>
    <w:rsid w:val="00B22D9F"/>
    <w:rsid w:val="00B26D87"/>
    <w:rsid w:val="00B35CA7"/>
    <w:rsid w:val="00B54409"/>
    <w:rsid w:val="00B54BA4"/>
    <w:rsid w:val="00B559A0"/>
    <w:rsid w:val="00B801D5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274DC"/>
    <w:rsid w:val="00C35326"/>
    <w:rsid w:val="00C42CB2"/>
    <w:rsid w:val="00C56C4C"/>
    <w:rsid w:val="00C6006D"/>
    <w:rsid w:val="00C735CE"/>
    <w:rsid w:val="00C939AB"/>
    <w:rsid w:val="00CA14E2"/>
    <w:rsid w:val="00CB4FC5"/>
    <w:rsid w:val="00CE1934"/>
    <w:rsid w:val="00CF2D07"/>
    <w:rsid w:val="00D16679"/>
    <w:rsid w:val="00D2621B"/>
    <w:rsid w:val="00D517E2"/>
    <w:rsid w:val="00D61183"/>
    <w:rsid w:val="00D97B5E"/>
    <w:rsid w:val="00DA4595"/>
    <w:rsid w:val="00DC72CE"/>
    <w:rsid w:val="00DF5031"/>
    <w:rsid w:val="00DF5E81"/>
    <w:rsid w:val="00E07824"/>
    <w:rsid w:val="00E23906"/>
    <w:rsid w:val="00E4058E"/>
    <w:rsid w:val="00E465DF"/>
    <w:rsid w:val="00E77F16"/>
    <w:rsid w:val="00E808BC"/>
    <w:rsid w:val="00E878B1"/>
    <w:rsid w:val="00EB277B"/>
    <w:rsid w:val="00ED68C1"/>
    <w:rsid w:val="00EE5DD0"/>
    <w:rsid w:val="00EF187B"/>
    <w:rsid w:val="00F45D9A"/>
    <w:rsid w:val="00F47EAD"/>
    <w:rsid w:val="00F55F52"/>
    <w:rsid w:val="00F834AD"/>
    <w:rsid w:val="00FA289E"/>
    <w:rsid w:val="00FA634E"/>
    <w:rsid w:val="00FB0F3D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4CA0"/>
  <w15:docId w15:val="{63E05A5C-6162-4DA6-8334-86D484F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  <w:style w:type="character" w:customStyle="1" w:styleId="h-hidden">
    <w:name w:val="h-hidden"/>
    <w:basedOn w:val="a0"/>
    <w:rsid w:val="00652F54"/>
  </w:style>
  <w:style w:type="character" w:customStyle="1" w:styleId="qaclassifiertype">
    <w:name w:val="qa_classifier_type"/>
    <w:basedOn w:val="a0"/>
    <w:rsid w:val="00652F54"/>
  </w:style>
  <w:style w:type="character" w:customStyle="1" w:styleId="qaclassifierdk">
    <w:name w:val="qa_classifier_dk"/>
    <w:basedOn w:val="a0"/>
    <w:rsid w:val="00652F54"/>
  </w:style>
  <w:style w:type="character" w:customStyle="1" w:styleId="qaclassifierdescr">
    <w:name w:val="qa_classifier_descr"/>
    <w:basedOn w:val="a0"/>
    <w:rsid w:val="00652F54"/>
  </w:style>
  <w:style w:type="character" w:customStyle="1" w:styleId="qaclassifierdescrcode">
    <w:name w:val="qa_classifier_descr_code"/>
    <w:basedOn w:val="a0"/>
    <w:rsid w:val="00652F54"/>
  </w:style>
  <w:style w:type="character" w:customStyle="1" w:styleId="qaclassifierdescrprimary">
    <w:name w:val="qa_classifier_descr_primary"/>
    <w:basedOn w:val="a0"/>
    <w:rsid w:val="0065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1518-057A-4261-9C82-5FE7FA91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3421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2022-07-25T06:31:00Z</cp:lastPrinted>
  <dcterms:created xsi:type="dcterms:W3CDTF">2022-07-25T06:25:00Z</dcterms:created>
  <dcterms:modified xsi:type="dcterms:W3CDTF">2022-10-24T13:03:00Z</dcterms:modified>
</cp:coreProperties>
</file>