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6F" w:rsidRPr="00166A6F" w:rsidRDefault="00166A6F" w:rsidP="00166A6F">
      <w:pPr>
        <w:jc w:val="center"/>
        <w:rPr>
          <w:rFonts w:eastAsia="Calibri"/>
          <w:b/>
          <w:lang w:val="uk-UA" w:eastAsia="en-US"/>
        </w:rPr>
      </w:pPr>
      <w:r w:rsidRPr="00166A6F">
        <w:rPr>
          <w:rFonts w:eastAsia="Calibri"/>
          <w:b/>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66A6F" w:rsidRPr="00166A6F" w:rsidRDefault="00166A6F" w:rsidP="00166A6F">
      <w:pPr>
        <w:jc w:val="center"/>
        <w:rPr>
          <w:rFonts w:eastAsia="Calibri"/>
          <w:b/>
          <w:lang w:val="uk-UA" w:eastAsia="en-US"/>
        </w:rPr>
      </w:pPr>
    </w:p>
    <w:p w:rsidR="00166A6F" w:rsidRPr="00166A6F" w:rsidRDefault="00166A6F" w:rsidP="00166A6F">
      <w:pPr>
        <w:spacing w:after="160"/>
        <w:contextualSpacing/>
        <w:jc w:val="center"/>
        <w:rPr>
          <w:rFonts w:eastAsia="Calibri"/>
          <w:lang w:val="uk-UA" w:eastAsia="en-US"/>
        </w:rPr>
      </w:pPr>
      <w:r w:rsidRPr="00166A6F">
        <w:rPr>
          <w:rFonts w:eastAsia="Calibri"/>
          <w:lang w:val="uk-UA" w:eastAsia="en-US"/>
        </w:rPr>
        <w:t>(відповідно до пункту 4</w:t>
      </w:r>
      <w:r w:rsidRPr="00166A6F">
        <w:rPr>
          <w:rFonts w:eastAsia="Calibri"/>
          <w:vertAlign w:val="superscript"/>
          <w:lang w:val="uk-UA" w:eastAsia="en-US"/>
        </w:rPr>
        <w:t xml:space="preserve">1 </w:t>
      </w:r>
      <w:r w:rsidRPr="00166A6F">
        <w:rPr>
          <w:rFonts w:eastAsia="Calibri"/>
          <w:lang w:val="uk-UA" w:eastAsia="en-US"/>
        </w:rPr>
        <w:t>постанови КМУ від 11.10.2016 № 710 «Про ефективне використання державних коштів» (зі змінами))</w:t>
      </w:r>
    </w:p>
    <w:p w:rsidR="00166A6F" w:rsidRPr="00166A6F" w:rsidRDefault="00166A6F" w:rsidP="00166A6F">
      <w:pPr>
        <w:spacing w:after="160"/>
        <w:contextualSpacing/>
        <w:jc w:val="center"/>
        <w:rPr>
          <w:rFonts w:eastAsia="Calibri"/>
          <w:lang w:val="uk-UA" w:eastAsia="en-US"/>
        </w:rPr>
      </w:pPr>
    </w:p>
    <w:tbl>
      <w:tblPr>
        <w:tblStyle w:val="a3"/>
        <w:tblW w:w="0" w:type="auto"/>
        <w:tblLook w:val="04A0"/>
      </w:tblPr>
      <w:tblGrid>
        <w:gridCol w:w="636"/>
        <w:gridCol w:w="3754"/>
        <w:gridCol w:w="5239"/>
      </w:tblGrid>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1.</w:t>
            </w:r>
          </w:p>
        </w:tc>
        <w:tc>
          <w:tcPr>
            <w:tcW w:w="3754" w:type="dxa"/>
          </w:tcPr>
          <w:p w:rsidR="00166A6F" w:rsidRPr="00166A6F" w:rsidRDefault="00166A6F" w:rsidP="00166A6F">
            <w:pPr>
              <w:tabs>
                <w:tab w:val="left" w:pos="851"/>
              </w:tabs>
              <w:spacing w:after="160"/>
              <w:jc w:val="both"/>
              <w:rPr>
                <w:rFonts w:eastAsia="Calibri"/>
                <w:lang w:val="uk-UA" w:eastAsia="en-US"/>
              </w:rPr>
            </w:pPr>
            <w:r w:rsidRPr="00166A6F">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239" w:type="dxa"/>
          </w:tcPr>
          <w:p w:rsidR="001A177C" w:rsidRDefault="00166A6F" w:rsidP="001A177C">
            <w:pPr>
              <w:shd w:val="clear" w:color="auto" w:fill="FFFFFF"/>
              <w:jc w:val="both"/>
              <w:rPr>
                <w:lang w:val="uk-UA" w:eastAsia="en-US"/>
              </w:rPr>
            </w:pPr>
            <w:r w:rsidRPr="001A177C">
              <w:rPr>
                <w:rFonts w:eastAsia="Calibri"/>
                <w:b/>
                <w:bCs/>
                <w:lang w:val="uk-UA" w:eastAsia="en-US"/>
              </w:rPr>
              <w:t>Виконавчий комітет Житомирської міської ради Житомирської області</w:t>
            </w:r>
            <w:r w:rsidRPr="00166A6F">
              <w:rPr>
                <w:rFonts w:eastAsia="Calibri"/>
                <w:lang w:val="uk-UA" w:eastAsia="en-US"/>
              </w:rPr>
              <w:t xml:space="preserve">; майдан </w:t>
            </w:r>
            <w:r w:rsidR="001A177C">
              <w:rPr>
                <w:rFonts w:eastAsia="Calibri"/>
                <w:lang w:val="uk-UA" w:eastAsia="en-US"/>
              </w:rPr>
              <w:t xml:space="preserve">                                </w:t>
            </w:r>
            <w:r w:rsidRPr="00166A6F">
              <w:rPr>
                <w:rFonts w:eastAsia="Calibri"/>
                <w:lang w:val="uk-UA" w:eastAsia="en-US"/>
              </w:rPr>
              <w:t xml:space="preserve">ім. С. П. Корольова, 4/2, м. Житомир, 10014; </w:t>
            </w:r>
            <w:r w:rsidR="001A177C">
              <w:rPr>
                <w:rFonts w:eastAsia="Calibri"/>
                <w:lang w:val="uk-UA" w:eastAsia="en-US"/>
              </w:rPr>
              <w:t xml:space="preserve">             </w:t>
            </w:r>
            <w:r w:rsidRPr="00166A6F">
              <w:rPr>
                <w:lang w:val="uk-UA" w:eastAsia="en-US"/>
              </w:rPr>
              <w:t xml:space="preserve">код  за ЄДРПОУ- 04053625; </w:t>
            </w:r>
          </w:p>
          <w:p w:rsidR="00166A6F" w:rsidRPr="00166A6F" w:rsidRDefault="00166A6F" w:rsidP="001A177C">
            <w:pPr>
              <w:shd w:val="clear" w:color="auto" w:fill="FFFFFF"/>
              <w:jc w:val="both"/>
              <w:rPr>
                <w:rFonts w:eastAsia="Calibri"/>
                <w:lang w:val="uk-UA" w:eastAsia="en-US"/>
              </w:rPr>
            </w:pPr>
            <w:r w:rsidRPr="00166A6F">
              <w:rPr>
                <w:lang w:val="uk-UA"/>
              </w:rPr>
              <w:t xml:space="preserve">категорія замовника – </w:t>
            </w:r>
            <w:r w:rsidRPr="00166A6F">
              <w:rPr>
                <w:rFonts w:eastAsia="Calibri"/>
                <w:lang w:val="uk-UA" w:eastAsia="en-US"/>
              </w:rPr>
              <w:t xml:space="preserve">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w:t>
            </w:r>
            <w:r w:rsidRPr="00166A6F">
              <w:rPr>
                <w:lang w:val="uk-UA"/>
              </w:rPr>
              <w:t>органів державної влади.</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2.</w:t>
            </w:r>
          </w:p>
        </w:tc>
        <w:tc>
          <w:tcPr>
            <w:tcW w:w="3754" w:type="dxa"/>
          </w:tcPr>
          <w:p w:rsidR="00166A6F" w:rsidRPr="00166A6F" w:rsidRDefault="00166A6F" w:rsidP="00166A6F">
            <w:pPr>
              <w:shd w:val="clear" w:color="auto" w:fill="FFFFFF"/>
              <w:spacing w:after="160"/>
              <w:contextualSpacing/>
              <w:jc w:val="both"/>
              <w:rPr>
                <w:rFonts w:eastAsia="Calibri"/>
                <w:lang w:val="uk-UA" w:eastAsia="en-US"/>
              </w:rPr>
            </w:pPr>
            <w:r w:rsidRPr="00166A6F">
              <w:rPr>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239" w:type="dxa"/>
          </w:tcPr>
          <w:p w:rsidR="0074121C" w:rsidRPr="0074121C" w:rsidRDefault="0074121C" w:rsidP="0074121C">
            <w:pPr>
              <w:shd w:val="clear" w:color="auto" w:fill="FFFFFF"/>
              <w:spacing w:after="160"/>
              <w:contextualSpacing/>
              <w:rPr>
                <w:rFonts w:eastAsia="Calibri"/>
                <w:lang w:val="uk-UA" w:eastAsia="en-US"/>
              </w:rPr>
            </w:pPr>
            <w:r w:rsidRPr="0074121C">
              <w:rPr>
                <w:rFonts w:eastAsia="Calibri"/>
                <w:lang w:val="uk-UA" w:eastAsia="en-US"/>
              </w:rPr>
              <w:t>Послуги урядового зв'язку</w:t>
            </w:r>
          </w:p>
          <w:p w:rsidR="00166A6F" w:rsidRPr="00166A6F" w:rsidRDefault="0074121C" w:rsidP="0074121C">
            <w:pPr>
              <w:shd w:val="clear" w:color="auto" w:fill="FFFFFF"/>
              <w:spacing w:after="160"/>
              <w:contextualSpacing/>
              <w:rPr>
                <w:rFonts w:eastAsia="Calibri"/>
                <w:lang w:val="uk-UA" w:eastAsia="en-US"/>
              </w:rPr>
            </w:pPr>
            <w:r>
              <w:rPr>
                <w:rFonts w:eastAsia="Calibri"/>
                <w:lang w:val="uk-UA" w:eastAsia="en-US"/>
              </w:rPr>
              <w:t>(</w:t>
            </w:r>
            <w:r w:rsidRPr="0074121C">
              <w:rPr>
                <w:rFonts w:eastAsia="Calibri"/>
                <w:lang w:val="uk-UA" w:eastAsia="en-US"/>
              </w:rPr>
              <w:t>ДК 021:2015: 64210000-1 Послуги телефонного зв’язку та передачі даних</w:t>
            </w:r>
            <w:r>
              <w:rPr>
                <w:rFonts w:eastAsia="Calibri"/>
                <w:lang w:val="uk-UA" w:eastAsia="en-US"/>
              </w:rPr>
              <w:t>)</w:t>
            </w:r>
          </w:p>
        </w:tc>
      </w:tr>
      <w:tr w:rsidR="00166A6F" w:rsidRPr="00166A6F" w:rsidTr="00FB0F3D">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3.</w:t>
            </w:r>
          </w:p>
        </w:tc>
        <w:tc>
          <w:tcPr>
            <w:tcW w:w="3754" w:type="dxa"/>
          </w:tcPr>
          <w:p w:rsidR="00166A6F" w:rsidRPr="00166A6F" w:rsidRDefault="00166A6F" w:rsidP="00166A6F">
            <w:pPr>
              <w:tabs>
                <w:tab w:val="left" w:pos="851"/>
              </w:tabs>
              <w:spacing w:after="120"/>
              <w:jc w:val="both"/>
              <w:rPr>
                <w:rFonts w:eastAsia="Calibri"/>
                <w:lang w:val="uk-UA" w:eastAsia="en-US"/>
              </w:rPr>
            </w:pPr>
            <w:r w:rsidRPr="00166A6F">
              <w:rPr>
                <w:lang w:val="uk-UA"/>
              </w:rPr>
              <w:t>Ідентифікатор</w:t>
            </w:r>
            <w:r w:rsidRPr="00166A6F">
              <w:t xml:space="preserve"> </w:t>
            </w:r>
            <w:r w:rsidRPr="00166A6F">
              <w:rPr>
                <w:lang w:val="uk-UA"/>
              </w:rPr>
              <w:t>закупівлі</w:t>
            </w:r>
            <w:r w:rsidRPr="00166A6F">
              <w:t xml:space="preserve">: </w:t>
            </w:r>
          </w:p>
        </w:tc>
        <w:tc>
          <w:tcPr>
            <w:tcW w:w="5239" w:type="dxa"/>
            <w:shd w:val="clear" w:color="auto" w:fill="auto"/>
          </w:tcPr>
          <w:p w:rsidR="00166A6F" w:rsidRPr="00166A6F" w:rsidRDefault="0074121C" w:rsidP="002D503D">
            <w:pPr>
              <w:tabs>
                <w:tab w:val="left" w:pos="851"/>
              </w:tabs>
              <w:spacing w:after="120"/>
              <w:jc w:val="both"/>
              <w:rPr>
                <w:rFonts w:eastAsia="Calibri"/>
                <w:lang w:val="en-US" w:eastAsia="en-US"/>
              </w:rPr>
            </w:pPr>
            <w:r w:rsidRPr="0074121C">
              <w:rPr>
                <w:rFonts w:eastAsia="Calibri"/>
                <w:lang w:val="en-US" w:eastAsia="en-US"/>
              </w:rPr>
              <w:t>UA-2022-01-20-014249-b</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w:t>
            </w:r>
          </w:p>
        </w:tc>
        <w:tc>
          <w:tcPr>
            <w:tcW w:w="3754" w:type="dxa"/>
          </w:tcPr>
          <w:p w:rsidR="00166A6F" w:rsidRPr="00166A6F" w:rsidRDefault="00166A6F" w:rsidP="00166A6F">
            <w:pPr>
              <w:widowControl w:val="0"/>
              <w:autoSpaceDE w:val="0"/>
              <w:autoSpaceDN w:val="0"/>
              <w:adjustRightInd w:val="0"/>
              <w:spacing w:after="160"/>
              <w:jc w:val="both"/>
              <w:rPr>
                <w:rFonts w:eastAsia="Calibri"/>
                <w:lang w:val="uk-UA" w:eastAsia="en-US"/>
              </w:rPr>
            </w:pPr>
            <w:r w:rsidRPr="00166A6F">
              <w:rPr>
                <w:lang w:val="uk-UA"/>
              </w:rPr>
              <w:t>Обґрунтування технічних та якісних характеристик предмета закупівлі.</w:t>
            </w:r>
          </w:p>
          <w:p w:rsidR="00166A6F" w:rsidRPr="00166A6F" w:rsidRDefault="00166A6F" w:rsidP="00166A6F">
            <w:pPr>
              <w:spacing w:after="160"/>
              <w:ind w:firstLine="708"/>
              <w:jc w:val="both"/>
              <w:rPr>
                <w:lang w:val="uk-UA"/>
              </w:rPr>
            </w:pPr>
          </w:p>
        </w:tc>
        <w:tc>
          <w:tcPr>
            <w:tcW w:w="5239" w:type="dxa"/>
          </w:tcPr>
          <w:p w:rsidR="00F377EB" w:rsidRPr="00F377EB" w:rsidRDefault="00166A6F" w:rsidP="00F377EB">
            <w:pPr>
              <w:spacing w:after="160"/>
              <w:contextualSpacing/>
              <w:jc w:val="both"/>
              <w:rPr>
                <w:rFonts w:eastAsia="Calibri"/>
                <w:lang w:val="uk-UA" w:eastAsia="en-US"/>
              </w:rPr>
            </w:pPr>
            <w:r w:rsidRPr="00166A6F">
              <w:rPr>
                <w:rFonts w:eastAsia="Calibri"/>
                <w:lang w:val="uk-UA" w:eastAsia="en-US"/>
              </w:rPr>
              <w:t xml:space="preserve">З метою безперебійної роботи виконавчого комітету Житомирської міської ради Житомирської області і виконавчих органів </w:t>
            </w:r>
            <w:r w:rsidR="00F377EB" w:rsidRPr="00F377EB">
              <w:rPr>
                <w:rFonts w:eastAsia="Calibri"/>
                <w:lang w:val="uk-UA" w:eastAsia="en-US"/>
              </w:rPr>
              <w:t>є потреба у закупівлі послуги урядового зв'язку</w:t>
            </w:r>
          </w:p>
          <w:p w:rsidR="00F377EB" w:rsidRDefault="00F377EB" w:rsidP="00F377EB">
            <w:pPr>
              <w:spacing w:after="160"/>
              <w:contextualSpacing/>
              <w:jc w:val="both"/>
              <w:rPr>
                <w:rFonts w:eastAsia="Calibri"/>
                <w:lang w:val="uk-UA" w:eastAsia="en-US"/>
              </w:rPr>
            </w:pPr>
            <w:r w:rsidRPr="00F377EB">
              <w:rPr>
                <w:rFonts w:eastAsia="Calibri"/>
                <w:lang w:val="uk-UA" w:eastAsia="en-US"/>
              </w:rPr>
              <w:t>за кошти місцевого бюджету.</w:t>
            </w:r>
          </w:p>
          <w:p w:rsidR="00EF62B6" w:rsidRDefault="0074121C" w:rsidP="00166A6F">
            <w:pPr>
              <w:spacing w:after="160"/>
              <w:contextualSpacing/>
              <w:jc w:val="both"/>
              <w:rPr>
                <w:rFonts w:eastAsia="Calibri"/>
                <w:lang w:val="uk-UA" w:eastAsia="en-US"/>
              </w:rPr>
            </w:pPr>
            <w:r w:rsidRPr="0074121C">
              <w:rPr>
                <w:rFonts w:eastAsia="Calibri"/>
                <w:lang w:val="uk-UA" w:eastAsia="en-US"/>
              </w:rPr>
              <w:t xml:space="preserve">Згідно з положеннями статті 2 Закону України «Про Державну службу спеціального зв’язку та захисту інформації України» від 23.02.2006 №3475-IV, постанови Кабінету Міністрів України від 03.09.2014 року №411, Державна служба спеціального зв’язку та захисту інформації України в Житомирській області є державним органом, який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до закону. Відповідно до положень статті 14 цього Закону на Державну службу спеціального зв’язку та захисту інформації України відповідно до визначених завдань покладаються, зокрема, такі обов’язки, як забезпечення в установленому законодавством порядку урядовим зв’язком Президента України, Голови Верховної Ради України, Прем’єр-міністра </w:t>
            </w:r>
            <w:r w:rsidRPr="0074121C">
              <w:rPr>
                <w:rFonts w:eastAsia="Calibri"/>
                <w:lang w:val="uk-UA" w:eastAsia="en-US"/>
              </w:rPr>
              <w:lastRenderedPageBreak/>
              <w:t xml:space="preserve">України, інших посадових осіб державних органів, органів місцевого самоврядування, органів військового управління, керівників підприємств, установ і організацій у мирний час, в умовах надзвичайного стану і в особливий період. Державна служба спеціального зв’язку та захисту інформації України здійснює свої повноваження через відповідні територіальні органи. </w:t>
            </w:r>
          </w:p>
          <w:p w:rsidR="0074121C" w:rsidRDefault="0074121C" w:rsidP="00166A6F">
            <w:pPr>
              <w:spacing w:after="160"/>
              <w:contextualSpacing/>
              <w:jc w:val="both"/>
              <w:rPr>
                <w:rFonts w:eastAsia="Calibri"/>
                <w:lang w:val="uk-UA" w:eastAsia="en-US"/>
              </w:rPr>
            </w:pPr>
            <w:r w:rsidRPr="0074121C">
              <w:rPr>
                <w:rFonts w:eastAsia="Calibri"/>
                <w:lang w:val="uk-UA" w:eastAsia="en-US"/>
              </w:rPr>
              <w:t>Згідно Положення про Управління Держспецзв’язку в Житомирській області, затвердженого наказом Адміністрації Держспецзв’язку, Управління Держспецзв’язку в Житомирській області є територіальним органом виконавчої влади із спеціальним статусом (Адміністрація Держспецзв’язку). На сьогоднішній день послуги урядового зв’язку для виконавчого комітету Житомирської міської ради Житомирської області може надавати лише Управління Державної служби спеціального зв’язку та захисту інформації України в Житомирській області (код ЄДРПОУ 34788709). Управління забезпечує міським та міжміським урядовим зв’язком осіб місцевого самоврядування згідно Указу Президента України від 18.04.2005 року № 663 (зі змінами та доповненнями) «Про забезпечення урядовим зв’язком посадових осіб». Державна служба спеціального зв’язку та захисту інформації України самостійно забезпечує надання послуг урядового зв’язку. На даний час на ринку послуг альтернатива послугам урядового зв’язку відсутня. У даному випадку відповідно до абз.4 п.2 ч.2 статті 40 Закону України «Про публічні закупівлі» - відсутність конкуренції з технічних причин є підставою для застосування переговорної процедури закупівлі.</w:t>
            </w:r>
          </w:p>
          <w:p w:rsidR="00CF2D07" w:rsidRPr="00166A6F" w:rsidRDefault="00EF62B6" w:rsidP="00CF2D07">
            <w:pPr>
              <w:spacing w:after="160"/>
              <w:contextualSpacing/>
              <w:jc w:val="both"/>
              <w:rPr>
                <w:rFonts w:eastAsia="Calibri"/>
                <w:lang w:val="uk-UA" w:eastAsia="en-US"/>
              </w:rPr>
            </w:pPr>
            <w:r w:rsidRPr="00EF62B6">
              <w:rPr>
                <w:rFonts w:eastAsia="Calibri"/>
                <w:lang w:val="uk-UA" w:eastAsia="en-US"/>
              </w:rPr>
              <w:t xml:space="preserve">Управління Державної Служби Спеціального Зв'язку </w:t>
            </w:r>
            <w:r>
              <w:rPr>
                <w:rFonts w:eastAsia="Calibri"/>
                <w:lang w:val="uk-UA" w:eastAsia="en-US"/>
              </w:rPr>
              <w:t>т</w:t>
            </w:r>
            <w:r w:rsidRPr="00EF62B6">
              <w:rPr>
                <w:rFonts w:eastAsia="Calibri"/>
                <w:lang w:val="uk-UA" w:eastAsia="en-US"/>
              </w:rPr>
              <w:t xml:space="preserve">а Захисту Інформації України </w:t>
            </w:r>
            <w:r>
              <w:rPr>
                <w:rFonts w:eastAsia="Calibri"/>
                <w:lang w:val="uk-UA" w:eastAsia="en-US"/>
              </w:rPr>
              <w:t>в</w:t>
            </w:r>
            <w:r w:rsidRPr="00EF62B6">
              <w:rPr>
                <w:rFonts w:eastAsia="Calibri"/>
                <w:lang w:val="uk-UA" w:eastAsia="en-US"/>
              </w:rPr>
              <w:t xml:space="preserve"> Житомирській </w:t>
            </w:r>
            <w:r>
              <w:rPr>
                <w:rFonts w:eastAsia="Calibri"/>
                <w:lang w:val="uk-UA" w:eastAsia="en-US"/>
              </w:rPr>
              <w:t>о</w:t>
            </w:r>
            <w:r w:rsidRPr="00EF62B6">
              <w:rPr>
                <w:rFonts w:eastAsia="Calibri"/>
                <w:lang w:val="uk-UA" w:eastAsia="en-US"/>
              </w:rPr>
              <w:t>бласті</w:t>
            </w:r>
          </w:p>
        </w:tc>
      </w:tr>
      <w:tr w:rsidR="00166A6F" w:rsidRPr="009305B0" w:rsidTr="005D4036">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lastRenderedPageBreak/>
              <w:t>4.1.</w:t>
            </w:r>
          </w:p>
        </w:tc>
        <w:tc>
          <w:tcPr>
            <w:tcW w:w="3754" w:type="dxa"/>
          </w:tcPr>
          <w:p w:rsidR="00166A6F" w:rsidRPr="00166A6F" w:rsidRDefault="00166A6F" w:rsidP="00166A6F">
            <w:pPr>
              <w:spacing w:after="160"/>
              <w:outlineLvl w:val="1"/>
              <w:rPr>
                <w:lang w:val="uk-UA"/>
              </w:rPr>
            </w:pPr>
            <w:r w:rsidRPr="00166A6F">
              <w:rPr>
                <w:lang w:val="uk-UA"/>
              </w:rPr>
              <w:t>Обґрунтування розміру бюджетного призначення.</w:t>
            </w:r>
          </w:p>
        </w:tc>
        <w:tc>
          <w:tcPr>
            <w:tcW w:w="5239" w:type="dxa"/>
            <w:shd w:val="clear" w:color="auto" w:fill="auto"/>
          </w:tcPr>
          <w:p w:rsidR="00166A6F" w:rsidRPr="00166A6F" w:rsidRDefault="00166A6F" w:rsidP="00EF62B6">
            <w:pPr>
              <w:spacing w:after="160"/>
              <w:jc w:val="both"/>
              <w:rPr>
                <w:lang w:val="uk-UA"/>
              </w:rPr>
            </w:pPr>
            <w:r w:rsidRPr="00166A6F">
              <w:rPr>
                <w:lang w:val="uk-UA"/>
              </w:rPr>
              <w:t xml:space="preserve">Розмір бюджетного призначення визначено відповідно до </w:t>
            </w:r>
            <w:r w:rsidR="005D4036">
              <w:rPr>
                <w:lang w:val="uk-UA"/>
              </w:rPr>
              <w:t xml:space="preserve">очікуваної потреби </w:t>
            </w:r>
            <w:r w:rsidR="00DF5031" w:rsidRPr="00DF5031">
              <w:rPr>
                <w:lang w:val="uk-UA"/>
              </w:rPr>
              <w:t xml:space="preserve">у закупівлі послуги </w:t>
            </w:r>
            <w:r w:rsidR="00EF62B6" w:rsidRPr="00EF62B6">
              <w:rPr>
                <w:lang w:val="uk-UA"/>
              </w:rPr>
              <w:t>урядового зв’язку</w:t>
            </w:r>
            <w:r w:rsidR="005D4036" w:rsidRPr="005D4036">
              <w:rPr>
                <w:lang w:val="uk-UA"/>
              </w:rPr>
              <w:t xml:space="preserve"> </w:t>
            </w:r>
            <w:r w:rsidR="00DF5031" w:rsidRPr="00DF5031">
              <w:rPr>
                <w:lang w:val="uk-UA"/>
              </w:rPr>
              <w:t>за КПКВК 0210160 Керівництво і управління у відповідній сфері у містах (місті Києві), селищах, селах, об’</w:t>
            </w:r>
            <w:r w:rsidR="00DF5031">
              <w:rPr>
                <w:lang w:val="uk-UA"/>
              </w:rPr>
              <w:t xml:space="preserve">єднаних територіальних громадах </w:t>
            </w:r>
            <w:r w:rsidR="00DF5031" w:rsidRPr="00DF5031">
              <w:rPr>
                <w:lang w:val="uk-UA"/>
              </w:rPr>
              <w:t>(КЕКВ 2271) відповідно до бюджетного запиту на 2022 рік.</w:t>
            </w:r>
            <w:r w:rsidRPr="00166A6F">
              <w:rPr>
                <w:rFonts w:eastAsia="Calibri"/>
                <w:lang w:val="uk-UA" w:eastAsia="en-US"/>
              </w:rPr>
              <w:t xml:space="preserve"> </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4.2.</w:t>
            </w:r>
          </w:p>
        </w:tc>
        <w:tc>
          <w:tcPr>
            <w:tcW w:w="3754" w:type="dxa"/>
          </w:tcPr>
          <w:p w:rsidR="00166A6F" w:rsidRPr="00166A6F" w:rsidRDefault="00166A6F" w:rsidP="00166A6F">
            <w:pPr>
              <w:tabs>
                <w:tab w:val="left" w:pos="851"/>
              </w:tabs>
              <w:spacing w:after="160"/>
              <w:jc w:val="both"/>
              <w:rPr>
                <w:lang w:val="uk-UA"/>
              </w:rPr>
            </w:pPr>
            <w:r w:rsidRPr="00166A6F">
              <w:rPr>
                <w:lang w:val="uk-UA"/>
              </w:rPr>
              <w:t>Очікувана вартість предмета закупівлі.</w:t>
            </w:r>
          </w:p>
        </w:tc>
        <w:tc>
          <w:tcPr>
            <w:tcW w:w="5239" w:type="dxa"/>
          </w:tcPr>
          <w:p w:rsidR="00166A6F" w:rsidRPr="005A5B59" w:rsidRDefault="005A5B59" w:rsidP="005A5B59">
            <w:pPr>
              <w:tabs>
                <w:tab w:val="left" w:pos="851"/>
              </w:tabs>
              <w:spacing w:after="160"/>
              <w:jc w:val="both"/>
              <w:rPr>
                <w:lang w:val="uk-UA"/>
              </w:rPr>
            </w:pPr>
            <w:r>
              <w:rPr>
                <w:lang w:val="uk-UA"/>
              </w:rPr>
              <w:t>17 408,40 грн</w:t>
            </w:r>
            <w:r w:rsidR="00166A6F" w:rsidRPr="00166A6F">
              <w:rPr>
                <w:lang w:val="uk-UA"/>
              </w:rPr>
              <w:t>.</w:t>
            </w:r>
            <w:r w:rsidR="00C56C4C">
              <w:rPr>
                <w:lang w:val="uk-UA"/>
              </w:rPr>
              <w:t xml:space="preserve"> </w:t>
            </w:r>
            <w:r w:rsidR="00166A6F" w:rsidRPr="00166A6F">
              <w:rPr>
                <w:lang w:val="uk-UA"/>
              </w:rPr>
              <w:t>(</w:t>
            </w:r>
            <w:r>
              <w:rPr>
                <w:lang w:val="uk-UA"/>
              </w:rPr>
              <w:t>сімнадцять</w:t>
            </w:r>
            <w:r w:rsidR="00166A6F" w:rsidRPr="00166A6F">
              <w:rPr>
                <w:lang w:val="uk-UA"/>
              </w:rPr>
              <w:t xml:space="preserve"> тисяч</w:t>
            </w:r>
            <w:r w:rsidR="00C56C4C">
              <w:rPr>
                <w:lang w:val="uk-UA"/>
              </w:rPr>
              <w:t xml:space="preserve"> </w:t>
            </w:r>
            <w:r>
              <w:rPr>
                <w:lang w:val="uk-UA"/>
              </w:rPr>
              <w:t>чотириста вісім</w:t>
            </w:r>
            <w:r w:rsidR="00166A6F" w:rsidRPr="00166A6F">
              <w:rPr>
                <w:lang w:val="uk-UA"/>
              </w:rPr>
              <w:t xml:space="preserve">  грн. </w:t>
            </w:r>
            <w:r>
              <w:rPr>
                <w:lang w:val="uk-UA"/>
              </w:rPr>
              <w:t>4</w:t>
            </w:r>
            <w:r w:rsidR="00166A6F" w:rsidRPr="00166A6F">
              <w:rPr>
                <w:lang w:val="uk-UA"/>
              </w:rPr>
              <w:t>0 коп.)</w:t>
            </w:r>
            <w:r w:rsidR="00166A6F" w:rsidRPr="00166A6F">
              <w:rPr>
                <w:rFonts w:eastAsia="Calibri"/>
                <w:lang w:val="uk-UA" w:eastAsia="en-US"/>
              </w:rPr>
              <w:t xml:space="preserve"> </w:t>
            </w:r>
            <w:r w:rsidRPr="005A5B59">
              <w:rPr>
                <w:lang w:val="uk-UA"/>
              </w:rPr>
              <w:t>без</w:t>
            </w:r>
            <w:r w:rsidRPr="00166A6F">
              <w:rPr>
                <w:rFonts w:eastAsia="Calibri"/>
                <w:lang w:val="uk-UA" w:eastAsia="en-US"/>
              </w:rPr>
              <w:t xml:space="preserve"> </w:t>
            </w:r>
            <w:r w:rsidR="00166A6F" w:rsidRPr="00166A6F">
              <w:rPr>
                <w:rFonts w:eastAsia="Calibri"/>
                <w:lang w:val="uk-UA" w:eastAsia="en-US"/>
              </w:rPr>
              <w:t xml:space="preserve"> ПДВ</w:t>
            </w:r>
            <w:r w:rsidR="00166A6F" w:rsidRPr="00166A6F">
              <w:rPr>
                <w:lang w:val="uk-UA"/>
              </w:rPr>
              <w:t>.</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4.3</w:t>
            </w:r>
          </w:p>
        </w:tc>
        <w:tc>
          <w:tcPr>
            <w:tcW w:w="3754" w:type="dxa"/>
          </w:tcPr>
          <w:p w:rsidR="00166A6F" w:rsidRPr="00166A6F" w:rsidRDefault="00166A6F" w:rsidP="00166A6F">
            <w:pPr>
              <w:tabs>
                <w:tab w:val="left" w:pos="851"/>
              </w:tabs>
              <w:spacing w:after="160"/>
              <w:jc w:val="both"/>
              <w:rPr>
                <w:lang w:val="uk-UA"/>
              </w:rPr>
            </w:pPr>
            <w:r w:rsidRPr="00166A6F">
              <w:rPr>
                <w:lang w:val="uk-UA"/>
              </w:rPr>
              <w:t>Обґрунтування очікуваної вартості предмета закупівлі.</w:t>
            </w:r>
          </w:p>
          <w:p w:rsidR="00166A6F" w:rsidRPr="00166A6F" w:rsidRDefault="00166A6F" w:rsidP="00166A6F">
            <w:pPr>
              <w:tabs>
                <w:tab w:val="left" w:pos="851"/>
              </w:tabs>
              <w:spacing w:after="120"/>
              <w:jc w:val="both"/>
              <w:rPr>
                <w:lang w:val="uk-UA"/>
              </w:rPr>
            </w:pPr>
          </w:p>
        </w:tc>
        <w:tc>
          <w:tcPr>
            <w:tcW w:w="5239" w:type="dxa"/>
          </w:tcPr>
          <w:p w:rsidR="00166A6F" w:rsidRPr="00166A6F" w:rsidRDefault="00166A6F" w:rsidP="00D11306">
            <w:pPr>
              <w:spacing w:after="160"/>
              <w:contextualSpacing/>
              <w:jc w:val="both"/>
              <w:rPr>
                <w:rFonts w:eastAsia="Calibri"/>
                <w:color w:val="FF0000"/>
                <w:highlight w:val="yellow"/>
                <w:lang w:val="uk-UA" w:eastAsia="en-US"/>
              </w:rPr>
            </w:pPr>
            <w:r w:rsidRPr="00166A6F">
              <w:rPr>
                <w:rFonts w:eastAsia="Calibri"/>
                <w:lang w:val="uk-UA" w:eastAsia="en-US"/>
              </w:rPr>
              <w:t>Розрахунок очікуваної вартості предмета закупівлі здійснено на підставі розрахункової циф</w:t>
            </w:r>
            <w:bookmarkStart w:id="0" w:name="_GoBack"/>
            <w:bookmarkEnd w:id="0"/>
            <w:r w:rsidRPr="00166A6F">
              <w:rPr>
                <w:rFonts w:eastAsia="Calibri"/>
                <w:lang w:val="uk-UA" w:eastAsia="en-US"/>
              </w:rPr>
              <w:t>ри</w:t>
            </w:r>
            <w:r w:rsidR="00D11306">
              <w:rPr>
                <w:rFonts w:eastAsia="Calibri"/>
                <w:lang w:val="uk-UA" w:eastAsia="en-US"/>
              </w:rPr>
              <w:t xml:space="preserve"> на </w:t>
            </w:r>
            <w:r w:rsidR="00D11306" w:rsidRPr="00D11306">
              <w:rPr>
                <w:rFonts w:eastAsia="Calibri"/>
                <w:lang w:val="uk-UA" w:eastAsia="en-US"/>
              </w:rPr>
              <w:t>послуги урядового зв'язку</w:t>
            </w:r>
            <w:r w:rsidR="00C939AB">
              <w:rPr>
                <w:rFonts w:eastAsia="Calibri"/>
                <w:lang w:val="uk-UA" w:eastAsia="en-US"/>
              </w:rPr>
              <w:t>.</w:t>
            </w:r>
            <w:r w:rsidRPr="00166A6F">
              <w:rPr>
                <w:rFonts w:eastAsia="Calibri"/>
                <w:lang w:val="uk-UA" w:eastAsia="en-US"/>
              </w:rPr>
              <w:t xml:space="preserve"> </w:t>
            </w:r>
          </w:p>
        </w:tc>
      </w:tr>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5.</w:t>
            </w:r>
          </w:p>
        </w:tc>
        <w:tc>
          <w:tcPr>
            <w:tcW w:w="3754" w:type="dxa"/>
          </w:tcPr>
          <w:p w:rsidR="00166A6F" w:rsidRPr="00166A6F" w:rsidRDefault="00166A6F" w:rsidP="00C939AB">
            <w:pPr>
              <w:spacing w:after="160"/>
              <w:jc w:val="both"/>
            </w:pPr>
            <w:r w:rsidRPr="00166A6F">
              <w:t xml:space="preserve">Процедура </w:t>
            </w:r>
            <w:r w:rsidRPr="00166A6F">
              <w:rPr>
                <w:lang w:val="uk-UA"/>
              </w:rPr>
              <w:t>закупівлі</w:t>
            </w:r>
            <w:r w:rsidRPr="00166A6F">
              <w:t>.</w:t>
            </w:r>
          </w:p>
        </w:tc>
        <w:tc>
          <w:tcPr>
            <w:tcW w:w="5239" w:type="dxa"/>
          </w:tcPr>
          <w:p w:rsidR="00166A6F" w:rsidRPr="00166A6F" w:rsidRDefault="00C56C4C" w:rsidP="00C56C4C">
            <w:pPr>
              <w:spacing w:after="160"/>
              <w:ind w:right="-1"/>
              <w:jc w:val="both"/>
              <w:rPr>
                <w:color w:val="FF0000"/>
                <w:lang w:val="uk-UA"/>
              </w:rPr>
            </w:pPr>
            <w:r w:rsidRPr="00C56C4C">
              <w:rPr>
                <w:lang w:val="uk-UA"/>
              </w:rPr>
              <w:t>Згідно абз. 4 п. 2, ч. 2 ст. 40 Закону України «Про публічні закупівлі» застосовується переговорна  процедура закупівлі.</w:t>
            </w:r>
          </w:p>
        </w:tc>
      </w:tr>
    </w:tbl>
    <w:p w:rsidR="00166A6F" w:rsidRPr="00166A6F" w:rsidRDefault="00166A6F" w:rsidP="00166A6F">
      <w:pPr>
        <w:spacing w:after="160"/>
        <w:contextualSpacing/>
        <w:jc w:val="center"/>
        <w:rPr>
          <w:rFonts w:eastAsia="Calibri"/>
          <w:lang w:val="uk-UA" w:eastAsia="en-US"/>
        </w:rPr>
      </w:pPr>
    </w:p>
    <w:p w:rsidR="00166A6F" w:rsidRDefault="00166A6F" w:rsidP="00166A6F">
      <w:pPr>
        <w:spacing w:after="160"/>
        <w:contextualSpacing/>
        <w:jc w:val="center"/>
        <w:rPr>
          <w:rFonts w:eastAsia="Calibri"/>
          <w:lang w:val="uk-UA" w:eastAsia="en-US"/>
        </w:rPr>
      </w:pPr>
    </w:p>
    <w:p w:rsidR="00C939AB" w:rsidRPr="00166A6F" w:rsidRDefault="00C939AB" w:rsidP="00166A6F">
      <w:pPr>
        <w:spacing w:after="160"/>
        <w:contextualSpacing/>
        <w:jc w:val="center"/>
        <w:rPr>
          <w:rFonts w:eastAsia="Calibri"/>
          <w:lang w:val="uk-UA" w:eastAsia="en-US"/>
        </w:rPr>
      </w:pPr>
    </w:p>
    <w:p w:rsidR="00166A6F" w:rsidRPr="00166A6F" w:rsidRDefault="00166A6F" w:rsidP="00166A6F">
      <w:pPr>
        <w:spacing w:after="160"/>
        <w:contextualSpacing/>
        <w:rPr>
          <w:rFonts w:eastAsia="Calibri"/>
          <w:lang w:val="uk-UA" w:eastAsia="en-US"/>
        </w:rPr>
      </w:pPr>
      <w:r w:rsidRPr="00166A6F">
        <w:rPr>
          <w:rFonts w:eastAsia="Calibri"/>
          <w:lang w:val="uk-UA" w:eastAsia="en-US"/>
        </w:rPr>
        <w:t>Начальник господарського відділу                                                       Анатолій ВЕСЕЛЬСЬКИЙ</w:t>
      </w:r>
    </w:p>
    <w:p w:rsidR="00166A6F" w:rsidRPr="00A32803" w:rsidRDefault="00166A6F" w:rsidP="00A32803">
      <w:pPr>
        <w:ind w:firstLine="709"/>
        <w:jc w:val="both"/>
        <w:rPr>
          <w:sz w:val="28"/>
          <w:szCs w:val="28"/>
          <w:lang w:val="uk-UA"/>
        </w:rPr>
      </w:pPr>
    </w:p>
    <w:sectPr w:rsidR="00166A6F" w:rsidRPr="00A32803" w:rsidSect="0082079A">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AF" w:rsidRDefault="00EC0BAF" w:rsidP="00354DB8">
      <w:r>
        <w:separator/>
      </w:r>
    </w:p>
  </w:endnote>
  <w:endnote w:type="continuationSeparator" w:id="0">
    <w:p w:rsidR="00EC0BAF" w:rsidRDefault="00EC0BAF" w:rsidP="0035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AF" w:rsidRDefault="00EC0BAF" w:rsidP="00354DB8">
      <w:r>
        <w:separator/>
      </w:r>
    </w:p>
  </w:footnote>
  <w:footnote w:type="continuationSeparator" w:id="0">
    <w:p w:rsidR="00EC0BAF" w:rsidRDefault="00EC0BAF" w:rsidP="00354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8" w:rsidRDefault="00354DB8">
    <w:pPr>
      <w:pStyle w:val="a5"/>
      <w:jc w:val="center"/>
    </w:pPr>
  </w:p>
  <w:p w:rsidR="00354DB8" w:rsidRDefault="00354D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E5A"/>
    <w:multiLevelType w:val="multilevel"/>
    <w:tmpl w:val="6A1E86A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8833E5D"/>
    <w:multiLevelType w:val="hybridMultilevel"/>
    <w:tmpl w:val="7C1CD766"/>
    <w:lvl w:ilvl="0" w:tplc="0CF0A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16C69A7"/>
    <w:multiLevelType w:val="hybridMultilevel"/>
    <w:tmpl w:val="4A840F16"/>
    <w:lvl w:ilvl="0" w:tplc="A85660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B1D56"/>
    <w:multiLevelType w:val="hybridMultilevel"/>
    <w:tmpl w:val="C26E90C0"/>
    <w:lvl w:ilvl="0" w:tplc="867CA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C35326"/>
    <w:rsid w:val="000004BC"/>
    <w:rsid w:val="000163F4"/>
    <w:rsid w:val="00042E02"/>
    <w:rsid w:val="00050C60"/>
    <w:rsid w:val="00064D49"/>
    <w:rsid w:val="000B3842"/>
    <w:rsid w:val="000C1814"/>
    <w:rsid w:val="000E6A35"/>
    <w:rsid w:val="000F729D"/>
    <w:rsid w:val="00137A1A"/>
    <w:rsid w:val="00164600"/>
    <w:rsid w:val="00166A6F"/>
    <w:rsid w:val="00183E3D"/>
    <w:rsid w:val="001A177C"/>
    <w:rsid w:val="001B5FDA"/>
    <w:rsid w:val="001E4F51"/>
    <w:rsid w:val="001F4EC0"/>
    <w:rsid w:val="00200EA2"/>
    <w:rsid w:val="002073D5"/>
    <w:rsid w:val="0021188A"/>
    <w:rsid w:val="0021460B"/>
    <w:rsid w:val="002446E9"/>
    <w:rsid w:val="00260D95"/>
    <w:rsid w:val="002766DF"/>
    <w:rsid w:val="00276702"/>
    <w:rsid w:val="0028396B"/>
    <w:rsid w:val="00284C4A"/>
    <w:rsid w:val="0028612E"/>
    <w:rsid w:val="002A47A6"/>
    <w:rsid w:val="002A5422"/>
    <w:rsid w:val="002B5692"/>
    <w:rsid w:val="002D44F8"/>
    <w:rsid w:val="002D503D"/>
    <w:rsid w:val="002E1BE0"/>
    <w:rsid w:val="002E4062"/>
    <w:rsid w:val="002F53C5"/>
    <w:rsid w:val="00300186"/>
    <w:rsid w:val="003057A7"/>
    <w:rsid w:val="00307FD7"/>
    <w:rsid w:val="00316180"/>
    <w:rsid w:val="003170E3"/>
    <w:rsid w:val="00354DB8"/>
    <w:rsid w:val="003637A9"/>
    <w:rsid w:val="00381EBB"/>
    <w:rsid w:val="00390541"/>
    <w:rsid w:val="0039595D"/>
    <w:rsid w:val="003D5850"/>
    <w:rsid w:val="00411135"/>
    <w:rsid w:val="00424F9C"/>
    <w:rsid w:val="004400A7"/>
    <w:rsid w:val="00440234"/>
    <w:rsid w:val="00442A79"/>
    <w:rsid w:val="00476820"/>
    <w:rsid w:val="004C452E"/>
    <w:rsid w:val="004D5B20"/>
    <w:rsid w:val="004D76E2"/>
    <w:rsid w:val="004F1134"/>
    <w:rsid w:val="00512126"/>
    <w:rsid w:val="00512BCE"/>
    <w:rsid w:val="00520750"/>
    <w:rsid w:val="00532A40"/>
    <w:rsid w:val="0053402A"/>
    <w:rsid w:val="00537B69"/>
    <w:rsid w:val="00541C92"/>
    <w:rsid w:val="0054695F"/>
    <w:rsid w:val="005645C9"/>
    <w:rsid w:val="0059056C"/>
    <w:rsid w:val="005A143B"/>
    <w:rsid w:val="005A5B59"/>
    <w:rsid w:val="005D2827"/>
    <w:rsid w:val="005D4036"/>
    <w:rsid w:val="005E09DE"/>
    <w:rsid w:val="00600417"/>
    <w:rsid w:val="00607FB7"/>
    <w:rsid w:val="006229C1"/>
    <w:rsid w:val="006436EE"/>
    <w:rsid w:val="0065006E"/>
    <w:rsid w:val="00656CD6"/>
    <w:rsid w:val="00691B30"/>
    <w:rsid w:val="00697460"/>
    <w:rsid w:val="006B1071"/>
    <w:rsid w:val="006E72B2"/>
    <w:rsid w:val="006F1181"/>
    <w:rsid w:val="006F5A37"/>
    <w:rsid w:val="0070710E"/>
    <w:rsid w:val="00711CD2"/>
    <w:rsid w:val="00716DD0"/>
    <w:rsid w:val="00723977"/>
    <w:rsid w:val="0072630A"/>
    <w:rsid w:val="00734131"/>
    <w:rsid w:val="0074121C"/>
    <w:rsid w:val="007466D0"/>
    <w:rsid w:val="00763935"/>
    <w:rsid w:val="00763C01"/>
    <w:rsid w:val="00771A9D"/>
    <w:rsid w:val="00780238"/>
    <w:rsid w:val="00791898"/>
    <w:rsid w:val="007B3081"/>
    <w:rsid w:val="007E0C92"/>
    <w:rsid w:val="00801FD2"/>
    <w:rsid w:val="00813C9A"/>
    <w:rsid w:val="0082079A"/>
    <w:rsid w:val="00825CAC"/>
    <w:rsid w:val="008262A8"/>
    <w:rsid w:val="00830A0C"/>
    <w:rsid w:val="00832751"/>
    <w:rsid w:val="008836B9"/>
    <w:rsid w:val="008848F7"/>
    <w:rsid w:val="008B7793"/>
    <w:rsid w:val="008C2BA1"/>
    <w:rsid w:val="008D12DC"/>
    <w:rsid w:val="00920799"/>
    <w:rsid w:val="00927ED5"/>
    <w:rsid w:val="009305B0"/>
    <w:rsid w:val="0093423A"/>
    <w:rsid w:val="00957FC6"/>
    <w:rsid w:val="00962BFC"/>
    <w:rsid w:val="00966850"/>
    <w:rsid w:val="009677F3"/>
    <w:rsid w:val="0097460C"/>
    <w:rsid w:val="009833A4"/>
    <w:rsid w:val="0098507D"/>
    <w:rsid w:val="009A3452"/>
    <w:rsid w:val="009B586A"/>
    <w:rsid w:val="009C615F"/>
    <w:rsid w:val="009D6F38"/>
    <w:rsid w:val="009F441E"/>
    <w:rsid w:val="00A059B5"/>
    <w:rsid w:val="00A137CE"/>
    <w:rsid w:val="00A32803"/>
    <w:rsid w:val="00A34D15"/>
    <w:rsid w:val="00A362E6"/>
    <w:rsid w:val="00A463DE"/>
    <w:rsid w:val="00A53FC5"/>
    <w:rsid w:val="00A61782"/>
    <w:rsid w:val="00AB3008"/>
    <w:rsid w:val="00AB5BED"/>
    <w:rsid w:val="00AB60C2"/>
    <w:rsid w:val="00AD1408"/>
    <w:rsid w:val="00AD1E34"/>
    <w:rsid w:val="00AD751B"/>
    <w:rsid w:val="00AE434A"/>
    <w:rsid w:val="00B22D9F"/>
    <w:rsid w:val="00B26D87"/>
    <w:rsid w:val="00B35CA7"/>
    <w:rsid w:val="00B54409"/>
    <w:rsid w:val="00B54BA4"/>
    <w:rsid w:val="00B559A0"/>
    <w:rsid w:val="00B801D5"/>
    <w:rsid w:val="00B91A77"/>
    <w:rsid w:val="00BB67CC"/>
    <w:rsid w:val="00BC45A4"/>
    <w:rsid w:val="00BE6793"/>
    <w:rsid w:val="00BF58CA"/>
    <w:rsid w:val="00C0345D"/>
    <w:rsid w:val="00C1312A"/>
    <w:rsid w:val="00C171C7"/>
    <w:rsid w:val="00C20B45"/>
    <w:rsid w:val="00C35326"/>
    <w:rsid w:val="00C42CB2"/>
    <w:rsid w:val="00C56C4C"/>
    <w:rsid w:val="00C6006D"/>
    <w:rsid w:val="00C735CE"/>
    <w:rsid w:val="00C80DA1"/>
    <w:rsid w:val="00C939AB"/>
    <w:rsid w:val="00CA14E2"/>
    <w:rsid w:val="00CB4FC5"/>
    <w:rsid w:val="00CE1934"/>
    <w:rsid w:val="00CF2D07"/>
    <w:rsid w:val="00D11306"/>
    <w:rsid w:val="00D16679"/>
    <w:rsid w:val="00D2621B"/>
    <w:rsid w:val="00D517E2"/>
    <w:rsid w:val="00D61183"/>
    <w:rsid w:val="00D97B5E"/>
    <w:rsid w:val="00DA4595"/>
    <w:rsid w:val="00DC72CE"/>
    <w:rsid w:val="00DF5031"/>
    <w:rsid w:val="00DF5E81"/>
    <w:rsid w:val="00E07824"/>
    <w:rsid w:val="00E4058E"/>
    <w:rsid w:val="00E465DF"/>
    <w:rsid w:val="00E77F16"/>
    <w:rsid w:val="00E808BC"/>
    <w:rsid w:val="00E878B1"/>
    <w:rsid w:val="00EB277B"/>
    <w:rsid w:val="00EC0BAF"/>
    <w:rsid w:val="00ED68C1"/>
    <w:rsid w:val="00EE5DD0"/>
    <w:rsid w:val="00EF187B"/>
    <w:rsid w:val="00EF62B6"/>
    <w:rsid w:val="00F377EB"/>
    <w:rsid w:val="00F45D9A"/>
    <w:rsid w:val="00F55F52"/>
    <w:rsid w:val="00F834AD"/>
    <w:rsid w:val="00FA289E"/>
    <w:rsid w:val="00FA634E"/>
    <w:rsid w:val="00FB0F3D"/>
    <w:rsid w:val="00FB7EB3"/>
    <w:rsid w:val="00FD1A48"/>
    <w:rsid w:val="00FD2B3E"/>
    <w:rsid w:val="00FD5BA9"/>
    <w:rsid w:val="00FE1F91"/>
    <w:rsid w:val="00FE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0541"/>
    <w:pPr>
      <w:ind w:left="720"/>
      <w:contextualSpacing/>
    </w:pPr>
  </w:style>
  <w:style w:type="paragraph" w:styleId="a5">
    <w:name w:val="header"/>
    <w:basedOn w:val="a"/>
    <w:link w:val="a6"/>
    <w:uiPriority w:val="99"/>
    <w:unhideWhenUsed/>
    <w:rsid w:val="00354DB8"/>
    <w:pPr>
      <w:tabs>
        <w:tab w:val="center" w:pos="4677"/>
        <w:tab w:val="right" w:pos="9355"/>
      </w:tabs>
    </w:pPr>
  </w:style>
  <w:style w:type="character" w:customStyle="1" w:styleId="a6">
    <w:name w:val="Верхний колонтитул Знак"/>
    <w:basedOn w:val="a0"/>
    <w:link w:val="a5"/>
    <w:uiPriority w:val="99"/>
    <w:rsid w:val="00354DB8"/>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354DB8"/>
    <w:pPr>
      <w:tabs>
        <w:tab w:val="center" w:pos="4677"/>
        <w:tab w:val="right" w:pos="9355"/>
      </w:tabs>
    </w:pPr>
  </w:style>
  <w:style w:type="character" w:customStyle="1" w:styleId="a8">
    <w:name w:val="Нижний колонтитул Знак"/>
    <w:basedOn w:val="a0"/>
    <w:link w:val="a7"/>
    <w:uiPriority w:val="99"/>
    <w:semiHidden/>
    <w:rsid w:val="00354DB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9C615F"/>
    <w:rPr>
      <w:rFonts w:ascii="Segoe UI" w:hAnsi="Segoe UI" w:cs="Segoe UI"/>
      <w:sz w:val="18"/>
      <w:szCs w:val="18"/>
    </w:rPr>
  </w:style>
  <w:style w:type="character" w:customStyle="1" w:styleId="aa">
    <w:name w:val="Текст выноски Знак"/>
    <w:basedOn w:val="a0"/>
    <w:link w:val="a9"/>
    <w:uiPriority w:val="99"/>
    <w:semiHidden/>
    <w:rsid w:val="009C615F"/>
    <w:rPr>
      <w:rFonts w:ascii="Segoe UI" w:eastAsia="Times New Roman" w:hAnsi="Segoe UI" w:cs="Segoe UI"/>
      <w:sz w:val="18"/>
      <w:szCs w:val="18"/>
      <w:lang w:val="ru-RU" w:eastAsia="ru-RU"/>
    </w:rPr>
  </w:style>
  <w:style w:type="character" w:styleId="ab">
    <w:name w:val="Hyperlink"/>
    <w:basedOn w:val="a0"/>
    <w:uiPriority w:val="99"/>
    <w:unhideWhenUsed/>
    <w:rsid w:val="00825C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02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1FA80-1A5D-4C85-8DC6-5CAE1956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2021-11-19T12:53:00Z</cp:lastPrinted>
  <dcterms:created xsi:type="dcterms:W3CDTF">2022-01-28T09:22:00Z</dcterms:created>
  <dcterms:modified xsi:type="dcterms:W3CDTF">2022-01-28T09:22:00Z</dcterms:modified>
</cp:coreProperties>
</file>