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Pr="00121DDD" w:rsidRDefault="00516F65" w:rsidP="00516F65">
      <w:pPr>
        <w:spacing w:line="240" w:lineRule="atLeast"/>
        <w:jc w:val="both"/>
        <w:rPr>
          <w:b/>
          <w:color w:val="000000" w:themeColor="text1"/>
          <w:szCs w:val="28"/>
        </w:rPr>
      </w:pPr>
      <w:r w:rsidRPr="00121DDD">
        <w:rPr>
          <w:b/>
          <w:color w:val="000000" w:themeColor="text1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121DDD" w:rsidRPr="00121DDD" w14:paraId="649E3360" w14:textId="77777777" w:rsidTr="004C0527">
        <w:tc>
          <w:tcPr>
            <w:tcW w:w="636" w:type="dxa"/>
          </w:tcPr>
          <w:p w14:paraId="23BC28E4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3618CF6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Виконавчий комітет Житомирської міської ради Житомирської області</w:t>
            </w:r>
            <w:r w:rsidRPr="00121DDD">
              <w:rPr>
                <w:color w:val="000000" w:themeColor="text1"/>
                <w:szCs w:val="28"/>
              </w:rPr>
              <w:t>; майдан                 ім. С. П. Корольова, 4/2, м. Житомир, 10014;</w:t>
            </w:r>
          </w:p>
          <w:p w14:paraId="10698E7D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код  за ЄДРПОУ- 04053625; </w:t>
            </w:r>
          </w:p>
          <w:p w14:paraId="3C8C1213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121DDD" w:rsidRPr="00121DDD" w14:paraId="61C77D14" w14:textId="77777777" w:rsidTr="004C0527">
        <w:tc>
          <w:tcPr>
            <w:tcW w:w="636" w:type="dxa"/>
          </w:tcPr>
          <w:p w14:paraId="2425C6DD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145ADB0C" w14:textId="514DA32E" w:rsidR="004F3A04" w:rsidRPr="00121DDD" w:rsidRDefault="00143976" w:rsidP="004F3A04">
            <w:pPr>
              <w:jc w:val="both"/>
              <w:rPr>
                <w:rFonts w:eastAsia="Calibri"/>
                <w:b/>
                <w:iCs/>
                <w:color w:val="000000" w:themeColor="text1"/>
              </w:rPr>
            </w:pPr>
            <w:bookmarkStart w:id="0" w:name="_Hlk134629393"/>
            <w:r w:rsidRPr="00121DDD">
              <w:rPr>
                <w:b/>
                <w:color w:val="000000" w:themeColor="text1"/>
              </w:rPr>
              <w:t>Медично-навчальні тренажери</w:t>
            </w:r>
            <w:r w:rsidR="004F3A04" w:rsidRPr="00121DDD">
              <w:rPr>
                <w:b/>
                <w:color w:val="000000" w:themeColor="text1"/>
              </w:rPr>
              <w:t xml:space="preserve"> </w:t>
            </w:r>
            <w:r w:rsidR="004F3A04" w:rsidRPr="00121DDD">
              <w:rPr>
                <w:rFonts w:eastAsia="Calibri"/>
                <w:iCs/>
                <w:color w:val="000000" w:themeColor="text1"/>
              </w:rPr>
              <w:t xml:space="preserve">згідно з </w:t>
            </w:r>
            <w:bookmarkEnd w:id="0"/>
            <w:r w:rsidR="004F3A04" w:rsidRPr="00121DDD">
              <w:rPr>
                <w:rFonts w:eastAsia="Calibri"/>
                <w:color w:val="000000" w:themeColor="text1"/>
              </w:rPr>
              <w:t xml:space="preserve"> ДК 021:2015 3</w:t>
            </w:r>
            <w:r w:rsidRPr="00121DDD">
              <w:rPr>
                <w:rFonts w:eastAsia="Calibri"/>
                <w:color w:val="000000" w:themeColor="text1"/>
              </w:rPr>
              <w:t>89</w:t>
            </w:r>
            <w:r w:rsidR="00A64CEE" w:rsidRPr="00121DDD">
              <w:rPr>
                <w:rFonts w:eastAsia="Calibri"/>
                <w:color w:val="000000" w:themeColor="text1"/>
              </w:rPr>
              <w:t>70</w:t>
            </w:r>
            <w:r w:rsidR="004F3A04" w:rsidRPr="00121DDD">
              <w:rPr>
                <w:rFonts w:eastAsia="Calibri"/>
                <w:color w:val="000000" w:themeColor="text1"/>
              </w:rPr>
              <w:t>000-</w:t>
            </w:r>
            <w:r w:rsidRPr="00121DDD">
              <w:rPr>
                <w:rFonts w:eastAsia="Calibri"/>
                <w:color w:val="000000" w:themeColor="text1"/>
              </w:rPr>
              <w:t>5 Дослідницькі, випробувальні та науково-технічні симулятори</w:t>
            </w:r>
            <w:r w:rsidR="004F3A04" w:rsidRPr="00121DDD">
              <w:rPr>
                <w:rFonts w:eastAsia="Calibri"/>
                <w:color w:val="000000" w:themeColor="text1"/>
              </w:rPr>
              <w:t>.</w:t>
            </w:r>
            <w:r w:rsidR="004F3A04" w:rsidRPr="00121DDD">
              <w:rPr>
                <w:rFonts w:eastAsia="Calibri"/>
                <w:color w:val="000000" w:themeColor="text1"/>
              </w:rPr>
              <w:tab/>
            </w:r>
          </w:p>
          <w:p w14:paraId="222410FE" w14:textId="0A97FA8F" w:rsidR="00343AFF" w:rsidRPr="00121DDD" w:rsidRDefault="00343AFF" w:rsidP="004F3A0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Cs w:val="28"/>
                <w:lang w:eastAsia="uk-UA"/>
              </w:rPr>
            </w:pPr>
            <w:r w:rsidRPr="00121DDD">
              <w:rPr>
                <w:color w:val="000000" w:themeColor="text1"/>
                <w:szCs w:val="28"/>
              </w:rPr>
              <w:t xml:space="preserve"> </w:t>
            </w:r>
          </w:p>
          <w:p w14:paraId="6E358391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  <w:p w14:paraId="16053B7A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</w:tr>
      <w:tr w:rsidR="00121DDD" w:rsidRPr="00121DDD" w14:paraId="60E7D947" w14:textId="77777777" w:rsidTr="004C0527">
        <w:tc>
          <w:tcPr>
            <w:tcW w:w="636" w:type="dxa"/>
          </w:tcPr>
          <w:p w14:paraId="3D16463A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1717D292" w:rsidR="00516F65" w:rsidRPr="00121DDD" w:rsidRDefault="00516F65" w:rsidP="00894E12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UA-2023-0</w:t>
            </w:r>
            <w:r w:rsidR="009C533E"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="00BB3FF9"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11</w:t>
            </w: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-0</w:t>
            </w:r>
            <w:r w:rsidR="009C533E"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="00BB3FF9"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0950</w:t>
            </w: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-a</w:t>
            </w:r>
            <w:r w:rsidRPr="00121DDD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21DDD" w:rsidRPr="00121DDD" w14:paraId="6F174542" w14:textId="77777777" w:rsidTr="004C0527">
        <w:tc>
          <w:tcPr>
            <w:tcW w:w="636" w:type="dxa"/>
          </w:tcPr>
          <w:p w14:paraId="39876909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</w:t>
            </w:r>
          </w:p>
        </w:tc>
        <w:tc>
          <w:tcPr>
            <w:tcW w:w="3617" w:type="dxa"/>
          </w:tcPr>
          <w:p w14:paraId="1AD55BDC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</w:tcPr>
          <w:p w14:paraId="732C98B6" w14:textId="52425BEF" w:rsidR="00BB3FF9" w:rsidRPr="00121DDD" w:rsidRDefault="00343AFF" w:rsidP="00BB3FF9">
            <w:pPr>
              <w:jc w:val="both"/>
              <w:rPr>
                <w:rFonts w:eastAsia="Calibri"/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3 метою </w:t>
            </w:r>
            <w:r w:rsidR="00617B6A" w:rsidRPr="00121DDD">
              <w:rPr>
                <w:color w:val="000000" w:themeColor="text1"/>
                <w:szCs w:val="28"/>
              </w:rPr>
              <w:t>збереження життя та здоров’я військовослужбовців під час виконання бойових завдань</w:t>
            </w:r>
            <w:r w:rsidRPr="00121DDD">
              <w:rPr>
                <w:color w:val="000000" w:themeColor="text1"/>
                <w:szCs w:val="28"/>
              </w:rPr>
              <w:t xml:space="preserve"> є потреба у придбанні </w:t>
            </w:r>
            <w:r w:rsidR="00617B6A" w:rsidRPr="00121DDD">
              <w:rPr>
                <w:b/>
                <w:color w:val="000000" w:themeColor="text1"/>
                <w:szCs w:val="28"/>
              </w:rPr>
              <w:t>Медично-навчальних</w:t>
            </w:r>
            <w:r w:rsidR="00BB3FF9" w:rsidRPr="00121DDD">
              <w:rPr>
                <w:b/>
                <w:color w:val="000000" w:themeColor="text1"/>
                <w:szCs w:val="28"/>
              </w:rPr>
              <w:t xml:space="preserve"> тренажер</w:t>
            </w:r>
            <w:r w:rsidR="00617B6A" w:rsidRPr="00121DDD">
              <w:rPr>
                <w:b/>
                <w:color w:val="000000" w:themeColor="text1"/>
                <w:szCs w:val="28"/>
              </w:rPr>
              <w:t>ів</w:t>
            </w:r>
            <w:r w:rsidR="00BB3FF9" w:rsidRPr="00121DDD">
              <w:rPr>
                <w:b/>
                <w:color w:val="000000" w:themeColor="text1"/>
                <w:szCs w:val="28"/>
              </w:rPr>
              <w:t xml:space="preserve"> </w:t>
            </w:r>
            <w:r w:rsidR="00BB3FF9" w:rsidRPr="00121DDD">
              <w:rPr>
                <w:rFonts w:eastAsia="Calibri"/>
                <w:iCs/>
                <w:color w:val="000000" w:themeColor="text1"/>
                <w:szCs w:val="28"/>
              </w:rPr>
              <w:t xml:space="preserve">згідно з </w:t>
            </w:r>
            <w:r w:rsidR="00BB3FF9" w:rsidRPr="00121DDD">
              <w:rPr>
                <w:rFonts w:eastAsia="Calibri"/>
                <w:color w:val="000000" w:themeColor="text1"/>
                <w:szCs w:val="28"/>
              </w:rPr>
              <w:t xml:space="preserve"> ДК 021:2015 38970000-5 Дослідницькі, випробувальні </w:t>
            </w:r>
            <w:r w:rsidR="00617B6A" w:rsidRPr="00121DDD">
              <w:rPr>
                <w:rFonts w:eastAsia="Calibri"/>
                <w:color w:val="000000" w:themeColor="text1"/>
                <w:szCs w:val="28"/>
              </w:rPr>
              <w:t>та науково-технічні симулятори.</w:t>
            </w:r>
          </w:p>
          <w:p w14:paraId="5FD5E68C" w14:textId="64216339" w:rsidR="00617B6A" w:rsidRPr="00121DDD" w:rsidRDefault="00617B6A" w:rsidP="00617B6A">
            <w:pPr>
              <w:rPr>
                <w:b/>
                <w:noProof/>
                <w:color w:val="000000" w:themeColor="text1"/>
                <w:szCs w:val="28"/>
              </w:rPr>
            </w:pPr>
            <w:r w:rsidRPr="00121DDD">
              <w:rPr>
                <w:b/>
                <w:noProof/>
                <w:color w:val="000000" w:themeColor="text1"/>
                <w:szCs w:val="28"/>
              </w:rPr>
              <w:t>Тренажер інтубації,  манекен для тренування в постановці назофарингітального потіпроводу з електронікою:</w:t>
            </w:r>
          </w:p>
          <w:p w14:paraId="23D71643" w14:textId="6B581B4C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повинен мати вигляд анатомічно правильної моделі голови та шиї людини з орган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ами дихальної та травної систем;</w:t>
            </w:r>
          </w:p>
          <w:p w14:paraId="0D7DDBE3" w14:textId="062A5D1D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 - повинен мати необхідні анатомічні орієнтири, що мають значення в ході практичного виконання інтубації трахеї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30695B3F" w14:textId="7820CF33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фізіологічна рухливість голови, шиї, нижньої щелепи та гортані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54DE5A2D" w14:textId="029B013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lastRenderedPageBreak/>
              <w:t>- можливість прове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дення різних способів інтубації;</w:t>
            </w:r>
          </w:p>
          <w:p w14:paraId="71364577" w14:textId="47163A02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безпосередня візуалізація дихальних рухів моделей легень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4A13CD42" w14:textId="6065D4C5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-модель дихальних шляхів у вигляді бронхіального дерева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74B62D86" w14:textId="50B2D4AE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контроль за обсягом шлунка для оцінки правильності положення інтубаційної трубки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0BFD51A3" w14:textId="4FF99E20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регульована зміна величини голосової щілини та обсягу мови, що впливає на складність інтубації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103199AF" w14:textId="3FBE192F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- звуковий сигнал при надмірному тиску клинка ларингоскопа на зуби верхньої 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щелепи;</w:t>
            </w:r>
          </w:p>
          <w:p w14:paraId="59E17C47" w14:textId="02A5DF00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можливість імітації регургітації з подальшою аспірацією вмісту ротово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ї порожнини та дихальних шляхів;</w:t>
            </w:r>
          </w:p>
          <w:p w14:paraId="3A69A85A" w14:textId="5B26D0E5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можливість проведення ларингоскопії;</w:t>
            </w:r>
          </w:p>
          <w:p w14:paraId="026C6881" w14:textId="6437581A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можливість проведення трахеотомії.</w:t>
            </w:r>
          </w:p>
          <w:p w14:paraId="36C760EC" w14:textId="3E81EEE7" w:rsidR="00617B6A" w:rsidRPr="00121DDD" w:rsidRDefault="00617B6A" w:rsidP="00BB3FF9">
            <w:pPr>
              <w:jc w:val="both"/>
              <w:rPr>
                <w:rFonts w:eastAsia="Calibri"/>
                <w:b/>
                <w:iCs/>
                <w:color w:val="000000" w:themeColor="text1"/>
                <w:szCs w:val="28"/>
              </w:rPr>
            </w:pPr>
            <w:r w:rsidRPr="00121DDD">
              <w:rPr>
                <w:b/>
                <w:noProof/>
                <w:color w:val="000000" w:themeColor="text1"/>
                <w:szCs w:val="28"/>
              </w:rPr>
              <w:t>Тренажер для контролю кровотечі верхньої кінцівки, манекен зупинки кровотечі</w:t>
            </w:r>
          </w:p>
          <w:p w14:paraId="3C0AB98C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Повинен:</w:t>
            </w:r>
          </w:p>
          <w:p w14:paraId="3263424F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вигляд повної руки дорослого чоловіка з реалістичною зовнішньою анатомією;</w:t>
            </w:r>
          </w:p>
          <w:p w14:paraId="24B0966B" w14:textId="24F39E54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бути призначений для багаторазового використання;</w:t>
            </w:r>
          </w:p>
          <w:p w14:paraId="762DE90B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надавати можливість вдосконалювати навички зупинки кровотечі методом т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ампонади рани і накладення джгута</w:t>
            </w:r>
            <w:r w:rsidRPr="00121DDD">
              <w:rPr>
                <w:noProof/>
                <w:color w:val="000000" w:themeColor="text1"/>
                <w:szCs w:val="28"/>
              </w:rPr>
              <w:t>;</w:t>
            </w:r>
          </w:p>
          <w:p w14:paraId="22B6EE4B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</w:rPr>
              <w:t xml:space="preserve">- бути оснащений трьома різними типами поранення: 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глибокою раною або колото-різаною раною, вогнепальним наскрізним пораненням зі зброї великого калібру, розривною раною в області плеча;</w:t>
            </w:r>
          </w:p>
          <w:p w14:paraId="46A1FB89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контролю кровотечі з кожної рани за допомогою ручної перфузійної системи, що імітує венозний або артеріальний пульсуючий крововилив;</w:t>
            </w:r>
          </w:p>
          <w:p w14:paraId="6BA23D81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за допомогою ременя закріплюватись до добровольця;</w:t>
            </w:r>
          </w:p>
          <w:p w14:paraId="5DAA2ABB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</w:rPr>
              <w:t xml:space="preserve">- мати прямий зворотній 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зв’язок у випадку правильного виконання зупинки кровотечі;</w:t>
            </w:r>
          </w:p>
          <w:p w14:paraId="01FF5698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високоякісний міцний матеріал для імітації тактильних відчуттів шкіри і тканин людини;</w:t>
            </w:r>
          </w:p>
          <w:p w14:paraId="3E59B94F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lastRenderedPageBreak/>
              <w:t>- мати кісткові орієнтири і пошкоджену в результаті вогнепального поранення зі зброї великого калібру судину, що пальпується;</w:t>
            </w:r>
          </w:p>
          <w:p w14:paraId="497ADEDF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можливість накладати джгут «високо та щільно» над раною;</w:t>
            </w:r>
          </w:p>
          <w:p w14:paraId="45701034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приховати кожну рану за допомогою спеціального захисного матеріалу;</w:t>
            </w:r>
          </w:p>
          <w:p w14:paraId="26627281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кровотечі кожної рани незалежної одна від одної;</w:t>
            </w:r>
          </w:p>
          <w:p w14:paraId="073C67A9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бути призначений для використання в польових умовах, мати міцну конструкцію, що не вимагає використання акумуляторних батарей або зовнішнього джерела живлення;</w:t>
            </w:r>
          </w:p>
          <w:p w14:paraId="6F07D22D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легко очищатись та транспортуватись;</w:t>
            </w:r>
          </w:p>
          <w:p w14:paraId="18905A7A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включати:</w:t>
            </w:r>
          </w:p>
          <w:p w14:paraId="165BFA13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 xml:space="preserve">- </w:t>
            </w:r>
            <w:r w:rsidRPr="00121DDD">
              <w:rPr>
                <w:noProof/>
                <w:color w:val="000000" w:themeColor="text1"/>
                <w:szCs w:val="28"/>
              </w:rPr>
              <w:t>травматична рука з 3 різними травматичними ранами;</w:t>
            </w:r>
          </w:p>
          <w:p w14:paraId="08E69A91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ранові чохли - не менше ніж 3 шт.;</w:t>
            </w:r>
            <w:r w:rsidRPr="00121DDD">
              <w:rPr>
                <w:noProof/>
                <w:color w:val="000000" w:themeColor="text1"/>
                <w:szCs w:val="28"/>
              </w:rPr>
              <w:br/>
              <w:t>- каністра (резервуар) для штучної крові – не менше 2 літрів.;   - ручна система відкачування крові;</w:t>
            </w:r>
          </w:p>
          <w:p w14:paraId="358C42D8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роз’єм для множинної кровотечі;</w:t>
            </w:r>
          </w:p>
          <w:p w14:paraId="4A399AFF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концентрат штучної крові;</w:t>
            </w:r>
          </w:p>
          <w:p w14:paraId="3AB708FE" w14:textId="1EFC185B" w:rsidR="00617B6A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футляр (сумка) для зберігання та транспортування з ремінцем.</w:t>
            </w:r>
          </w:p>
          <w:p w14:paraId="537C6FF9" w14:textId="66062B48" w:rsidR="00617B6A" w:rsidRPr="00121DDD" w:rsidRDefault="00617B6A" w:rsidP="00617B6A">
            <w:pPr>
              <w:jc w:val="both"/>
              <w:rPr>
                <w:b/>
                <w:noProof/>
                <w:color w:val="000000" w:themeColor="text1"/>
                <w:szCs w:val="28"/>
              </w:rPr>
            </w:pPr>
            <w:r w:rsidRPr="00121DDD">
              <w:rPr>
                <w:b/>
                <w:noProof/>
                <w:color w:val="000000" w:themeColor="text1"/>
                <w:szCs w:val="28"/>
              </w:rPr>
              <w:t>Тренажер для контролю кровотечі нижньої кінцівки, манекен зупинки кровотечі</w:t>
            </w:r>
          </w:p>
          <w:p w14:paraId="3ADD58B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Повинен: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br/>
              <w:t>- мати вигляд ампутованої в ділянці коліна ноги дорослої людини з реалістичною зовнішньою анатомією;</w:t>
            </w:r>
          </w:p>
          <w:p w14:paraId="7AAD33E5" w14:textId="58A21331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 мати високоякісний міцний матеріал для імітації тактильних відчуттів шкіри і тканин людини;</w:t>
            </w:r>
          </w:p>
          <w:p w14:paraId="5C0C28A1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бути призначений для багаторазового використання;</w:t>
            </w:r>
          </w:p>
          <w:p w14:paraId="78FF601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надавати можливість вдосконалювати навички контролю кровотечі з упаковкою рани</w:t>
            </w: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, накладення джгута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2F821D72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надавати можливість вдосконалювати навички допомоги при ампутації;</w:t>
            </w:r>
          </w:p>
          <w:p w14:paraId="5AF77880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бути оснащений трьома різними схемами намотування: глибока рвана рана в паховій ділянці, вогнепальне поранення наскрізь з вхідною та вихідною раною на верхній частині стегна, ампутація у колінній області;</w:t>
            </w:r>
          </w:p>
          <w:p w14:paraId="10A60933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lastRenderedPageBreak/>
              <w:t xml:space="preserve">- 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>мати можливість контролю кровотечі з кожної рани разом або окремо;</w:t>
            </w:r>
          </w:p>
          <w:p w14:paraId="0DC3EB9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можливість змоделювати різні сценарії венозної або артеріальної пульсуючої кровотечі;</w:t>
            </w:r>
          </w:p>
          <w:p w14:paraId="69AD4271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 мати прямий зворотній </w:t>
            </w: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зв’язок у випадку правильного виконання зупинки кровотечі;</w:t>
            </w: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br/>
              <w:t>- можливість наклади джгут «високо та щільно» над раною;</w:t>
            </w:r>
          </w:p>
          <w:p w14:paraId="07D4AA74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можливість практикувати подвійне накладання джгута;</w:t>
            </w:r>
          </w:p>
          <w:p w14:paraId="575EDF9F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 xml:space="preserve">- 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>мати можливість застосовувати гемостатичний пристрій;</w:t>
            </w:r>
          </w:p>
          <w:p w14:paraId="5F225515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кісткові орієнтири та пальпаторну пошкоджену судину;</w:t>
            </w:r>
          </w:p>
          <w:p w14:paraId="0A9C7A59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 мати можливість приховати кожну рану за допомогою спеціального захисного матеріалу;</w:t>
            </w:r>
          </w:p>
          <w:p w14:paraId="3EB6CC9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 бути призначений для використання в польових умовах, мати міцну конструкцію, що не вимагає використання акумуляторних батарей або зовнішнього джерела живлення;</w:t>
            </w:r>
          </w:p>
          <w:p w14:paraId="25A2FFB9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 легко очищатись та транспортуватись;</w:t>
            </w:r>
          </w:p>
          <w:p w14:paraId="61ACC91B" w14:textId="7939154D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включати:</w:t>
            </w:r>
          </w:p>
          <w:p w14:paraId="3CAC06D2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травма ноги з 3 різними травматичними ранами, вибір світлої чи темної шкіри;</w:t>
            </w:r>
          </w:p>
          <w:p w14:paraId="2E8E835A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- 2 покриття ран;</w:t>
            </w:r>
          </w:p>
          <w:p w14:paraId="2C51DE1A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ручна система відкачування крові;</w:t>
            </w:r>
          </w:p>
          <w:p w14:paraId="5BC24D15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сумка для перенесення;</w:t>
            </w:r>
          </w:p>
          <w:p w14:paraId="4813FCF7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мішок з піском;</w:t>
            </w:r>
          </w:p>
          <w:p w14:paraId="41DC5D82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резервуар крові на 2 літри;</w:t>
            </w:r>
          </w:p>
          <w:p w14:paraId="15B745FF" w14:textId="3DFC0C88" w:rsidR="00617B6A" w:rsidRPr="00121DDD" w:rsidRDefault="00617B6A" w:rsidP="00121DDD">
            <w:pPr>
              <w:ind w:firstLine="34"/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 концентрат штучної крові 250 мл.</w:t>
            </w:r>
          </w:p>
          <w:p w14:paraId="7086FE5D" w14:textId="77777777" w:rsidR="00516F65" w:rsidRPr="00121DDD" w:rsidRDefault="00617B6A" w:rsidP="00335B66">
            <w:pPr>
              <w:tabs>
                <w:tab w:val="left" w:pos="3544"/>
                <w:tab w:val="left" w:pos="4871"/>
              </w:tabs>
              <w:rPr>
                <w:b/>
                <w:noProof/>
                <w:color w:val="000000" w:themeColor="text1"/>
                <w:szCs w:val="28"/>
              </w:rPr>
            </w:pPr>
            <w:r w:rsidRPr="00121DDD">
              <w:rPr>
                <w:b/>
                <w:noProof/>
                <w:color w:val="000000" w:themeColor="text1"/>
                <w:szCs w:val="28"/>
              </w:rPr>
              <w:t>Манекен-тренажер «невідкладна допомога при пнеавмотораксі»</w:t>
            </w:r>
          </w:p>
          <w:p w14:paraId="71D57D8B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Повинен:</w:t>
            </w:r>
          </w:p>
          <w:p w14:paraId="263E3C80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- мати реалістичний вигляд грудної клітини дорослої людини; </w:t>
            </w:r>
          </w:p>
          <w:p w14:paraId="3CA3CFD8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- мати змінні легені, реберну клітку та м’яку реалістичну змінну шкіру; </w:t>
            </w:r>
          </w:p>
          <w:p w14:paraId="73696709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надавати можливість практикувати правильне введення голки з метою випускання повітря, яке чинить тиск з грудної клітини;</w:t>
            </w:r>
          </w:p>
          <w:p w14:paraId="2DA2AEBE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- дозволяти проводити голкову торакотомію у другому міжреберному просторі по середньоключичній лінії або у п’ятому 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lastRenderedPageBreak/>
              <w:t>міжреберному просторі по середньо-паховій ліній;</w:t>
            </w:r>
          </w:p>
          <w:p w14:paraId="55168D35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бути призначений для багаторазового використання;</w:t>
            </w:r>
          </w:p>
          <w:p w14:paraId="5D6E64A0" w14:textId="3168290E" w:rsidR="00617B6A" w:rsidRPr="00121DDD" w:rsidRDefault="00617B6A" w:rsidP="00617B6A">
            <w:pPr>
              <w:tabs>
                <w:tab w:val="left" w:pos="3544"/>
                <w:tab w:val="left" w:pos="4871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t xml:space="preserve"> легко транспортуватись.</w:t>
            </w:r>
          </w:p>
        </w:tc>
      </w:tr>
      <w:tr w:rsidR="00121DDD" w:rsidRPr="00121DDD" w14:paraId="53A28B63" w14:textId="77777777" w:rsidTr="004C0527">
        <w:tc>
          <w:tcPr>
            <w:tcW w:w="636" w:type="dxa"/>
          </w:tcPr>
          <w:p w14:paraId="6AC8EDD5" w14:textId="2BFA8445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39590422" w14:textId="77777777" w:rsidR="00516F65" w:rsidRPr="00121DDD" w:rsidRDefault="00516F65" w:rsidP="009316F9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Обґрунтування розміру бюджетного </w:t>
            </w:r>
            <w:r w:rsidR="009316F9" w:rsidRPr="00121DDD">
              <w:rPr>
                <w:color w:val="000000" w:themeColor="text1"/>
                <w:szCs w:val="28"/>
              </w:rPr>
              <w:t>п</w:t>
            </w:r>
            <w:r w:rsidRPr="00121DDD">
              <w:rPr>
                <w:color w:val="000000" w:themeColor="text1"/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27005AA7" w14:textId="0CB81244" w:rsidR="00516F65" w:rsidRPr="00121DDD" w:rsidRDefault="00343AFF" w:rsidP="00894E12">
            <w:pPr>
              <w:spacing w:line="240" w:lineRule="atLeast"/>
              <w:ind w:right="-116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0218240 «Заходи та роботи з територіальної оборони» за </w:t>
            </w:r>
            <w:r w:rsidRPr="00121DDD">
              <w:rPr>
                <w:rFonts w:cs="Times New Roman"/>
                <w:color w:val="000000" w:themeColor="text1"/>
                <w:szCs w:val="28"/>
              </w:rPr>
              <w:t xml:space="preserve">КЕКВ </w:t>
            </w:r>
            <w:r w:rsidR="00647540" w:rsidRPr="00121DDD">
              <w:rPr>
                <w:rFonts w:cs="Times New Roman"/>
                <w:color w:val="000000" w:themeColor="text1"/>
                <w:szCs w:val="28"/>
              </w:rPr>
              <w:t>3110</w:t>
            </w:r>
            <w:r w:rsidR="00121DDD" w:rsidRPr="00121DDD">
              <w:rPr>
                <w:rFonts w:cs="Times New Roman"/>
                <w:color w:val="000000" w:themeColor="text1"/>
                <w:szCs w:val="28"/>
              </w:rPr>
              <w:t>, КЕКВ 2210</w:t>
            </w:r>
            <w:r w:rsidRPr="00121DDD">
              <w:rPr>
                <w:rFonts w:cs="Times New Roman"/>
                <w:color w:val="000000" w:themeColor="text1"/>
                <w:szCs w:val="28"/>
              </w:rPr>
              <w:t xml:space="preserve">. </w:t>
            </w:r>
            <w:r w:rsidRPr="00121DDD">
              <w:rPr>
                <w:color w:val="000000" w:themeColor="text1"/>
                <w:szCs w:val="28"/>
              </w:rPr>
              <w:t>А також враховуючи Постанову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121DDD" w:rsidRPr="00121DDD" w14:paraId="1C904CDA" w14:textId="77777777" w:rsidTr="004C0527">
        <w:tc>
          <w:tcPr>
            <w:tcW w:w="636" w:type="dxa"/>
          </w:tcPr>
          <w:p w14:paraId="1DCA4330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4.2.</w:t>
            </w:r>
          </w:p>
        </w:tc>
        <w:tc>
          <w:tcPr>
            <w:tcW w:w="3617" w:type="dxa"/>
          </w:tcPr>
          <w:p w14:paraId="73804354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1AA3E4E1" w14:textId="6A86BF2F" w:rsidR="00516F65" w:rsidRPr="00121DDD" w:rsidRDefault="009C533E" w:rsidP="00DA7C4A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3</w:t>
            </w:r>
            <w:r w:rsidR="00BB3FF9" w:rsidRPr="00121DDD">
              <w:rPr>
                <w:color w:val="000000" w:themeColor="text1"/>
                <w:szCs w:val="28"/>
              </w:rPr>
              <w:t>15</w:t>
            </w:r>
            <w:r w:rsidR="004F3A04" w:rsidRPr="00121DDD">
              <w:rPr>
                <w:color w:val="000000" w:themeColor="text1"/>
                <w:szCs w:val="28"/>
              </w:rPr>
              <w:t xml:space="preserve"> 000</w:t>
            </w:r>
            <w:r w:rsidR="0015050E" w:rsidRPr="00121DDD">
              <w:rPr>
                <w:color w:val="000000" w:themeColor="text1"/>
                <w:szCs w:val="28"/>
              </w:rPr>
              <w:t>,00</w:t>
            </w:r>
            <w:r w:rsidR="00693CAC" w:rsidRPr="00121DDD">
              <w:rPr>
                <w:color w:val="000000" w:themeColor="text1"/>
                <w:szCs w:val="28"/>
              </w:rPr>
              <w:t xml:space="preserve"> грн. (</w:t>
            </w:r>
            <w:r w:rsidRPr="00121DDD">
              <w:rPr>
                <w:color w:val="000000" w:themeColor="text1"/>
                <w:szCs w:val="28"/>
              </w:rPr>
              <w:t xml:space="preserve">триста </w:t>
            </w:r>
            <w:r w:rsidR="00BB3FF9" w:rsidRPr="00121DDD">
              <w:rPr>
                <w:color w:val="000000" w:themeColor="text1"/>
                <w:szCs w:val="28"/>
              </w:rPr>
              <w:t>п’</w:t>
            </w:r>
            <w:r w:rsidR="00335B66" w:rsidRPr="00121DDD">
              <w:rPr>
                <w:color w:val="000000" w:themeColor="text1"/>
                <w:szCs w:val="28"/>
              </w:rPr>
              <w:t>ят</w:t>
            </w:r>
            <w:r w:rsidR="00BB3FF9" w:rsidRPr="00121DDD">
              <w:rPr>
                <w:color w:val="000000" w:themeColor="text1"/>
                <w:szCs w:val="28"/>
              </w:rPr>
              <w:t>надцять</w:t>
            </w:r>
            <w:r w:rsidR="00335B66" w:rsidRPr="00121DDD">
              <w:rPr>
                <w:color w:val="000000" w:themeColor="text1"/>
                <w:szCs w:val="28"/>
              </w:rPr>
              <w:t xml:space="preserve"> </w:t>
            </w:r>
            <w:r w:rsidR="004E4344">
              <w:rPr>
                <w:color w:val="000000" w:themeColor="text1"/>
                <w:szCs w:val="28"/>
              </w:rPr>
              <w:t>тисяч гривень</w:t>
            </w:r>
            <w:r w:rsidR="00DA7C4A" w:rsidRPr="00121DDD">
              <w:rPr>
                <w:color w:val="000000" w:themeColor="text1"/>
                <w:szCs w:val="28"/>
              </w:rPr>
              <w:t>. 00 коп.</w:t>
            </w:r>
            <w:r w:rsidR="00693CAC" w:rsidRPr="00121DDD">
              <w:rPr>
                <w:color w:val="000000" w:themeColor="text1"/>
                <w:szCs w:val="28"/>
              </w:rPr>
              <w:t xml:space="preserve">) </w:t>
            </w:r>
            <w:r w:rsidR="00516F65" w:rsidRPr="00121DDD">
              <w:rPr>
                <w:color w:val="000000" w:themeColor="text1"/>
                <w:szCs w:val="28"/>
              </w:rPr>
              <w:t>з ПДВ.</w:t>
            </w:r>
          </w:p>
        </w:tc>
      </w:tr>
      <w:tr w:rsidR="00121DDD" w:rsidRPr="00121DDD" w14:paraId="24686FE6" w14:textId="77777777" w:rsidTr="004C0527">
        <w:tc>
          <w:tcPr>
            <w:tcW w:w="636" w:type="dxa"/>
          </w:tcPr>
          <w:p w14:paraId="66E11B1D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Обґрунтування очікуваної вартості</w:t>
            </w:r>
            <w:r w:rsidR="00693CAC" w:rsidRPr="00121DDD">
              <w:rPr>
                <w:color w:val="000000" w:themeColor="text1"/>
                <w:szCs w:val="28"/>
              </w:rPr>
              <w:t xml:space="preserve"> </w:t>
            </w:r>
            <w:r w:rsidRPr="00121DDD">
              <w:rPr>
                <w:color w:val="000000" w:themeColor="text1"/>
                <w:szCs w:val="28"/>
              </w:rPr>
              <w:t>предмета закупівлі.</w:t>
            </w:r>
          </w:p>
          <w:p w14:paraId="1CF77495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</w:tcPr>
          <w:p w14:paraId="5C4028C2" w14:textId="27A788FA" w:rsidR="00121DDD" w:rsidRPr="00121DDD" w:rsidRDefault="00516F65" w:rsidP="004E4344">
            <w:pPr>
              <w:spacing w:line="240" w:lineRule="atLeast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Розрахунок очікуваної вартості предмета закупівлі здійснено на підставі</w:t>
            </w:r>
            <w:r w:rsidR="00040F1F" w:rsidRPr="00121DDD">
              <w:rPr>
                <w:color w:val="000000" w:themeColor="text1"/>
                <w:szCs w:val="28"/>
              </w:rPr>
              <w:t xml:space="preserve"> вивчення цін</w:t>
            </w:r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, що міститься в мережі Інтернет у відкритому доступі, в т.ч. на сайтах виробників, постачальників відповідної продукції, в електронній системі 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закупівель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«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ProZorro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» та на торгівельних електронних майданчиках</w:t>
            </w:r>
          </w:p>
        </w:tc>
      </w:tr>
      <w:tr w:rsidR="00121DDD" w:rsidRPr="00121DDD" w14:paraId="37FA9462" w14:textId="77777777" w:rsidTr="004C0527">
        <w:tc>
          <w:tcPr>
            <w:tcW w:w="636" w:type="dxa"/>
          </w:tcPr>
          <w:p w14:paraId="559980BA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5.</w:t>
            </w:r>
          </w:p>
        </w:tc>
        <w:tc>
          <w:tcPr>
            <w:tcW w:w="3617" w:type="dxa"/>
          </w:tcPr>
          <w:p w14:paraId="7CEC45EB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Процедура закупівлі.</w:t>
            </w:r>
          </w:p>
          <w:p w14:paraId="0F434D39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4A89ED48" w:rsidR="00516F65" w:rsidRPr="00121DDD" w:rsidRDefault="00516F65" w:rsidP="00E160A4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073FD866" w14:textId="77777777" w:rsidR="00121DDD" w:rsidRPr="00121DDD" w:rsidRDefault="00121DDD" w:rsidP="00516F65">
      <w:pPr>
        <w:spacing w:line="240" w:lineRule="atLeast"/>
        <w:jc w:val="both"/>
        <w:rPr>
          <w:color w:val="000000" w:themeColor="text1"/>
          <w:szCs w:val="28"/>
        </w:rPr>
      </w:pPr>
    </w:p>
    <w:sectPr w:rsidR="00121DDD" w:rsidRPr="00121DDD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02F" w14:textId="77777777" w:rsidR="00363CB5" w:rsidRDefault="00363CB5" w:rsidP="003F52D9">
      <w:pPr>
        <w:spacing w:after="0" w:line="240" w:lineRule="auto"/>
      </w:pPr>
      <w:r>
        <w:separator/>
      </w:r>
    </w:p>
  </w:endnote>
  <w:endnote w:type="continuationSeparator" w:id="0">
    <w:p w14:paraId="48CDE32B" w14:textId="77777777" w:rsidR="00363CB5" w:rsidRDefault="00363CB5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1F8F" w14:textId="77777777" w:rsidR="00363CB5" w:rsidRDefault="00363CB5" w:rsidP="003F52D9">
      <w:pPr>
        <w:spacing w:after="0" w:line="240" w:lineRule="auto"/>
      </w:pPr>
      <w:r>
        <w:separator/>
      </w:r>
    </w:p>
  </w:footnote>
  <w:footnote w:type="continuationSeparator" w:id="0">
    <w:p w14:paraId="1E75E40D" w14:textId="77777777" w:rsidR="00363CB5" w:rsidRDefault="00363CB5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33629C"/>
    <w:multiLevelType w:val="hybridMultilevel"/>
    <w:tmpl w:val="087CFCE6"/>
    <w:lvl w:ilvl="0" w:tplc="ADD0A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31D7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21DDD"/>
    <w:rsid w:val="00135D1A"/>
    <w:rsid w:val="001415C7"/>
    <w:rsid w:val="00143976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35B6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3018"/>
    <w:rsid w:val="00363CB5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344"/>
    <w:rsid w:val="004E4839"/>
    <w:rsid w:val="004E48CE"/>
    <w:rsid w:val="004F1DBF"/>
    <w:rsid w:val="004F3A04"/>
    <w:rsid w:val="004F3EF7"/>
    <w:rsid w:val="004F4743"/>
    <w:rsid w:val="005015D2"/>
    <w:rsid w:val="00507EEB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57353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956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0EA7"/>
    <w:rsid w:val="005F4880"/>
    <w:rsid w:val="005F643F"/>
    <w:rsid w:val="00614942"/>
    <w:rsid w:val="00617056"/>
    <w:rsid w:val="00617B6A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3BA2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87755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5383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533E"/>
    <w:rsid w:val="009C66D7"/>
    <w:rsid w:val="009C69CD"/>
    <w:rsid w:val="009D0D00"/>
    <w:rsid w:val="009D17A7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64CEE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4211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3FF9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0EA2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160A4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181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3CF1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D68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styleId="ab">
    <w:name w:val="Hyperlink"/>
    <w:rsid w:val="00F94D68"/>
    <w:rPr>
      <w:color w:val="0000FF"/>
      <w:u w:val="single"/>
    </w:rPr>
  </w:style>
  <w:style w:type="paragraph" w:customStyle="1" w:styleId="Default">
    <w:name w:val="Default"/>
    <w:qFormat/>
    <w:rsid w:val="00617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15AF-B3C5-4EAB-A7AB-A364E5F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5</cp:revision>
  <cp:lastPrinted>2023-08-16T08:54:00Z</cp:lastPrinted>
  <dcterms:created xsi:type="dcterms:W3CDTF">2023-08-16T13:18:00Z</dcterms:created>
  <dcterms:modified xsi:type="dcterms:W3CDTF">2023-08-17T08:04:00Z</dcterms:modified>
</cp:coreProperties>
</file>