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4258" w:type="dxa"/>
        <w:tblInd w:w="5807" w:type="dxa"/>
        <w:tblLayout w:type="fixed"/>
        <w:tblLook w:val="04A0" w:firstRow="1" w:lastRow="0" w:firstColumn="1" w:lastColumn="0" w:noHBand="0" w:noVBand="1"/>
      </w:tblPr>
      <w:tblGrid>
        <w:gridCol w:w="4258"/>
      </w:tblGrid>
      <w:tr w:rsidR="00F20CE5">
        <w:trPr>
          <w:trHeight w:val="198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F20CE5" w:rsidRDefault="00ED4FCA">
            <w:pPr>
              <w:pStyle w:val="af"/>
              <w:widowControl w:val="0"/>
              <w:spacing w:after="0"/>
              <w:ind w:right="-143"/>
              <w:contextualSpacing/>
              <w:rPr>
                <w:b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F20CE5" w:rsidRDefault="00ED4FCA">
            <w:pPr>
              <w:pStyle w:val="af"/>
              <w:widowControl w:val="0"/>
              <w:spacing w:before="280"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F20CE5" w:rsidRDefault="00ED4FCA">
            <w:pPr>
              <w:pStyle w:val="af"/>
              <w:widowControl w:val="0"/>
              <w:spacing w:before="280"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F20CE5" w:rsidRDefault="00ED4FCA">
            <w:pPr>
              <w:pStyle w:val="af"/>
              <w:widowControl w:val="0"/>
              <w:spacing w:before="120" w:beforeAutospacing="0" w:after="120"/>
            </w:pPr>
            <w:r>
              <w:rPr>
                <w:lang w:val="uk-UA"/>
              </w:rPr>
              <w:t>«01» жовтня 2021 року № 30-у</w:t>
            </w:r>
          </w:p>
        </w:tc>
      </w:tr>
    </w:tbl>
    <w:p w:rsidR="00F20CE5" w:rsidRDefault="00ED4FCA">
      <w:pPr>
        <w:pStyle w:val="af"/>
        <w:spacing w:before="240" w:beforeAutospacing="0"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КАРТКА АДМІНІСТРАТИВНОЇ ПОСЛУГИ</w:t>
      </w:r>
    </w:p>
    <w:p w:rsidR="00F20CE5" w:rsidRDefault="00ED4FC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 видачі дозволу на спеціальне використання водних біоресурсів </w:t>
      </w:r>
    </w:p>
    <w:p w:rsidR="00F20CE5" w:rsidRDefault="00ED4FCA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 </w:t>
      </w:r>
      <w:r>
        <w:rPr>
          <w:rFonts w:ascii="Times New Roman" w:hAnsi="Times New Roman" w:cs="Times New Roman"/>
          <w:b/>
          <w:sz w:val="24"/>
          <w:szCs w:val="28"/>
        </w:rPr>
        <w:t>рибогосподарських водних об’єктах (їх частинах)</w:t>
      </w:r>
    </w:p>
    <w:tbl>
      <w:tblPr>
        <w:tblW w:w="10207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19"/>
        <w:gridCol w:w="4394"/>
        <w:gridCol w:w="5394"/>
      </w:tblGrid>
      <w:tr w:rsidR="00F20CE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Інформація про суб’єкта надання адміністративної послуги</w:t>
            </w:r>
          </w:p>
        </w:tc>
      </w:tr>
      <w:tr w:rsidR="00F20CE5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"/>
              <w:numPr>
                <w:ilvl w:val="0"/>
                <w:numId w:val="0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Управління Державного агентства меліорації та рибного господарства у Житомирській області</w:t>
            </w:r>
          </w:p>
        </w:tc>
      </w:tr>
      <w:tr w:rsidR="00F20CE5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Гуйвинський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буд. 6, м. Житомир, 10005</w:t>
            </w:r>
          </w:p>
        </w:tc>
      </w:tr>
      <w:tr w:rsidR="00F20CE5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F20CE5" w:rsidRDefault="00ED4FC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F20CE5" w:rsidRDefault="00ED4FCA">
            <w:pPr>
              <w:pStyle w:val="ae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F20CE5">
        <w:trPr>
          <w:trHeight w:val="2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.: (0412) 24-57-81; (0412) 24-57-61</w:t>
            </w:r>
          </w:p>
          <w:p w:rsidR="00F20CE5" w:rsidRDefault="00ED4FC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zht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rp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@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darg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gov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ua</w:t>
              </w:r>
              <w:proofErr w:type="spellEnd"/>
            </w:hyperlink>
          </w:p>
          <w:p w:rsidR="00F20CE5" w:rsidRPr="00ED4FCA" w:rsidRDefault="00ED4FCA">
            <w:pPr>
              <w:pStyle w:val="ae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ua</w:t>
            </w:r>
            <w:proofErr w:type="spellEnd"/>
          </w:p>
        </w:tc>
      </w:tr>
      <w:tr w:rsidR="00F20CE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Інформація про Центр надання адміністративних послуг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Найменування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Місцезнаходження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буд. </w:t>
            </w:r>
            <w:r>
              <w:rPr>
                <w:iCs/>
              </w:rPr>
              <w:t xml:space="preserve">4, </w:t>
            </w:r>
            <w:r>
              <w:rPr>
                <w:rFonts w:ascii="Times New Roman" w:hAnsi="Times New Roman" w:cs="Times New Roman"/>
                <w:iCs/>
                <w:sz w:val="24"/>
              </w:rPr>
              <w:t>м. Житомир,  10014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Пн., Ср., Чт.: 09.00 </w:t>
            </w:r>
            <w:r>
              <w:rPr>
                <w:rFonts w:ascii="Times New Roman" w:hAnsi="Times New Roman"/>
                <w:iCs/>
                <w:sz w:val="24"/>
              </w:rPr>
              <w:t>– 18.00</w:t>
            </w:r>
          </w:p>
          <w:p w:rsidR="00F20CE5" w:rsidRDefault="00ED4F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Вт.: 9.00 – 20.00</w:t>
            </w:r>
          </w:p>
          <w:p w:rsidR="00F20CE5" w:rsidRDefault="00ED4FCA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Пт.: 9.00 – 17.00</w:t>
            </w:r>
          </w:p>
          <w:p w:rsidR="00F20CE5" w:rsidRDefault="00ED4FCA">
            <w:pPr>
              <w:pStyle w:val="ae"/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F20CE5">
        <w:trPr>
          <w:trHeight w:val="92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centr"/>
              <w:widowControl w:val="0"/>
              <w:spacing w:beforeAutospacing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.: (0412) 47-46-68; (0412) 47-06-15</w:t>
            </w:r>
          </w:p>
          <w:p w:rsidR="00F20CE5" w:rsidRDefault="00ED4FCA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r>
              <w:rPr>
                <w:rFonts w:ascii="Times New Roman" w:hAnsi="Times New Roman"/>
                <w:iCs/>
                <w:color w:val="0000FF"/>
                <w:sz w:val="24"/>
                <w:u w:val="single"/>
              </w:rPr>
              <w:t>edo412@ukr.net;</w:t>
            </w:r>
          </w:p>
          <w:p w:rsidR="00F20CE5" w:rsidRDefault="00ED4FCA">
            <w:hyperlink r:id="rId7">
              <w:r>
                <w:rPr>
                  <w:rFonts w:ascii="Times New Roman" w:hAnsi="Times New Roman" w:cs="Times New Roman"/>
                  <w:iCs/>
                  <w:color w:val="0000FF"/>
                  <w:sz w:val="24"/>
                  <w:u w:val="single"/>
                  <w:shd w:val="clear" w:color="auto" w:fill="FCFDFD"/>
                </w:rPr>
                <w:t>administrator-cnap@ukr.net</w:t>
              </w:r>
            </w:hyperlink>
          </w:p>
        </w:tc>
      </w:tr>
      <w:tr w:rsidR="00F20CE5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spacing w:before="6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Закони України</w:t>
            </w:r>
          </w:p>
          <w:p w:rsidR="00F20CE5" w:rsidRDefault="00F20CE5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України «Про адміністративні послуги»;</w:t>
            </w:r>
          </w:p>
          <w:p w:rsidR="00F20CE5" w:rsidRDefault="00ED4FCA">
            <w:pPr>
              <w:pStyle w:val="ae"/>
              <w:jc w:val="both"/>
            </w:pP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zakon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2.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rada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gov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ua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laws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en-US"/>
                </w:rPr>
                <w:t>show</w:t>
              </w:r>
              <w:r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/5203-17</w:t>
              </w:r>
            </w:hyperlink>
          </w:p>
          <w:p w:rsidR="00F20CE5" w:rsidRDefault="00ED4FCA">
            <w:pPr>
              <w:pStyle w:val="ae"/>
              <w:spacing w:befor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Закону України «Про дозвільну систему у сфері господарської діяльності»;</w:t>
            </w:r>
          </w:p>
          <w:p w:rsidR="00F20CE5" w:rsidRDefault="00ED4FCA">
            <w:pPr>
              <w:pStyle w:val="ae"/>
              <w:jc w:val="both"/>
            </w:pPr>
            <w:hyperlink r:id="rId9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zakon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4.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rada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gov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ua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laws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show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/2806-15</w:t>
              </w:r>
            </w:hyperlink>
          </w:p>
          <w:p w:rsidR="00F20CE5" w:rsidRDefault="00ED4FCA">
            <w:pPr>
              <w:pStyle w:val="ae"/>
              <w:spacing w:befor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</w:t>
            </w:r>
            <w:r>
              <w:rPr>
                <w:rFonts w:ascii="Times New Roman" w:hAnsi="Times New Roman"/>
                <w:sz w:val="24"/>
              </w:rPr>
              <w:t>у у сфері господарської діяльності»;</w:t>
            </w:r>
          </w:p>
          <w:p w:rsidR="00F20CE5" w:rsidRDefault="00ED4FCA">
            <w:pPr>
              <w:pStyle w:val="ae"/>
              <w:jc w:val="both"/>
            </w:pP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zakon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2.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rada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gov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ua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laws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show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/3392-17</w:t>
              </w:r>
            </w:hyperlink>
          </w:p>
          <w:p w:rsidR="00F20CE5" w:rsidRDefault="00ED4FCA">
            <w:pPr>
              <w:pStyle w:val="ae"/>
              <w:spacing w:before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України «Про рибне господарство, промислове рибальство та охорону водних біоресурсів»;</w:t>
            </w:r>
          </w:p>
          <w:p w:rsidR="00F20CE5" w:rsidRDefault="00ED4FCA">
            <w:pPr>
              <w:pStyle w:val="ae"/>
              <w:spacing w:after="120"/>
              <w:jc w:val="both"/>
            </w:pPr>
            <w:hyperlink r:id="rId11"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http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zakon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</w:rPr>
                <w:t>2.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rada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gov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ua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laws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lang w:val="en-US"/>
                </w:rPr>
                <w:t>show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>/3677-17</w:t>
              </w:r>
            </w:hyperlink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F20CE5" w:rsidRDefault="00F20CE5">
            <w:pPr>
              <w:pStyle w:val="a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Кабінету Міністрів України від 30.10.2013 № 801 «</w:t>
            </w:r>
            <w:r>
              <w:rPr>
                <w:rFonts w:ascii="Times New Roman" w:hAnsi="Times New Roman" w:cs="Times New Roman"/>
                <w:sz w:val="24"/>
              </w:rPr>
              <w:t xml:space="preserve">Про затвердження Порядку видачі дозволу на спеціальне </w:t>
            </w:r>
            <w:r>
              <w:rPr>
                <w:rFonts w:ascii="Times New Roman" w:hAnsi="Times New Roman" w:cs="Times New Roman"/>
                <w:sz w:val="24"/>
              </w:rPr>
              <w:t>використання водних біоресурсів у рибогосподарських водних об'єктах (їх частинах) або відмови в його видачі, переоформлення та анулювання зазначеного дозволу» (далі – Порядок)</w:t>
            </w:r>
          </w:p>
          <w:p w:rsidR="00F20CE5" w:rsidRDefault="00ED4FCA">
            <w:pPr>
              <w:spacing w:after="60"/>
              <w:jc w:val="both"/>
            </w:pPr>
            <w:hyperlink r:id="rId12"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http</w:t>
              </w:r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zakon</w:t>
              </w:r>
              <w:proofErr w:type="spellEnd"/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4.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rada</w:t>
              </w:r>
              <w:proofErr w:type="spellEnd"/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gov</w:t>
              </w:r>
              <w:proofErr w:type="spellEnd"/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ua</w:t>
              </w:r>
              <w:proofErr w:type="spellEnd"/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laws</w:t>
              </w:r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show</w:t>
              </w:r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/801-2013-%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D</w:t>
              </w:r>
              <w:r w:rsidRPr="00ED4FCA">
                <w:rPr>
                  <w:rFonts w:ascii="Times New Roman" w:hAnsi="Times New Roman"/>
                  <w:color w:val="0000FF"/>
                  <w:sz w:val="24"/>
                  <w:u w:val="single"/>
                </w:rPr>
                <w:t>0%</w:t>
              </w:r>
              <w:r>
                <w:rPr>
                  <w:rFonts w:ascii="Times New Roman" w:hAnsi="Times New Roman"/>
                  <w:color w:val="0000FF"/>
                  <w:sz w:val="24"/>
                  <w:u w:val="single"/>
                  <w:lang w:val="en-US"/>
                </w:rPr>
                <w:t>BF</w:t>
              </w:r>
            </w:hyperlink>
          </w:p>
        </w:tc>
      </w:tr>
      <w:tr w:rsidR="00F20CE5">
        <w:trPr>
          <w:trHeight w:val="2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F20CE5">
        <w:trPr>
          <w:trHeight w:val="196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Заява про одержання дозволу на спеціальне     використання водних біоресурсів у рибогосподарських </w:t>
            </w:r>
            <w:r>
              <w:rPr>
                <w:rFonts w:ascii="Times New Roman" w:hAnsi="Times New Roman" w:cs="Times New Roman"/>
                <w:sz w:val="24"/>
              </w:rPr>
              <w:t>водних об’єктах (їх частинах);</w:t>
            </w:r>
          </w:p>
          <w:p w:rsidR="00F20CE5" w:rsidRDefault="00ED4FCA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довідка про наявність у суб’єкта господарювання суден флоту рибної промисловості, дозволених знарядь лову та рибоприймальних пунктів на визначеному рибогосподарському водному об’єкті (його частині) (додаток 2 до Порядку);</w:t>
            </w:r>
          </w:p>
          <w:p w:rsidR="00F20CE5" w:rsidRDefault="00ED4FCA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програма виконання дослідних робіт;</w:t>
            </w:r>
          </w:p>
          <w:p w:rsidR="00F20CE5" w:rsidRDefault="00ED4FCA">
            <w:pPr>
              <w:pStyle w:val="ae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документ, на підставі якого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виникло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право на спеціальне використання водних біоресурсів.</w:t>
            </w:r>
          </w:p>
          <w:p w:rsidR="00F20CE5" w:rsidRDefault="00ED4FCA">
            <w:pPr>
              <w:pStyle w:val="ae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</w:t>
            </w:r>
            <w:r>
              <w:rPr>
                <w:rFonts w:ascii="Times New Roman" w:hAnsi="Times New Roman" w:cs="Times New Roman"/>
                <w:sz w:val="24"/>
              </w:rPr>
              <w:t xml:space="preserve"> що засвідчує його повноваження.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numPr>
                <w:ilvl w:val="0"/>
                <w:numId w:val="2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F20CE5" w:rsidRDefault="00ED4FCA">
            <w:pPr>
              <w:pStyle w:val="ae"/>
              <w:numPr>
                <w:ilvl w:val="0"/>
                <w:numId w:val="2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поштовим відправленням з описом вкладення;</w:t>
            </w:r>
          </w:p>
          <w:p w:rsidR="00F20CE5" w:rsidRDefault="00ED4FCA">
            <w:pPr>
              <w:pStyle w:val="ae"/>
              <w:numPr>
                <w:ilvl w:val="0"/>
                <w:numId w:val="2"/>
              </w:numPr>
              <w:ind w:left="29" w:hanging="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електронній формі через портал електронних сервісів у порядку визначеному Кабінетом </w:t>
            </w:r>
            <w:r>
              <w:rPr>
                <w:rFonts w:ascii="Times New Roman" w:hAnsi="Times New Roman"/>
                <w:sz w:val="24"/>
              </w:rPr>
              <w:t>Міністрів України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spacing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Протягом п’яти робочих днів з дня подання суб’єктом господарювання пакету документів, необхідних для одержання дозволу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Перелік підстав для</w:t>
            </w:r>
            <w:r>
              <w:rPr>
                <w:rFonts w:ascii="Times New Roman" w:hAnsi="Times New Roman"/>
                <w:b/>
                <w:sz w:val="24"/>
              </w:rPr>
              <w:t xml:space="preserve"> відмови у наданні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8"/>
              </w:tabs>
              <w:spacing w:beforeAutospacing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0" w:name="n382"/>
            <w:bookmarkEnd w:id="0"/>
            <w:r>
              <w:t>1) Подання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неповного пакету документів, необхідних для одержання дозволу;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beforeAutospacing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2) виявлення в поданих документах недостовірних відомостей;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beforeAutospacing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відсутність науково обґрунтованої інформації про спеціальне використання </w:t>
            </w:r>
            <w:r>
              <w:rPr>
                <w:color w:val="000000"/>
              </w:rPr>
              <w:t xml:space="preserve">водних біоресурсів (рішення </w:t>
            </w:r>
            <w:proofErr w:type="spellStart"/>
            <w:r>
              <w:rPr>
                <w:color w:val="000000"/>
              </w:rPr>
              <w:t>Держрибагентства</w:t>
            </w:r>
            <w:proofErr w:type="spellEnd"/>
            <w:r>
              <w:rPr>
                <w:color w:val="000000"/>
              </w:rPr>
              <w:t>);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1"/>
              </w:tabs>
              <w:spacing w:beforeAutospacing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4) відсутність частки нерозподіленого ліміту водних біоресурсів;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Autospacing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5) систематичні грубі (три і більше) порушення протягом року вимог законодавства у галузі охорони, використання і відтворення водних </w:t>
            </w:r>
            <w:r>
              <w:rPr>
                <w:color w:val="000000"/>
              </w:rPr>
              <w:t>біоресурсів;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Autospacing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6) несплата на час розгляду питання про видачу дозволу штрафних санкцій за порушення вимог законодавства у галузі охорони, використання та відтворення водних біоресурсів або наявність невідшкодованої шкоди, заподіяної рибному госпо</w:t>
            </w:r>
            <w:r>
              <w:rPr>
                <w:color w:val="000000"/>
              </w:rPr>
              <w:lastRenderedPageBreak/>
              <w:t>дарству;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Autospacing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наявність простроченої заборгованості перед державним або місцевим бюджетом;</w:t>
            </w:r>
          </w:p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Autospacing="0" w:after="6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8) використання виділеної кількості водних біоресурсів менш як на 75 відсотків протягом попередніх чотирьох років.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9"/>
              </w:tabs>
              <w:spacing w:beforeAutospacing="0" w:after="60" w:afterAutospacing="0"/>
              <w:ind w:left="0" w:hanging="357"/>
              <w:jc w:val="both"/>
              <w:textAlignment w:val="baseline"/>
            </w:pPr>
            <w:r>
              <w:t xml:space="preserve">Дозвіл на </w:t>
            </w:r>
            <w:r>
              <w:t>спеціальне використання водних біоресурсів у рибогосподарських водних об’єктах (їх частинах) або відмова у видачі зазначеного до</w:t>
            </w:r>
            <w:r>
              <w:rPr>
                <w:lang w:val="ru-RU"/>
              </w:rPr>
              <w:t>з</w:t>
            </w:r>
            <w:r>
              <w:t>волу</w:t>
            </w:r>
            <w:r>
              <w:rPr>
                <w:lang w:val="ru-RU"/>
              </w:rPr>
              <w:t>.</w:t>
            </w:r>
          </w:p>
        </w:tc>
      </w:tr>
      <w:tr w:rsidR="00F20CE5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CE5" w:rsidRDefault="00ED4FCA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20CE5" w:rsidRDefault="00ED4FCA">
            <w:pPr>
              <w:pStyle w:val="ae"/>
              <w:numPr>
                <w:ilvl w:val="0"/>
                <w:numId w:val="4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поштовим відправленням з описом вкладення</w:t>
            </w:r>
          </w:p>
        </w:tc>
      </w:tr>
      <w:tr w:rsidR="00F20CE5">
        <w:trPr>
          <w:trHeight w:val="4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Довідкова </w:t>
            </w:r>
            <w:r>
              <w:rPr>
                <w:rFonts w:ascii="Times New Roman" w:hAnsi="Times New Roman"/>
                <w:b/>
                <w:sz w:val="24"/>
              </w:rPr>
              <w:t>інформація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E5" w:rsidRDefault="00ED4FCA">
            <w:pPr>
              <w:pStyle w:val="ae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Дія дозволу не поширюється на використання водних біоресурсів, які перебувають в межах територій природно-заповідного фонду, а також водних біоресурсів, що занесені до Червоної книги України</w:t>
            </w:r>
          </w:p>
        </w:tc>
      </w:tr>
    </w:tbl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ED4FCA" w:rsidRDefault="00ED4FCA">
      <w:pPr>
        <w:ind w:right="-2"/>
        <w:rPr>
          <w:rFonts w:ascii="Times New Roman" w:hAnsi="Times New Roman" w:cs="Times New Roman"/>
          <w:bCs/>
          <w:sz w:val="24"/>
        </w:rPr>
      </w:pPr>
    </w:p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tbl>
      <w:tblPr>
        <w:tblStyle w:val="af1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ED4FCA" w:rsidTr="00ED4FCA">
        <w:trPr>
          <w:trHeight w:val="1985"/>
        </w:trPr>
        <w:tc>
          <w:tcPr>
            <w:tcW w:w="4258" w:type="dxa"/>
            <w:hideMark/>
          </w:tcPr>
          <w:p w:rsidR="00ED4FCA" w:rsidRDefault="00ED4FCA">
            <w:pPr>
              <w:pStyle w:val="af"/>
              <w:spacing w:beforeAutospacing="0" w:after="0"/>
              <w:ind w:right="-143"/>
              <w:contextualSpacing/>
              <w:rPr>
                <w:b/>
              </w:rPr>
            </w:pPr>
            <w:bookmarkStart w:id="1" w:name="_GoBack"/>
            <w:bookmarkEnd w:id="1"/>
            <w:r>
              <w:rPr>
                <w:b/>
                <w:lang w:val="uk-UA"/>
              </w:rPr>
              <w:lastRenderedPageBreak/>
              <w:t>ЗАТВЕРДЖЕНО</w:t>
            </w:r>
          </w:p>
          <w:p w:rsidR="00ED4FCA" w:rsidRDefault="00ED4FCA">
            <w:pPr>
              <w:pStyle w:val="af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ED4FCA" w:rsidRDefault="00ED4FCA">
            <w:pPr>
              <w:pStyle w:val="af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меліорації та рибного господарства у Житомирській області</w:t>
            </w:r>
          </w:p>
          <w:p w:rsidR="00ED4FCA" w:rsidRDefault="00ED4FCA">
            <w:pPr>
              <w:pStyle w:val="af"/>
              <w:spacing w:before="120" w:beforeAutospacing="0" w:after="120"/>
              <w:rPr>
                <w:lang w:val="uk-UA"/>
              </w:rPr>
            </w:pPr>
            <w:r>
              <w:rPr>
                <w:u w:val="single"/>
                <w:lang w:val="uk-UA"/>
              </w:rPr>
              <w:t>«01» жовтня 2021 року № 30-у</w:t>
            </w:r>
          </w:p>
        </w:tc>
      </w:tr>
    </w:tbl>
    <w:p w:rsidR="00ED4FCA" w:rsidRDefault="00ED4FCA" w:rsidP="00ED4FC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:rsidR="00ED4FCA" w:rsidRDefault="00ED4FCA" w:rsidP="00ED4FC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 видачі дозволу на спеціальне використання водних біоресурсів </w:t>
      </w:r>
    </w:p>
    <w:p w:rsidR="00ED4FCA" w:rsidRDefault="00ED4FCA" w:rsidP="00ED4FCA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 рибогосподарських водних об’єктах (їх частинах)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ED4FCA" w:rsidRDefault="00ED4F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Прийом документів для видачі дозволу на спеціальне використання водних біоресурсів у рибогосподарських водних об’єктах (їх частинах) (далі – дозвіл)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документів  для видачі дозволу уповноваженому представнику Управління Державного агентства меліорації та рибного господарства у Житомирській області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Розгляд та опрацювання документів для видачі дозволу. Прийняття рішення про видачу або відмову у видачі дозволу. Підготовка дозволу або листа про відмову у його видачі.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Головний спеціаліст відділу іхтіології, регулювання рибальства та меліорації головний спеціаліст-юрисконсульт Управління Державного агентства меліорації та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трьох робочих днів</w:t>
            </w:r>
          </w:p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Підписання дозволу або листа про відмову у його видачі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Керівник Управління Державного агентства меліорації та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Реєстрація дозволу або листа про відмову у видачі дозволу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Відповідальна особа за ведення вхідної та вихідної кореспонденції Управління Державного агентства меліорації та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дозволу або листа про відмову у його видачі до ЦНАП Житомирської міської ради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 меліорації та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</w:tc>
      </w:tr>
      <w:tr w:rsidR="00ED4FCA" w:rsidTr="00ED4F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суб’єкту господарювання про видачу дозволу на спеціальне використання водних біоресурсів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рибогосподар-ських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водних об’єктах (їх частинах) або листа про відмову у його видачі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CA" w:rsidRDefault="00ED4FCA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FCA" w:rsidTr="00ED4FCA"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ED4FCA" w:rsidTr="00ED4FCA"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 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CA" w:rsidRDefault="00ED4F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ED4FCA" w:rsidRDefault="00ED4FCA" w:rsidP="00ED4FCA">
      <w:pPr>
        <w:rPr>
          <w:rFonts w:ascii="Times New Roman" w:hAnsi="Times New Roman" w:cs="Times New Roman"/>
          <w:sz w:val="28"/>
          <w:szCs w:val="28"/>
        </w:rPr>
      </w:pPr>
    </w:p>
    <w:p w:rsidR="00ED4FCA" w:rsidRDefault="00ED4FCA" w:rsidP="00ED4F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ED4FCA" w:rsidRDefault="00ED4FCA" w:rsidP="00ED4FCA">
      <w:pPr>
        <w:rPr>
          <w:rFonts w:ascii="Times New Roman" w:hAnsi="Times New Roman" w:cs="Times New Roman"/>
          <w:sz w:val="28"/>
          <w:szCs w:val="28"/>
        </w:rPr>
      </w:pPr>
    </w:p>
    <w:p w:rsidR="00ED4FCA" w:rsidRDefault="00ED4FCA" w:rsidP="00ED4FCA">
      <w:pPr>
        <w:rPr>
          <w:rFonts w:ascii="Times New Roman" w:hAnsi="Times New Roman" w:cs="Times New Roman"/>
          <w:b/>
          <w:sz w:val="24"/>
        </w:rPr>
      </w:pPr>
    </w:p>
    <w:p w:rsidR="00ED4FCA" w:rsidRDefault="00ED4FCA" w:rsidP="00ED4FCA">
      <w:pPr>
        <w:rPr>
          <w:rFonts w:ascii="Times New Roman" w:hAnsi="Times New Roman" w:cs="Times New Roman"/>
          <w:b/>
          <w:sz w:val="24"/>
        </w:rPr>
      </w:pPr>
    </w:p>
    <w:p w:rsidR="00ED4FCA" w:rsidRDefault="00ED4FCA" w:rsidP="00ED4FCA">
      <w:pPr>
        <w:rPr>
          <w:rFonts w:ascii="Times New Roman" w:hAnsi="Times New Roman" w:cs="Times New Roman"/>
          <w:b/>
          <w:sz w:val="24"/>
        </w:rPr>
      </w:pPr>
    </w:p>
    <w:p w:rsidR="00ED4FCA" w:rsidRDefault="00ED4FCA" w:rsidP="00ED4FCA">
      <w:pPr>
        <w:rPr>
          <w:rFonts w:ascii="Times New Roman" w:hAnsi="Times New Roman" w:cs="Times New Roman"/>
          <w:b/>
          <w:sz w:val="36"/>
          <w:szCs w:val="28"/>
        </w:rPr>
      </w:pPr>
    </w:p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p w:rsidR="00F20CE5" w:rsidRDefault="00F20CE5"/>
    <w:sectPr w:rsidR="00F20CE5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820"/>
    <w:multiLevelType w:val="multilevel"/>
    <w:tmpl w:val="67EC43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1F3468"/>
    <w:multiLevelType w:val="multilevel"/>
    <w:tmpl w:val="791A7CDC"/>
    <w:lvl w:ilvl="0">
      <w:start w:val="1"/>
      <w:numFmt w:val="decimal"/>
      <w:lvlText w:val="%1)"/>
      <w:lvlJc w:val="left"/>
      <w:pPr>
        <w:tabs>
          <w:tab w:val="num" w:pos="0"/>
        </w:tabs>
        <w:ind w:left="3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2B1D2CF8"/>
    <w:multiLevelType w:val="multilevel"/>
    <w:tmpl w:val="CD3E3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5361350"/>
    <w:multiLevelType w:val="multilevel"/>
    <w:tmpl w:val="398AAB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6A639EC"/>
    <w:multiLevelType w:val="multilevel"/>
    <w:tmpl w:val="9BCE93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5"/>
    <w:rsid w:val="00ED4FCA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71DD-5AFC-4ACD-AF53-D3E2A9C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152"/>
    <w:pPr>
      <w:widowControl w:val="0"/>
    </w:pPr>
    <w:rPr>
      <w:rFonts w:ascii="Arial" w:eastAsia="Arial Unicode MS" w:hAnsi="Arial" w:cs="Mangal"/>
      <w:kern w:val="2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41CDC"/>
    <w:rPr>
      <w:color w:val="0000FF"/>
      <w:u w:val="single"/>
    </w:rPr>
  </w:style>
  <w:style w:type="character" w:styleId="a5">
    <w:name w:val="Strong"/>
    <w:basedOn w:val="a1"/>
    <w:uiPriority w:val="22"/>
    <w:qFormat/>
    <w:rsid w:val="009655B8"/>
    <w:rPr>
      <w:b/>
      <w:bCs/>
    </w:rPr>
  </w:style>
  <w:style w:type="character" w:customStyle="1" w:styleId="a6">
    <w:name w:val="Текст выноски Знак"/>
    <w:basedOn w:val="a1"/>
    <w:link w:val="a7"/>
    <w:qFormat/>
    <w:rsid w:val="00BC6722"/>
    <w:rPr>
      <w:rFonts w:ascii="Tahoma" w:eastAsia="Arial Unicode MS" w:hAnsi="Tahoma" w:cs="Mangal"/>
      <w:kern w:val="2"/>
      <w:sz w:val="16"/>
      <w:szCs w:val="14"/>
      <w:lang w:val="uk-UA" w:eastAsia="hi-IN" w:bidi="hi-IN"/>
    </w:rPr>
  </w:style>
  <w:style w:type="character" w:customStyle="1" w:styleId="rvts23">
    <w:name w:val="rvts23"/>
    <w:basedOn w:val="a1"/>
    <w:qFormat/>
    <w:rsid w:val="0015353E"/>
  </w:style>
  <w:style w:type="character" w:styleId="a8">
    <w:name w:val="FollowedHyperlink"/>
    <w:basedOn w:val="a1"/>
    <w:semiHidden/>
    <w:unhideWhenUsed/>
    <w:rsid w:val="00A350B6"/>
    <w:rPr>
      <w:color w:val="800080" w:themeColor="followedHyperlink"/>
      <w:u w:val="single"/>
    </w:rPr>
  </w:style>
  <w:style w:type="paragraph" w:customStyle="1" w:styleId="a9">
    <w:name w:val="Заголовок"/>
    <w:basedOn w:val="a0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0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Покажчик"/>
    <w:basedOn w:val="a0"/>
    <w:qFormat/>
    <w:pPr>
      <w:suppressLineNumbers/>
    </w:pPr>
    <w:rPr>
      <w:rFonts w:cs="Arial"/>
    </w:rPr>
  </w:style>
  <w:style w:type="paragraph" w:customStyle="1" w:styleId="ae">
    <w:name w:val="Содержимое таблицы"/>
    <w:basedOn w:val="a0"/>
    <w:qFormat/>
    <w:rsid w:val="00741CDC"/>
    <w:pPr>
      <w:suppressLineNumbers/>
    </w:pPr>
  </w:style>
  <w:style w:type="paragraph" w:customStyle="1" w:styleId="rvps2">
    <w:name w:val="rvps2"/>
    <w:basedOn w:val="a0"/>
    <w:qFormat/>
    <w:rsid w:val="00741CDC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entr">
    <w:name w:val="centr"/>
    <w:basedOn w:val="a0"/>
    <w:qFormat/>
    <w:rsid w:val="00741CDC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">
    <w:name w:val="Normal (Web)"/>
    <w:basedOn w:val="a0"/>
    <w:uiPriority w:val="99"/>
    <w:unhideWhenUsed/>
    <w:qFormat/>
    <w:rsid w:val="009A7BC8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7">
    <w:name w:val="Balloon Text"/>
    <w:basedOn w:val="a0"/>
    <w:link w:val="a6"/>
    <w:qFormat/>
    <w:rsid w:val="00BC6722"/>
    <w:rPr>
      <w:rFonts w:ascii="Tahoma" w:hAnsi="Tahoma"/>
      <w:sz w:val="16"/>
      <w:szCs w:val="14"/>
    </w:rPr>
  </w:style>
  <w:style w:type="paragraph" w:styleId="af0">
    <w:name w:val="List Paragraph"/>
    <w:basedOn w:val="a0"/>
    <w:uiPriority w:val="34"/>
    <w:qFormat/>
    <w:rsid w:val="00CA3088"/>
    <w:pPr>
      <w:ind w:left="720"/>
      <w:contextualSpacing/>
    </w:pPr>
  </w:style>
  <w:style w:type="paragraph" w:styleId="a">
    <w:name w:val="List Bullet"/>
    <w:basedOn w:val="a0"/>
    <w:unhideWhenUsed/>
    <w:qFormat/>
    <w:rsid w:val="0051266E"/>
    <w:pPr>
      <w:numPr>
        <w:numId w:val="3"/>
      </w:numPr>
      <w:contextualSpacing/>
    </w:pPr>
  </w:style>
  <w:style w:type="table" w:styleId="af1">
    <w:name w:val="Table Grid"/>
    <w:basedOn w:val="a2"/>
    <w:rsid w:val="007F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203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or-cnap@ukr.net" TargetMode="External"/><Relationship Id="rId12" Type="http://schemas.openxmlformats.org/officeDocument/2006/relationships/hyperlink" Target="http://zakon4.rada.gov.ua/laws/show/801-2013-&#10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677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339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806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D81-61AB-4458-B9E4-82AE63F4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Пользователь</cp:lastModifiedBy>
  <cp:revision>55</cp:revision>
  <cp:lastPrinted>2018-11-08T11:34:00Z</cp:lastPrinted>
  <dcterms:created xsi:type="dcterms:W3CDTF">2018-11-01T14:53:00Z</dcterms:created>
  <dcterms:modified xsi:type="dcterms:W3CDTF">2023-02-02T09:10:00Z</dcterms:modified>
  <dc:language>uk-UA</dc:language>
</cp:coreProperties>
</file>