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BA" w:rsidRDefault="00A962BA" w:rsidP="001F1575">
      <w:pPr>
        <w:ind w:firstLine="708"/>
        <w:jc w:val="center"/>
        <w:rPr>
          <w:rFonts w:ascii="Times New Roman" w:hAnsi="Times New Roman"/>
          <w:sz w:val="28"/>
          <w:szCs w:val="28"/>
          <w:lang w:val="uk-UA"/>
        </w:rPr>
      </w:pPr>
      <w:r w:rsidRPr="003C7308">
        <w:rPr>
          <w:rFonts w:ascii="Times New Roman" w:hAnsi="Times New Roman"/>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799"/>
      </w:tblGrid>
      <w:tr w:rsidR="00A962BA" w:rsidRPr="00975DFE" w:rsidTr="00975DFE">
        <w:tc>
          <w:tcPr>
            <w:tcW w:w="2830" w:type="dxa"/>
          </w:tcPr>
          <w:p w:rsidR="00A962BA" w:rsidRPr="00975DFE" w:rsidRDefault="00A962BA" w:rsidP="00975DFE">
            <w:pPr>
              <w:spacing w:after="0" w:line="240" w:lineRule="auto"/>
              <w:jc w:val="both"/>
              <w:rPr>
                <w:rFonts w:ascii="Times New Roman" w:hAnsi="Times New Roman"/>
                <w:b/>
                <w:bCs/>
                <w:sz w:val="24"/>
                <w:szCs w:val="24"/>
                <w:lang w:val="uk-UA"/>
              </w:rPr>
            </w:pPr>
            <w:r w:rsidRPr="00975DFE">
              <w:rPr>
                <w:rFonts w:ascii="Times New Roman" w:hAnsi="Times New Roman"/>
                <w:b/>
                <w:bCs/>
                <w:sz w:val="24"/>
                <w:szCs w:val="24"/>
                <w:lang w:val="uk-UA"/>
              </w:rPr>
              <w:t>Ідентифікатор закупівлі</w:t>
            </w:r>
          </w:p>
        </w:tc>
        <w:tc>
          <w:tcPr>
            <w:tcW w:w="6799" w:type="dxa"/>
          </w:tcPr>
          <w:p w:rsidR="00A962BA" w:rsidRPr="00975DFE" w:rsidRDefault="00A962BA" w:rsidP="00975DFE">
            <w:pPr>
              <w:spacing w:after="0" w:line="240" w:lineRule="auto"/>
              <w:jc w:val="both"/>
              <w:rPr>
                <w:rFonts w:ascii="Times New Roman" w:hAnsi="Times New Roman"/>
                <w:color w:val="FF0000"/>
                <w:sz w:val="24"/>
                <w:szCs w:val="24"/>
                <w:lang w:val="uk-UA"/>
              </w:rPr>
            </w:pPr>
            <w:r w:rsidRPr="00975DFE">
              <w:rPr>
                <w:rFonts w:ascii="Times New Roman" w:hAnsi="Times New Roman"/>
                <w:color w:val="333333"/>
                <w:sz w:val="24"/>
                <w:szCs w:val="24"/>
                <w:shd w:val="clear" w:color="auto" w:fill="FFFFFF"/>
              </w:rPr>
              <w:t>UA-2025-02-20-002439-a</w:t>
            </w:r>
          </w:p>
        </w:tc>
      </w:tr>
      <w:tr w:rsidR="00A962BA" w:rsidRPr="00975DFE" w:rsidTr="00975DFE">
        <w:tc>
          <w:tcPr>
            <w:tcW w:w="2830" w:type="dxa"/>
          </w:tcPr>
          <w:p w:rsidR="00A962BA" w:rsidRPr="00975DFE" w:rsidRDefault="00A962BA" w:rsidP="00975DFE">
            <w:pPr>
              <w:spacing w:after="0" w:line="240" w:lineRule="auto"/>
              <w:jc w:val="both"/>
              <w:rPr>
                <w:rFonts w:ascii="Times New Roman" w:hAnsi="Times New Roman"/>
                <w:b/>
                <w:bCs/>
                <w:sz w:val="24"/>
                <w:szCs w:val="24"/>
                <w:lang w:val="uk-UA"/>
              </w:rPr>
            </w:pPr>
            <w:r w:rsidRPr="00975DFE">
              <w:rPr>
                <w:rFonts w:ascii="Times New Roman" w:hAnsi="Times New Roman"/>
                <w:b/>
                <w:bCs/>
                <w:sz w:val="24"/>
                <w:szCs w:val="24"/>
                <w:lang w:val="uk-UA"/>
              </w:rPr>
              <w:t>Назва предмета закупівлі</w:t>
            </w:r>
          </w:p>
        </w:tc>
        <w:tc>
          <w:tcPr>
            <w:tcW w:w="6799" w:type="dxa"/>
          </w:tcPr>
          <w:p w:rsidR="00A962BA" w:rsidRPr="00535710" w:rsidRDefault="00A962BA" w:rsidP="00975DFE">
            <w:pPr>
              <w:spacing w:after="0" w:line="240" w:lineRule="auto"/>
              <w:rPr>
                <w:rFonts w:ascii="Times New Roman" w:hAnsi="Times New Roman"/>
                <w:sz w:val="24"/>
                <w:szCs w:val="24"/>
                <w:lang w:val="uk-UA"/>
              </w:rPr>
            </w:pPr>
            <w:r w:rsidRPr="00535710">
              <w:rPr>
                <w:rFonts w:ascii="Times New Roman" w:hAnsi="Times New Roman"/>
                <w:sz w:val="24"/>
                <w:szCs w:val="24"/>
                <w:lang w:val="uk-UA"/>
              </w:rPr>
              <w:t>роботи з технічного нагляду за виконанням будівельних робіт на</w:t>
            </w:r>
            <w:r w:rsidRPr="007C7FE6">
              <w:rPr>
                <w:sz w:val="28"/>
                <w:szCs w:val="28"/>
                <w:lang w:val="uk-UA"/>
              </w:rPr>
              <w:t xml:space="preserve"> </w:t>
            </w:r>
            <w:r w:rsidRPr="00535710">
              <w:rPr>
                <w:rFonts w:ascii="Times New Roman" w:hAnsi="Times New Roman"/>
                <w:sz w:val="24"/>
                <w:szCs w:val="24"/>
                <w:lang w:val="uk-UA"/>
              </w:rPr>
              <w:t>об’єкті</w:t>
            </w:r>
            <w:r>
              <w:rPr>
                <w:sz w:val="28"/>
                <w:szCs w:val="28"/>
                <w:lang w:val="uk-UA"/>
              </w:rPr>
              <w:t xml:space="preserve"> «</w:t>
            </w:r>
            <w:r w:rsidRPr="00535710">
              <w:rPr>
                <w:rFonts w:ascii="Times New Roman" w:hAnsi="Times New Roman"/>
                <w:sz w:val="24"/>
                <w:szCs w:val="24"/>
                <w:lang w:val="uk-UA"/>
              </w:rPr>
              <w:t xml:space="preserve">Будівництво нової лінії напірного каналізаційного колектора від ГКНС (вул. </w:t>
            </w:r>
            <w:r w:rsidRPr="00975DFE">
              <w:rPr>
                <w:rFonts w:ascii="Times New Roman" w:hAnsi="Times New Roman"/>
                <w:sz w:val="24"/>
                <w:szCs w:val="24"/>
              </w:rPr>
              <w:t>Івана Гонти,16) до КОС-1 – КОС-2 у місті Житомир». 2 черга (коригування)</w:t>
            </w:r>
            <w:r>
              <w:rPr>
                <w:rFonts w:ascii="Times New Roman" w:hAnsi="Times New Roman"/>
                <w:sz w:val="24"/>
                <w:szCs w:val="24"/>
                <w:lang w:val="uk-UA"/>
              </w:rPr>
              <w:t>»</w:t>
            </w:r>
          </w:p>
          <w:p w:rsidR="00A962BA" w:rsidRPr="00975DFE" w:rsidRDefault="00A962BA" w:rsidP="00975DFE">
            <w:pPr>
              <w:spacing w:after="0" w:line="240" w:lineRule="auto"/>
              <w:rPr>
                <w:rFonts w:ascii="Times New Roman" w:hAnsi="Times New Roman"/>
                <w:sz w:val="24"/>
                <w:szCs w:val="24"/>
              </w:rPr>
            </w:pPr>
            <w:r w:rsidRPr="00975DFE">
              <w:rPr>
                <w:rFonts w:ascii="Times New Roman" w:hAnsi="Times New Roman"/>
                <w:sz w:val="24"/>
                <w:szCs w:val="24"/>
              </w:rPr>
              <w:t xml:space="preserve">ДК 021:2015 код </w:t>
            </w:r>
            <w:r w:rsidRPr="00975DFE">
              <w:rPr>
                <w:rFonts w:ascii="Times New Roman" w:hAnsi="Times New Roman"/>
                <w:bCs/>
                <w:sz w:val="24"/>
                <w:szCs w:val="24"/>
              </w:rPr>
              <w:t>71240000-2</w:t>
            </w:r>
            <w:r w:rsidRPr="00975DFE">
              <w:rPr>
                <w:rFonts w:ascii="Times New Roman" w:hAnsi="Times New Roman"/>
                <w:sz w:val="24"/>
                <w:szCs w:val="24"/>
              </w:rPr>
              <w:t> - Архітектурні, інженерні та планувальні послуги</w:t>
            </w:r>
          </w:p>
          <w:p w:rsidR="00A962BA" w:rsidRPr="00975DFE" w:rsidRDefault="00A962BA" w:rsidP="00975DFE">
            <w:pPr>
              <w:spacing w:after="0" w:line="240" w:lineRule="auto"/>
              <w:rPr>
                <w:color w:val="333333"/>
                <w:lang w:val="uk-UA"/>
              </w:rPr>
            </w:pPr>
            <w:r w:rsidRPr="00975DFE">
              <w:rPr>
                <w:rFonts w:ascii="Times New Roman" w:hAnsi="Times New Roman"/>
                <w:sz w:val="24"/>
                <w:szCs w:val="24"/>
              </w:rPr>
              <w:t>(ДК 021:2015 код 71247000-1 – Нагляд за будівельними роботами)</w:t>
            </w:r>
          </w:p>
        </w:tc>
      </w:tr>
      <w:tr w:rsidR="00A962BA" w:rsidRPr="00975DFE" w:rsidTr="00975DFE">
        <w:tc>
          <w:tcPr>
            <w:tcW w:w="2830" w:type="dxa"/>
          </w:tcPr>
          <w:p w:rsidR="00A962BA" w:rsidRPr="00975DFE" w:rsidRDefault="00A962BA" w:rsidP="00975DFE">
            <w:pPr>
              <w:spacing w:after="0" w:line="240" w:lineRule="auto"/>
              <w:jc w:val="both"/>
              <w:rPr>
                <w:rFonts w:ascii="Times New Roman" w:hAnsi="Times New Roman"/>
                <w:b/>
                <w:bCs/>
                <w:sz w:val="24"/>
                <w:szCs w:val="24"/>
                <w:lang w:val="uk-UA"/>
              </w:rPr>
            </w:pPr>
            <w:r w:rsidRPr="00975DFE">
              <w:rPr>
                <w:rFonts w:ascii="Times New Roman" w:hAnsi="Times New Roman"/>
                <w:b/>
                <w:bCs/>
                <w:sz w:val="24"/>
                <w:szCs w:val="24"/>
                <w:lang w:val="uk-UA"/>
              </w:rPr>
              <w:t>Обґрунтування технічних та якісних характеристик предмета закупівлі</w:t>
            </w:r>
          </w:p>
        </w:tc>
        <w:tc>
          <w:tcPr>
            <w:tcW w:w="6799" w:type="dxa"/>
          </w:tcPr>
          <w:p w:rsidR="00A962BA" w:rsidRPr="00975DFE" w:rsidRDefault="00A962BA" w:rsidP="00975DFE">
            <w:pPr>
              <w:spacing w:after="0" w:line="240" w:lineRule="auto"/>
              <w:ind w:firstLine="289"/>
              <w:jc w:val="both"/>
              <w:rPr>
                <w:rFonts w:ascii="Times New Roman" w:hAnsi="Times New Roman"/>
                <w:sz w:val="24"/>
                <w:szCs w:val="24"/>
                <w:lang w:val="uk-UA"/>
              </w:rPr>
            </w:pPr>
            <w:r w:rsidRPr="00975DFE">
              <w:rPr>
                <w:rFonts w:ascii="Times New Roman" w:hAnsi="Times New Roman"/>
                <w:sz w:val="24"/>
                <w:szCs w:val="24"/>
                <w:lang w:val="uk-UA"/>
              </w:rPr>
              <w:t xml:space="preserve">Технічний нагляд повинні здійснювати сертифіковані фахівці, які мають право виконувати роботи (надавати послуги), та відомості про яких внесено до Єдиної державної електронної системи у вфері будівництва.      </w:t>
            </w:r>
          </w:p>
          <w:p w:rsidR="00A962BA" w:rsidRPr="00975DFE" w:rsidRDefault="00A962BA" w:rsidP="00975DFE">
            <w:pPr>
              <w:spacing w:after="0" w:line="240" w:lineRule="auto"/>
              <w:ind w:firstLine="289"/>
              <w:jc w:val="both"/>
              <w:rPr>
                <w:rFonts w:ascii="Times New Roman" w:hAnsi="Times New Roman"/>
                <w:sz w:val="24"/>
                <w:szCs w:val="24"/>
                <w:lang w:val="uk-UA"/>
              </w:rPr>
            </w:pPr>
            <w:r w:rsidRPr="00975DFE">
              <w:rPr>
                <w:rFonts w:ascii="Times New Roman" w:hAnsi="Times New Roman"/>
                <w:sz w:val="24"/>
                <w:szCs w:val="24"/>
                <w:lang w:val="uk-UA"/>
              </w:rPr>
              <w:t>При здійсненні технічного нагляду забезпечується виконання заходів з контролю за відповідністю обсягів і якості виконаних будівельно-монтажних робіт, конструкцій, виробів, матеріалів та обладнання проектним рішенням, вимогам державних стандартів, будівельних норм і правил, технічних умов, надання консультативної підтримки при реалізації проекту в обсягах.</w:t>
            </w:r>
          </w:p>
          <w:p w:rsidR="00A962BA" w:rsidRPr="00975DFE" w:rsidRDefault="00A962BA" w:rsidP="00975DFE">
            <w:pPr>
              <w:spacing w:after="0" w:line="240" w:lineRule="auto"/>
              <w:ind w:firstLine="289"/>
              <w:jc w:val="both"/>
              <w:rPr>
                <w:rFonts w:ascii="Times New Roman" w:hAnsi="Times New Roman"/>
                <w:sz w:val="24"/>
                <w:szCs w:val="24"/>
              </w:rPr>
            </w:pPr>
            <w:r w:rsidRPr="00975DFE">
              <w:rPr>
                <w:rFonts w:ascii="Times New Roman" w:hAnsi="Times New Roman"/>
                <w:sz w:val="24"/>
                <w:szCs w:val="24"/>
              </w:rPr>
              <w:t>Зокрема, обсяг Робіт з технічного нагляду за умовами даного ТЗ повинен містити, але не обмежуватися, наступне:</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проведення перевірки наявності документів, які підтверджують якісні та кількісні характеристики конструкцій, виробів, матеріалів та обладнання, що використовуються під час будівництва об’єкта, включаючи, серед іншого, технічні паспорти, сертифікати, документи, що відображають результати лабораторних випробувань тощо;</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проведення перевірки відповідності виконаних будівельних робіт, конструкцій, виробів, матеріалів та обладнання проектним рішенням, вимогам державних стандартів, будівельних норм і правил, технічних умов;</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проведення перевірки відповідності обсягів та якості виконаних будівельних робіт, накладних на будівельні матеріали і обладнання, що надаються підрядником до оплати, проектній документації;</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проведення перевірки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 (контролю), усунення ним дефектів та недоробок, виявлених під час прийомки окремих видів (етапів) робіт, конструктивних елементів тощо;</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ведення обліку обсягів прийнятих і оплачених будівельних робіт, а також робіт, виконаних з недоліками, та витрат, пов'язаних з усуненням підрядником дефектів та переробок;</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проведення разом з підрядником огляду результатів виконаних робіт, у тому числі прихованих і конструктивних елементів, забезпечення виконання вимог по забороні наступних робіт до оформлення акту огляду прихованих робіт;</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повідомлення підряднику про невідповідність виробів, матеріалів та обладнання вимогам нормативних документів;</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оформлення актів робіт, виконаних з недоліками;</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участі у проведенні:</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перевірки робочою комісією якості окремих конструкцій і вузлів, будівельних робіт усіх видів, відповідності змонтованого спецобладнання, устаткування і механізмів технічним умовам;</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перевірок органів державного нагляду (контролю) та архітектурно-будівельного контролю;</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контрольних обмірів, що проводяться, представлення для цього необхідних документів, а також самостійне проведення контрольних обмірів виконаних робіт;</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 xml:space="preserve">участі спільно з Замовником, підрядником та проектною організацією у: </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виробленні (перегляді) технічних рішень, організації встановленим порядком коригування та, за необхідності, перезатвердження проектної документації, не допускаючи при цьому необґрунтованого підвищення вартості будівельних робіт;</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розгляді пропозицій підрядників та/або Замовника по підвищенню якості, зниженню вартості і скороченню термінів виконуваних робіт;</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формуванні пакета документів, а також вчиненні всіх інших дій, необхідних для отримання Замовником погоджень та документів, що дають право на виконання будівельних робіт і підтверджують прийняття в експлуатацію закінченого будівництвом об’єкта;</w:t>
            </w:r>
          </w:p>
          <w:p w:rsidR="00A962BA" w:rsidRPr="00975DFE" w:rsidRDefault="00A962BA" w:rsidP="00975DFE">
            <w:pPr>
              <w:numPr>
                <w:ilvl w:val="0"/>
                <w:numId w:val="5"/>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виробничих нарадах з питань будівництва об’єкта;</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участь у веденні на об'єкті первинної виконавчої технічної документації, внесенні до неї змін у зв'язку з виявленням недоліків (дефектів) при виконанні робіт, відображення результатів технічного нагляду та інформації про виявлені порушення у ході виконання робіт  в загальному журналі робіт;</w:t>
            </w:r>
          </w:p>
          <w:p w:rsidR="00A962BA" w:rsidRPr="00975DFE" w:rsidRDefault="00A962BA" w:rsidP="00975DFE">
            <w:pPr>
              <w:numPr>
                <w:ilvl w:val="0"/>
                <w:numId w:val="6"/>
              </w:numPr>
              <w:spacing w:after="0" w:line="240" w:lineRule="auto"/>
              <w:ind w:left="0" w:firstLine="289"/>
              <w:jc w:val="both"/>
              <w:rPr>
                <w:rFonts w:ascii="Times New Roman" w:hAnsi="Times New Roman"/>
                <w:sz w:val="24"/>
                <w:szCs w:val="24"/>
              </w:rPr>
            </w:pPr>
            <w:r w:rsidRPr="00975DFE">
              <w:rPr>
                <w:rFonts w:ascii="Times New Roman" w:hAnsi="Times New Roman"/>
                <w:sz w:val="24"/>
                <w:szCs w:val="24"/>
              </w:rPr>
              <w:t>щомісячне інформування Замовника та Міністерства розвитку громад, територій та інфраструктури України за формою, визначеною у додатку до договору, про результати його виконання.</w:t>
            </w:r>
          </w:p>
          <w:p w:rsidR="00A962BA" w:rsidRPr="00975DFE" w:rsidRDefault="00A962BA" w:rsidP="00975DFE">
            <w:pPr>
              <w:numPr>
                <w:ilvl w:val="0"/>
                <w:numId w:val="6"/>
              </w:numPr>
              <w:spacing w:after="0" w:line="240" w:lineRule="auto"/>
              <w:ind w:left="0" w:firstLine="289"/>
              <w:jc w:val="both"/>
            </w:pPr>
            <w:r w:rsidRPr="00975DFE">
              <w:rPr>
                <w:rFonts w:ascii="Times New Roman" w:hAnsi="Times New Roman"/>
                <w:sz w:val="24"/>
                <w:szCs w:val="24"/>
              </w:rPr>
              <w:t>вжиття в межах повноважень, визначених законодавством України, заходів щодо усунення недоліків при будівництві об’єкта.</w:t>
            </w:r>
          </w:p>
          <w:p w:rsidR="00A962BA" w:rsidRPr="00975DFE" w:rsidRDefault="00A962BA" w:rsidP="00975DFE">
            <w:pPr>
              <w:keepLines/>
              <w:autoSpaceDE w:val="0"/>
              <w:autoSpaceDN w:val="0"/>
              <w:spacing w:after="0" w:line="240" w:lineRule="auto"/>
              <w:jc w:val="both"/>
              <w:rPr>
                <w:rFonts w:ascii="Times New Roman" w:hAnsi="Times New Roman"/>
                <w:sz w:val="24"/>
                <w:szCs w:val="24"/>
              </w:rPr>
            </w:pPr>
          </w:p>
          <w:p w:rsidR="00A962BA" w:rsidRPr="00975DFE" w:rsidRDefault="00A962BA" w:rsidP="00975DFE">
            <w:pPr>
              <w:keepLines/>
              <w:autoSpaceDE w:val="0"/>
              <w:autoSpaceDN w:val="0"/>
              <w:spacing w:after="0" w:line="240" w:lineRule="auto"/>
              <w:jc w:val="both"/>
              <w:rPr>
                <w:rFonts w:ascii="Times New Roman" w:hAnsi="Times New Roman"/>
                <w:sz w:val="24"/>
                <w:szCs w:val="24"/>
                <w:shd w:val="clear" w:color="auto" w:fill="FFFFFF"/>
                <w:lang w:val="uk-UA"/>
              </w:rPr>
            </w:pPr>
          </w:p>
          <w:p w:rsidR="00A962BA" w:rsidRPr="00975DFE" w:rsidRDefault="00A962BA" w:rsidP="00975DFE">
            <w:pPr>
              <w:keepLines/>
              <w:autoSpaceDE w:val="0"/>
              <w:autoSpaceDN w:val="0"/>
              <w:spacing w:after="0" w:line="240" w:lineRule="auto"/>
              <w:jc w:val="both"/>
              <w:rPr>
                <w:rFonts w:ascii="Times New Roman" w:hAnsi="Times New Roman"/>
                <w:sz w:val="24"/>
                <w:szCs w:val="24"/>
                <w:shd w:val="clear" w:color="auto" w:fill="FFFFFF"/>
                <w:lang w:val="uk-UA"/>
              </w:rPr>
            </w:pPr>
          </w:p>
          <w:p w:rsidR="00A962BA" w:rsidRPr="00975DFE" w:rsidRDefault="00A962BA" w:rsidP="00975DFE">
            <w:pPr>
              <w:keepLines/>
              <w:autoSpaceDE w:val="0"/>
              <w:autoSpaceDN w:val="0"/>
              <w:spacing w:after="0" w:line="240" w:lineRule="auto"/>
              <w:jc w:val="both"/>
              <w:rPr>
                <w:rFonts w:ascii="Times New Roman" w:hAnsi="Times New Roman"/>
                <w:sz w:val="24"/>
                <w:szCs w:val="24"/>
                <w:shd w:val="clear" w:color="auto" w:fill="FFFFFF"/>
                <w:lang w:val="uk-UA"/>
              </w:rPr>
            </w:pPr>
          </w:p>
          <w:p w:rsidR="00A962BA" w:rsidRPr="00975DFE" w:rsidRDefault="00A962BA" w:rsidP="00975DFE">
            <w:pPr>
              <w:keepLines/>
              <w:autoSpaceDE w:val="0"/>
              <w:autoSpaceDN w:val="0"/>
              <w:spacing w:after="0" w:line="240" w:lineRule="auto"/>
              <w:jc w:val="both"/>
              <w:rPr>
                <w:rFonts w:ascii="Times New Roman" w:hAnsi="Times New Roman"/>
                <w:sz w:val="24"/>
                <w:szCs w:val="24"/>
                <w:shd w:val="clear" w:color="auto" w:fill="FFFFFF"/>
                <w:lang w:val="uk-UA"/>
              </w:rPr>
            </w:pPr>
          </w:p>
        </w:tc>
      </w:tr>
      <w:tr w:rsidR="00A962BA" w:rsidRPr="00535710" w:rsidTr="00975DFE">
        <w:tc>
          <w:tcPr>
            <w:tcW w:w="2830" w:type="dxa"/>
          </w:tcPr>
          <w:p w:rsidR="00A962BA" w:rsidRPr="00975DFE" w:rsidRDefault="00A962BA" w:rsidP="00975DFE">
            <w:pPr>
              <w:spacing w:after="0" w:line="240" w:lineRule="auto"/>
              <w:jc w:val="both"/>
              <w:rPr>
                <w:rFonts w:ascii="Times New Roman" w:hAnsi="Times New Roman"/>
                <w:b/>
                <w:bCs/>
                <w:sz w:val="24"/>
                <w:szCs w:val="24"/>
                <w:lang w:val="uk-UA"/>
              </w:rPr>
            </w:pPr>
            <w:r w:rsidRPr="00975DFE">
              <w:rPr>
                <w:rFonts w:ascii="Times New Roman" w:hAnsi="Times New Roman"/>
                <w:b/>
                <w:bCs/>
                <w:sz w:val="24"/>
                <w:szCs w:val="24"/>
                <w:lang w:val="uk-UA"/>
              </w:rPr>
              <w:t>Розмір бюджетного призначення</w:t>
            </w:r>
          </w:p>
        </w:tc>
        <w:tc>
          <w:tcPr>
            <w:tcW w:w="6799" w:type="dxa"/>
          </w:tcPr>
          <w:p w:rsidR="00A962BA" w:rsidRPr="00975DFE" w:rsidRDefault="00A962BA" w:rsidP="00975DFE">
            <w:pPr>
              <w:autoSpaceDE w:val="0"/>
              <w:autoSpaceDN w:val="0"/>
              <w:adjustRightInd w:val="0"/>
              <w:spacing w:after="0" w:line="240" w:lineRule="auto"/>
              <w:jc w:val="both"/>
              <w:rPr>
                <w:rFonts w:ascii="Times New Roman" w:hAnsi="Times New Roman"/>
                <w:color w:val="000000"/>
                <w:sz w:val="24"/>
                <w:szCs w:val="24"/>
                <w:lang w:val="uk-UA"/>
              </w:rPr>
            </w:pPr>
            <w:r w:rsidRPr="00975DFE">
              <w:rPr>
                <w:rFonts w:ascii="Times New Roman" w:hAnsi="Times New Roman"/>
                <w:color w:val="000000"/>
                <w:sz w:val="24"/>
                <w:szCs w:val="24"/>
                <w:lang w:val="uk-UA"/>
              </w:rPr>
              <w:t>Орієнтовний  обсяг фінансування предмета закупівлі  згідно «Програми з відновлення України</w:t>
            </w:r>
            <w:r w:rsidRPr="00975DFE">
              <w:rPr>
                <w:rFonts w:ascii="Times New Roman" w:hAnsi="Times New Roman"/>
                <w:sz w:val="24"/>
                <w:szCs w:val="24"/>
                <w:lang w:val="uk-UA"/>
              </w:rPr>
              <w:t xml:space="preserve">» становить – </w:t>
            </w:r>
            <w:r w:rsidRPr="00975DFE">
              <w:rPr>
                <w:rFonts w:ascii="Times New Roman" w:hAnsi="Times New Roman"/>
                <w:b/>
                <w:sz w:val="24"/>
                <w:szCs w:val="24"/>
                <w:lang w:val="uk-UA"/>
              </w:rPr>
              <w:t>2</w:t>
            </w:r>
            <w:r w:rsidRPr="00975DFE">
              <w:rPr>
                <w:rFonts w:ascii="Times New Roman" w:hAnsi="Times New Roman"/>
                <w:b/>
                <w:sz w:val="24"/>
                <w:szCs w:val="24"/>
              </w:rPr>
              <w:t> </w:t>
            </w:r>
            <w:r w:rsidRPr="00975DFE">
              <w:rPr>
                <w:rFonts w:ascii="Times New Roman" w:hAnsi="Times New Roman"/>
                <w:b/>
                <w:sz w:val="24"/>
                <w:szCs w:val="24"/>
                <w:lang w:val="uk-UA"/>
              </w:rPr>
              <w:t>357 392  грн. 80 коп</w:t>
            </w:r>
            <w:r w:rsidRPr="00975DFE">
              <w:rPr>
                <w:rFonts w:ascii="Times New Roman" w:hAnsi="Times New Roman"/>
                <w:sz w:val="24"/>
                <w:szCs w:val="24"/>
                <w:lang w:val="uk-UA"/>
              </w:rPr>
              <w:t xml:space="preserve"> (два мільйони триста п’ятдесят сім тисяч триста дев’яносто дві грн. 80коп ).</w:t>
            </w:r>
            <w:r w:rsidRPr="00975DFE">
              <w:rPr>
                <w:rFonts w:ascii="Times New Roman" w:hAnsi="Times New Roman"/>
                <w:color w:val="000000"/>
                <w:sz w:val="24"/>
                <w:szCs w:val="24"/>
                <w:lang w:val="uk-UA"/>
              </w:rPr>
              <w:t xml:space="preserve"> </w:t>
            </w:r>
          </w:p>
        </w:tc>
      </w:tr>
      <w:tr w:rsidR="00A962BA" w:rsidRPr="00975DFE" w:rsidTr="00975DFE">
        <w:tc>
          <w:tcPr>
            <w:tcW w:w="2830" w:type="dxa"/>
          </w:tcPr>
          <w:p w:rsidR="00A962BA" w:rsidRPr="00975DFE" w:rsidRDefault="00A962BA" w:rsidP="00975DFE">
            <w:pPr>
              <w:spacing w:after="0" w:line="240" w:lineRule="auto"/>
              <w:jc w:val="both"/>
              <w:rPr>
                <w:rFonts w:ascii="Times New Roman" w:hAnsi="Times New Roman"/>
                <w:b/>
                <w:bCs/>
                <w:sz w:val="24"/>
                <w:szCs w:val="24"/>
                <w:lang w:val="uk-UA"/>
              </w:rPr>
            </w:pPr>
            <w:r w:rsidRPr="00975DFE">
              <w:rPr>
                <w:rFonts w:ascii="Times New Roman" w:hAnsi="Times New Roman"/>
                <w:b/>
                <w:bCs/>
                <w:sz w:val="24"/>
                <w:szCs w:val="24"/>
                <w:lang w:val="uk-UA"/>
              </w:rPr>
              <w:t>Обґрунтування очікуваної вартості предмета закупівлі</w:t>
            </w:r>
          </w:p>
        </w:tc>
        <w:tc>
          <w:tcPr>
            <w:tcW w:w="6799" w:type="dxa"/>
          </w:tcPr>
          <w:p w:rsidR="00A962BA" w:rsidRPr="00975DFE" w:rsidRDefault="00A962BA" w:rsidP="00975DFE">
            <w:pPr>
              <w:pStyle w:val="Default"/>
              <w:jc w:val="both"/>
            </w:pPr>
            <w:r w:rsidRPr="00975DFE">
              <w:t xml:space="preserve">     Відповідно до п. 4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очікувана вартість робіт з будівництва, капітального ремонту та реконструкції визначається з урахуванням кошторисних норм України «Настанова з визначення вартості будівництва» (далі – КНУ «Настанова з визначення вартості будівництва»), прийнятого наказом Міністерства розвитку громад та територій України від 01.11.2021 № 281.</w:t>
            </w:r>
          </w:p>
          <w:p w:rsidR="00A962BA" w:rsidRPr="00535710" w:rsidRDefault="00A962BA" w:rsidP="00975DFE">
            <w:pPr>
              <w:spacing w:after="0" w:line="240" w:lineRule="auto"/>
              <w:rPr>
                <w:rFonts w:ascii="Times New Roman" w:hAnsi="Times New Roman"/>
                <w:sz w:val="24"/>
                <w:szCs w:val="24"/>
                <w:lang w:val="uk-UA"/>
              </w:rPr>
            </w:pPr>
            <w:r w:rsidRPr="00975DFE">
              <w:rPr>
                <w:rFonts w:ascii="Times New Roman" w:hAnsi="Times New Roman"/>
                <w:sz w:val="24"/>
                <w:szCs w:val="24"/>
                <w:lang w:val="uk-UA"/>
              </w:rPr>
              <w:t xml:space="preserve">Очікувана вартість предмета закупівлі: </w:t>
            </w:r>
            <w:r w:rsidRPr="00535710">
              <w:rPr>
                <w:rFonts w:ascii="Times New Roman" w:hAnsi="Times New Roman"/>
                <w:sz w:val="24"/>
                <w:szCs w:val="24"/>
                <w:lang w:val="uk-UA"/>
              </w:rPr>
              <w:t>роботи з технічного нагляду за виконанням будівельних робіт на</w:t>
            </w:r>
            <w:r w:rsidRPr="007C7FE6">
              <w:rPr>
                <w:sz w:val="28"/>
                <w:szCs w:val="28"/>
                <w:lang w:val="uk-UA"/>
              </w:rPr>
              <w:t xml:space="preserve"> </w:t>
            </w:r>
            <w:r w:rsidRPr="00535710">
              <w:rPr>
                <w:rFonts w:ascii="Times New Roman" w:hAnsi="Times New Roman"/>
                <w:sz w:val="24"/>
                <w:szCs w:val="24"/>
                <w:lang w:val="uk-UA"/>
              </w:rPr>
              <w:t>об’єкті</w:t>
            </w:r>
            <w:r>
              <w:rPr>
                <w:sz w:val="28"/>
                <w:szCs w:val="28"/>
                <w:lang w:val="uk-UA"/>
              </w:rPr>
              <w:t xml:space="preserve"> </w:t>
            </w:r>
            <w:r>
              <w:rPr>
                <w:rFonts w:ascii="Times New Roman" w:hAnsi="Times New Roman"/>
                <w:sz w:val="24"/>
                <w:szCs w:val="24"/>
                <w:lang w:val="uk-UA"/>
              </w:rPr>
              <w:t>«</w:t>
            </w:r>
            <w:r w:rsidRPr="00535710">
              <w:rPr>
                <w:rFonts w:ascii="Times New Roman" w:hAnsi="Times New Roman"/>
                <w:sz w:val="24"/>
                <w:szCs w:val="24"/>
                <w:lang w:val="uk-UA"/>
              </w:rPr>
              <w:t xml:space="preserve">Будівництво нової лінії напірного каналізаційного колектора від ГКНС (вул. </w:t>
            </w:r>
            <w:r w:rsidRPr="00975DFE">
              <w:rPr>
                <w:rFonts w:ascii="Times New Roman" w:hAnsi="Times New Roman"/>
                <w:sz w:val="24"/>
                <w:szCs w:val="24"/>
              </w:rPr>
              <w:t>Івана Гонти,16) до КОС-1 – КОС-2 у місті Житомир». 2 черга (коригування)</w:t>
            </w:r>
            <w:r>
              <w:rPr>
                <w:rFonts w:ascii="Times New Roman" w:hAnsi="Times New Roman"/>
                <w:sz w:val="24"/>
                <w:szCs w:val="24"/>
                <w:lang w:val="uk-UA"/>
              </w:rPr>
              <w:t>»</w:t>
            </w:r>
          </w:p>
          <w:p w:rsidR="00A962BA" w:rsidRPr="00975DFE" w:rsidRDefault="00A962BA" w:rsidP="00975DFE">
            <w:pPr>
              <w:spacing w:after="0" w:line="240" w:lineRule="auto"/>
              <w:rPr>
                <w:rFonts w:ascii="Times New Roman" w:hAnsi="Times New Roman"/>
                <w:sz w:val="24"/>
                <w:szCs w:val="24"/>
              </w:rPr>
            </w:pPr>
            <w:r w:rsidRPr="00975DFE">
              <w:rPr>
                <w:rFonts w:ascii="Times New Roman" w:hAnsi="Times New Roman"/>
                <w:sz w:val="24"/>
                <w:szCs w:val="24"/>
              </w:rPr>
              <w:t xml:space="preserve">ДК 021:2015 код </w:t>
            </w:r>
            <w:r w:rsidRPr="00975DFE">
              <w:rPr>
                <w:rFonts w:ascii="Times New Roman" w:hAnsi="Times New Roman"/>
                <w:bCs/>
                <w:sz w:val="24"/>
                <w:szCs w:val="24"/>
              </w:rPr>
              <w:t>71240000-2</w:t>
            </w:r>
            <w:r w:rsidRPr="00975DFE">
              <w:rPr>
                <w:rFonts w:ascii="Times New Roman" w:hAnsi="Times New Roman"/>
                <w:sz w:val="24"/>
                <w:szCs w:val="24"/>
              </w:rPr>
              <w:t> - Архітектурні, інженерні та планувальні послуги</w:t>
            </w:r>
          </w:p>
          <w:p w:rsidR="00A962BA" w:rsidRPr="00975DFE" w:rsidRDefault="00A962BA" w:rsidP="00975DFE">
            <w:pPr>
              <w:keepLines/>
              <w:autoSpaceDE w:val="0"/>
              <w:autoSpaceDN w:val="0"/>
              <w:spacing w:after="0" w:line="240" w:lineRule="auto"/>
              <w:jc w:val="both"/>
              <w:rPr>
                <w:rFonts w:ascii="Times New Roman" w:hAnsi="Times New Roman"/>
                <w:color w:val="000000"/>
                <w:sz w:val="24"/>
                <w:szCs w:val="24"/>
                <w:lang w:val="uk-UA"/>
              </w:rPr>
            </w:pPr>
            <w:r w:rsidRPr="00975DFE">
              <w:rPr>
                <w:rFonts w:ascii="Times New Roman" w:hAnsi="Times New Roman"/>
                <w:sz w:val="24"/>
                <w:szCs w:val="24"/>
              </w:rPr>
              <w:t>(ДК 021:2015 код 71247000-1 – Нагляд за будівельними роботами)</w:t>
            </w:r>
            <w:r w:rsidRPr="00975DFE">
              <w:rPr>
                <w:rFonts w:ascii="Times New Roman" w:hAnsi="Times New Roman"/>
                <w:bCs/>
                <w:sz w:val="24"/>
                <w:szCs w:val="24"/>
                <w:lang w:val="uk-UA"/>
              </w:rPr>
              <w:t xml:space="preserve"> </w:t>
            </w:r>
            <w:r w:rsidRPr="00975DFE">
              <w:rPr>
                <w:rFonts w:ascii="Times New Roman" w:hAnsi="Times New Roman"/>
                <w:sz w:val="24"/>
                <w:szCs w:val="24"/>
                <w:lang w:val="uk-UA"/>
              </w:rPr>
              <w:t xml:space="preserve">розрахована на підставі зведеного кошторисного розрахунку (сума  по главах 1-9) та становить – </w:t>
            </w:r>
            <w:r w:rsidRPr="00975DFE">
              <w:rPr>
                <w:rFonts w:ascii="Times New Roman" w:hAnsi="Times New Roman"/>
                <w:b/>
                <w:sz w:val="24"/>
                <w:szCs w:val="24"/>
                <w:lang w:val="uk-UA"/>
              </w:rPr>
              <w:t>2</w:t>
            </w:r>
            <w:r w:rsidRPr="00975DFE">
              <w:rPr>
                <w:rFonts w:ascii="Times New Roman" w:hAnsi="Times New Roman"/>
                <w:b/>
                <w:sz w:val="24"/>
                <w:szCs w:val="24"/>
              </w:rPr>
              <w:t> </w:t>
            </w:r>
            <w:r w:rsidRPr="00975DFE">
              <w:rPr>
                <w:rFonts w:ascii="Times New Roman" w:hAnsi="Times New Roman"/>
                <w:b/>
                <w:sz w:val="24"/>
                <w:szCs w:val="24"/>
                <w:lang w:val="uk-UA"/>
              </w:rPr>
              <w:t>357 392  грн. 80 коп</w:t>
            </w:r>
            <w:r w:rsidRPr="00975DFE">
              <w:rPr>
                <w:rFonts w:ascii="Times New Roman" w:hAnsi="Times New Roman"/>
                <w:sz w:val="24"/>
                <w:szCs w:val="24"/>
                <w:lang w:val="uk-UA"/>
              </w:rPr>
              <w:t>, (з ПДВ).</w:t>
            </w:r>
          </w:p>
        </w:tc>
      </w:tr>
    </w:tbl>
    <w:p w:rsidR="00A962BA" w:rsidRDefault="00A962BA" w:rsidP="00A47E52">
      <w:pPr>
        <w:rPr>
          <w:sz w:val="28"/>
          <w:szCs w:val="28"/>
          <w:lang w:val="uk-UA"/>
        </w:rPr>
      </w:pPr>
    </w:p>
    <w:p w:rsidR="00A962BA" w:rsidRPr="00307C5A" w:rsidRDefault="00A962BA" w:rsidP="00307C5A">
      <w:pPr>
        <w:rPr>
          <w:rFonts w:ascii="Times New Roman" w:hAnsi="Times New Roman"/>
          <w:sz w:val="28"/>
          <w:szCs w:val="28"/>
          <w:lang w:val="uk-UA"/>
        </w:rPr>
      </w:pPr>
    </w:p>
    <w:sectPr w:rsidR="00A962BA" w:rsidRPr="00307C5A" w:rsidSect="001E28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Noto Sans Symbol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D9F"/>
    <w:multiLevelType w:val="multilevel"/>
    <w:tmpl w:val="CCFA20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F60233"/>
    <w:multiLevelType w:val="hybridMultilevel"/>
    <w:tmpl w:val="8B06D012"/>
    <w:lvl w:ilvl="0" w:tplc="2110AE0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3855A0"/>
    <w:multiLevelType w:val="multilevel"/>
    <w:tmpl w:val="51BC1188"/>
    <w:lvl w:ilvl="0">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4F4A7E1F"/>
    <w:multiLevelType w:val="hybridMultilevel"/>
    <w:tmpl w:val="D960E03E"/>
    <w:lvl w:ilvl="0" w:tplc="0232798E">
      <w:start w:val="3"/>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4">
    <w:nsid w:val="6BA60EEB"/>
    <w:multiLevelType w:val="hybridMultilevel"/>
    <w:tmpl w:val="7294F0B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6C5967F7"/>
    <w:multiLevelType w:val="hybridMultilevel"/>
    <w:tmpl w:val="A1AA86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CC7"/>
    <w:rsid w:val="000549D6"/>
    <w:rsid w:val="0006789D"/>
    <w:rsid w:val="00077D46"/>
    <w:rsid w:val="00081DFC"/>
    <w:rsid w:val="000A19DC"/>
    <w:rsid w:val="000A526C"/>
    <w:rsid w:val="000A6664"/>
    <w:rsid w:val="000C2F41"/>
    <w:rsid w:val="000C49E6"/>
    <w:rsid w:val="000C600A"/>
    <w:rsid w:val="000E5526"/>
    <w:rsid w:val="000F1099"/>
    <w:rsid w:val="000F6F45"/>
    <w:rsid w:val="000F79BD"/>
    <w:rsid w:val="0010127D"/>
    <w:rsid w:val="0011132D"/>
    <w:rsid w:val="001120B7"/>
    <w:rsid w:val="0016470D"/>
    <w:rsid w:val="00172272"/>
    <w:rsid w:val="00194F30"/>
    <w:rsid w:val="001B7949"/>
    <w:rsid w:val="001C23F8"/>
    <w:rsid w:val="001C6BC0"/>
    <w:rsid w:val="001E28DC"/>
    <w:rsid w:val="001E502E"/>
    <w:rsid w:val="001F1575"/>
    <w:rsid w:val="0020038D"/>
    <w:rsid w:val="00202196"/>
    <w:rsid w:val="00203054"/>
    <w:rsid w:val="002041D4"/>
    <w:rsid w:val="00206E70"/>
    <w:rsid w:val="0022078F"/>
    <w:rsid w:val="00271316"/>
    <w:rsid w:val="00285C19"/>
    <w:rsid w:val="00294B12"/>
    <w:rsid w:val="002A0C5E"/>
    <w:rsid w:val="002B13A4"/>
    <w:rsid w:val="002F1691"/>
    <w:rsid w:val="002F2769"/>
    <w:rsid w:val="00307C5A"/>
    <w:rsid w:val="003219B2"/>
    <w:rsid w:val="00327A1F"/>
    <w:rsid w:val="00337F9F"/>
    <w:rsid w:val="003500C2"/>
    <w:rsid w:val="00375F56"/>
    <w:rsid w:val="00380DD8"/>
    <w:rsid w:val="00385A7D"/>
    <w:rsid w:val="003C7308"/>
    <w:rsid w:val="003D6296"/>
    <w:rsid w:val="003F1B5B"/>
    <w:rsid w:val="00422853"/>
    <w:rsid w:val="0044336C"/>
    <w:rsid w:val="00493613"/>
    <w:rsid w:val="004A55CF"/>
    <w:rsid w:val="004C2EF4"/>
    <w:rsid w:val="004C4EB7"/>
    <w:rsid w:val="004D24B1"/>
    <w:rsid w:val="004E3A3C"/>
    <w:rsid w:val="005168C2"/>
    <w:rsid w:val="00532A9E"/>
    <w:rsid w:val="00535710"/>
    <w:rsid w:val="005449D1"/>
    <w:rsid w:val="0055370D"/>
    <w:rsid w:val="005743D2"/>
    <w:rsid w:val="00574EE9"/>
    <w:rsid w:val="00580EEA"/>
    <w:rsid w:val="005D2CC7"/>
    <w:rsid w:val="005E1A65"/>
    <w:rsid w:val="005F7E24"/>
    <w:rsid w:val="00601491"/>
    <w:rsid w:val="00644FBA"/>
    <w:rsid w:val="00645D1A"/>
    <w:rsid w:val="00654030"/>
    <w:rsid w:val="006754E1"/>
    <w:rsid w:val="0069208E"/>
    <w:rsid w:val="00694AAB"/>
    <w:rsid w:val="006A612B"/>
    <w:rsid w:val="006B0F95"/>
    <w:rsid w:val="006C13C9"/>
    <w:rsid w:val="006D30A9"/>
    <w:rsid w:val="006D761C"/>
    <w:rsid w:val="006E23DE"/>
    <w:rsid w:val="006F1D75"/>
    <w:rsid w:val="007066C9"/>
    <w:rsid w:val="007257C8"/>
    <w:rsid w:val="00726191"/>
    <w:rsid w:val="00744343"/>
    <w:rsid w:val="0077615B"/>
    <w:rsid w:val="00782001"/>
    <w:rsid w:val="0079255E"/>
    <w:rsid w:val="007B1414"/>
    <w:rsid w:val="007C7FE6"/>
    <w:rsid w:val="007D3C7F"/>
    <w:rsid w:val="007E4F54"/>
    <w:rsid w:val="00807D59"/>
    <w:rsid w:val="0081122F"/>
    <w:rsid w:val="00817192"/>
    <w:rsid w:val="00821EA8"/>
    <w:rsid w:val="00823FE5"/>
    <w:rsid w:val="00872566"/>
    <w:rsid w:val="008D77F7"/>
    <w:rsid w:val="00901346"/>
    <w:rsid w:val="00901B29"/>
    <w:rsid w:val="009237C4"/>
    <w:rsid w:val="0092765F"/>
    <w:rsid w:val="00927A5A"/>
    <w:rsid w:val="00936D59"/>
    <w:rsid w:val="00942ED5"/>
    <w:rsid w:val="00947FCF"/>
    <w:rsid w:val="00950FDA"/>
    <w:rsid w:val="00975DFE"/>
    <w:rsid w:val="009954D4"/>
    <w:rsid w:val="009B7574"/>
    <w:rsid w:val="009B7921"/>
    <w:rsid w:val="009F1F73"/>
    <w:rsid w:val="00A0696E"/>
    <w:rsid w:val="00A1577A"/>
    <w:rsid w:val="00A47E52"/>
    <w:rsid w:val="00A55786"/>
    <w:rsid w:val="00A736D0"/>
    <w:rsid w:val="00A803BF"/>
    <w:rsid w:val="00A8118D"/>
    <w:rsid w:val="00A84A82"/>
    <w:rsid w:val="00A934FE"/>
    <w:rsid w:val="00A962BA"/>
    <w:rsid w:val="00AD4CBC"/>
    <w:rsid w:val="00AD5D6E"/>
    <w:rsid w:val="00AF1501"/>
    <w:rsid w:val="00B05EB0"/>
    <w:rsid w:val="00B433E9"/>
    <w:rsid w:val="00B5660B"/>
    <w:rsid w:val="00B677DE"/>
    <w:rsid w:val="00B8425B"/>
    <w:rsid w:val="00B91481"/>
    <w:rsid w:val="00B93C61"/>
    <w:rsid w:val="00B93C66"/>
    <w:rsid w:val="00B964EF"/>
    <w:rsid w:val="00B97D22"/>
    <w:rsid w:val="00BA7D57"/>
    <w:rsid w:val="00BB23F9"/>
    <w:rsid w:val="00BD13B9"/>
    <w:rsid w:val="00C25763"/>
    <w:rsid w:val="00C347E5"/>
    <w:rsid w:val="00C74761"/>
    <w:rsid w:val="00C75954"/>
    <w:rsid w:val="00C9627C"/>
    <w:rsid w:val="00CC2E6E"/>
    <w:rsid w:val="00D349F0"/>
    <w:rsid w:val="00D416C9"/>
    <w:rsid w:val="00D45A6F"/>
    <w:rsid w:val="00D54789"/>
    <w:rsid w:val="00D71AB2"/>
    <w:rsid w:val="00DA7052"/>
    <w:rsid w:val="00DB44A8"/>
    <w:rsid w:val="00DC04D8"/>
    <w:rsid w:val="00DF15B3"/>
    <w:rsid w:val="00E00409"/>
    <w:rsid w:val="00E01AA1"/>
    <w:rsid w:val="00E26AA3"/>
    <w:rsid w:val="00E54207"/>
    <w:rsid w:val="00E54683"/>
    <w:rsid w:val="00E56D6D"/>
    <w:rsid w:val="00E60793"/>
    <w:rsid w:val="00E62C4B"/>
    <w:rsid w:val="00E85BD9"/>
    <w:rsid w:val="00E93DD2"/>
    <w:rsid w:val="00EB5167"/>
    <w:rsid w:val="00EF5B37"/>
    <w:rsid w:val="00F03384"/>
    <w:rsid w:val="00F1460F"/>
    <w:rsid w:val="00F1579A"/>
    <w:rsid w:val="00F22C14"/>
    <w:rsid w:val="00F42E71"/>
    <w:rsid w:val="00F555A4"/>
    <w:rsid w:val="00F61D20"/>
    <w:rsid w:val="00F74E1F"/>
    <w:rsid w:val="00F77C52"/>
    <w:rsid w:val="00FB527D"/>
    <w:rsid w:val="00FC26E5"/>
    <w:rsid w:val="00FD1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DC"/>
    <w:pPr>
      <w:spacing w:after="160" w:line="259" w:lineRule="auto"/>
    </w:pPr>
    <w:rPr>
      <w:lang w:eastAsia="en-US"/>
    </w:rPr>
  </w:style>
  <w:style w:type="paragraph" w:styleId="Heading1">
    <w:name w:val="heading 1"/>
    <w:basedOn w:val="Normal"/>
    <w:link w:val="Heading1Char"/>
    <w:uiPriority w:val="99"/>
    <w:qFormat/>
    <w:rsid w:val="005168C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B93C61"/>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8C2"/>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B93C61"/>
    <w:rPr>
      <w:rFonts w:ascii="Calibri Light" w:hAnsi="Calibri Light" w:cs="Times New Roman"/>
      <w:color w:val="2F5496"/>
      <w:sz w:val="26"/>
      <w:szCs w:val="26"/>
    </w:rPr>
  </w:style>
  <w:style w:type="paragraph" w:styleId="ListParagraph">
    <w:name w:val="List Paragraph"/>
    <w:basedOn w:val="Normal"/>
    <w:uiPriority w:val="99"/>
    <w:qFormat/>
    <w:rsid w:val="005D2CC7"/>
    <w:pPr>
      <w:ind w:left="720"/>
      <w:contextualSpacing/>
    </w:pPr>
  </w:style>
  <w:style w:type="table" w:styleId="TableGrid">
    <w:name w:val="Table Grid"/>
    <w:basedOn w:val="TableNormal"/>
    <w:uiPriority w:val="99"/>
    <w:rsid w:val="006540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1 Знак Знак Знак Знак Знак Знак Знак Знак Знак Знак Знак Знак Знак Знак Знак Знак"/>
    <w:basedOn w:val="Normal"/>
    <w:uiPriority w:val="99"/>
    <w:rsid w:val="005168C2"/>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D54789"/>
    <w:pPr>
      <w:autoSpaceDE w:val="0"/>
      <w:autoSpaceDN w:val="0"/>
      <w:adjustRightInd w:val="0"/>
    </w:pPr>
    <w:rPr>
      <w:rFonts w:ascii="Times New Roman" w:hAnsi="Times New Roman"/>
      <w:color w:val="000000"/>
      <w:sz w:val="24"/>
      <w:szCs w:val="24"/>
      <w:lang w:val="uk-UA" w:eastAsia="en-US"/>
    </w:rPr>
  </w:style>
  <w:style w:type="character" w:styleId="Hyperlink">
    <w:name w:val="Hyperlink"/>
    <w:basedOn w:val="DefaultParagraphFont"/>
    <w:uiPriority w:val="99"/>
    <w:rsid w:val="003D6296"/>
    <w:rPr>
      <w:rFonts w:cs="Times New Roman"/>
      <w:color w:val="0563C1"/>
      <w:u w:val="single"/>
    </w:rPr>
  </w:style>
  <w:style w:type="character" w:customStyle="1" w:styleId="h-hidden">
    <w:name w:val="h-hidden"/>
    <w:basedOn w:val="DefaultParagraphFont"/>
    <w:uiPriority w:val="99"/>
    <w:rsid w:val="00DF15B3"/>
    <w:rPr>
      <w:rFonts w:cs="Times New Roman"/>
    </w:rPr>
  </w:style>
</w:styles>
</file>

<file path=word/webSettings.xml><?xml version="1.0" encoding="utf-8"?>
<w:webSettings xmlns:r="http://schemas.openxmlformats.org/officeDocument/2006/relationships" xmlns:w="http://schemas.openxmlformats.org/wordprocessingml/2006/main">
  <w:divs>
    <w:div w:id="75056776">
      <w:marLeft w:val="0"/>
      <w:marRight w:val="0"/>
      <w:marTop w:val="0"/>
      <w:marBottom w:val="0"/>
      <w:divBdr>
        <w:top w:val="none" w:sz="0" w:space="0" w:color="auto"/>
        <w:left w:val="none" w:sz="0" w:space="0" w:color="auto"/>
        <w:bottom w:val="none" w:sz="0" w:space="0" w:color="auto"/>
        <w:right w:val="none" w:sz="0" w:space="0" w:color="auto"/>
      </w:divBdr>
    </w:div>
    <w:div w:id="75056777">
      <w:marLeft w:val="0"/>
      <w:marRight w:val="0"/>
      <w:marTop w:val="0"/>
      <w:marBottom w:val="0"/>
      <w:divBdr>
        <w:top w:val="none" w:sz="0" w:space="0" w:color="auto"/>
        <w:left w:val="none" w:sz="0" w:space="0" w:color="auto"/>
        <w:bottom w:val="none" w:sz="0" w:space="0" w:color="auto"/>
        <w:right w:val="none" w:sz="0" w:space="0" w:color="auto"/>
      </w:divBdr>
    </w:div>
    <w:div w:id="75056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3</Pages>
  <Words>898</Words>
  <Characters>5122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 Lytvyn</dc:creator>
  <cp:keywords/>
  <dc:description/>
  <cp:lastModifiedBy>Admin</cp:lastModifiedBy>
  <cp:revision>23</cp:revision>
  <cp:lastPrinted>2024-01-22T14:42:00Z</cp:lastPrinted>
  <dcterms:created xsi:type="dcterms:W3CDTF">2023-12-01T13:19:00Z</dcterms:created>
  <dcterms:modified xsi:type="dcterms:W3CDTF">2025-02-20T14:27:00Z</dcterms:modified>
</cp:coreProperties>
</file>