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53" w:rsidRPr="00B45353" w:rsidRDefault="00B45353" w:rsidP="00D3267B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B4535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5353" w:rsidRPr="00B45353" w:rsidRDefault="00B45353" w:rsidP="00B45353">
      <w:pPr>
        <w:spacing w:line="240" w:lineRule="atLeast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328"/>
        <w:gridCol w:w="5664"/>
      </w:tblGrid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45353">
              <w:rPr>
                <w:sz w:val="28"/>
                <w:szCs w:val="28"/>
                <w:lang w:val="uk-UA"/>
              </w:rPr>
              <w:t>; майдан                 ім. С. П. Корольова, 4/2, м. Житомир, 10014;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код  за ЄДРПОУ- 04053625; 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hd w:val="clear" w:color="auto" w:fill="FFFFFF"/>
              <w:textAlignment w:val="baseline"/>
              <w:rPr>
                <w:color w:val="333333"/>
                <w:sz w:val="28"/>
                <w:szCs w:val="28"/>
                <w:lang w:val="uk-UA" w:eastAsia="uk-UA"/>
              </w:rPr>
            </w:pP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та банери </w:t>
            </w:r>
            <w:r w:rsidRPr="00B45353">
              <w:rPr>
                <w:color w:val="333333"/>
                <w:sz w:val="28"/>
                <w:szCs w:val="28"/>
                <w:lang w:val="uk-UA"/>
              </w:rPr>
              <w:t>згідно ДК 021:2015 22460000-2 Рекламні матеріали,каталоги товарів та посібники</w:t>
            </w:r>
            <w:r w:rsidR="001F45CE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Ідентифікатор закупівлі: </w:t>
            </w:r>
          </w:p>
        </w:tc>
        <w:tc>
          <w:tcPr>
            <w:tcW w:w="5664" w:type="dxa"/>
            <w:shd w:val="clear" w:color="auto" w:fill="auto"/>
          </w:tcPr>
          <w:p w:rsidR="00B45353" w:rsidRPr="00B45353" w:rsidRDefault="001F45CE" w:rsidP="00050FCC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UA-2026-</w:t>
            </w:r>
            <w:r w:rsidR="00050FCC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03</w:t>
            </w: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050FCC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12</w:t>
            </w: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050FCC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012950</w:t>
            </w:r>
            <w:bookmarkStart w:id="0" w:name="_GoBack"/>
            <w:bookmarkEnd w:id="0"/>
            <w:r w:rsidR="00B45353" w:rsidRPr="00B45353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-a</w:t>
            </w:r>
            <w:r w:rsidR="00B45353" w:rsidRPr="00B45353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 </w:t>
            </w:r>
          </w:p>
        </w:tc>
      </w:tr>
      <w:tr w:rsidR="00B45353" w:rsidRPr="00050FCC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Якісні та технічні характеристики заявленої кількості та якості рекламних матеріалів визначені з урахуванням прогнозованих потреб у забезпеченні банерами,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постерами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з друком та розміщенням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r w:rsidRPr="00B45353">
              <w:rPr>
                <w:sz w:val="28"/>
                <w:szCs w:val="28"/>
                <w:lang w:val="uk-UA" w:eastAsia="uk-UA"/>
              </w:rPr>
              <w:t xml:space="preserve"> роки» </w:t>
            </w:r>
            <w:r w:rsidRPr="00B45353">
              <w:rPr>
                <w:sz w:val="28"/>
                <w:szCs w:val="28"/>
                <w:lang w:val="uk-UA"/>
              </w:rPr>
              <w:t>та аналізу використання аналогічної продукції у попередні періоди. Враховуючи зазначене, замовник прийняв рішення стосовно застосування таких технічних та якісних характеристик предмета закупівлі: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color w:val="00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1.</w:t>
            </w:r>
            <w:r w:rsidR="00C32B4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3000* 6000 мм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друк, кольоровість 4+0, друк та розміщення, у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lastRenderedPageBreak/>
              <w:t>кількості 100 штук</w:t>
            </w:r>
          </w:p>
          <w:p w:rsidR="00B45353" w:rsidRPr="00B45353" w:rsidRDefault="00B45353" w:rsidP="00507C17">
            <w:pPr>
              <w:spacing w:line="240" w:lineRule="atLeast"/>
              <w:ind w:left="360"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2.</w:t>
            </w:r>
            <w:r w:rsidRPr="00B45353">
              <w:rPr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1200*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1800 мм,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 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 кольоровість 4+0, друк та розміщення, у кількості </w:t>
            </w:r>
            <w:r w:rsidR="00DB2DFE">
              <w:rPr>
                <w:color w:val="000000"/>
                <w:sz w:val="28"/>
                <w:szCs w:val="28"/>
                <w:lang w:val="uk-UA"/>
              </w:rPr>
              <w:t>100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штук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3. Банер, розмір 1200*  1800 мм, (матеріал – банер) 440 г/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інтер”єрний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друк, кольоровість 4+0, розміщення, люверси через 25 см у кількості 20 штук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color w:val="FF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Розмір бюджетного призначення визначено відповідно розрахунку до кошторису по виконавчому комітету Житомирської міської р</w:t>
            </w:r>
            <w:r w:rsidR="001F45CE">
              <w:rPr>
                <w:sz w:val="28"/>
                <w:szCs w:val="28"/>
                <w:lang w:val="uk-UA"/>
              </w:rPr>
              <w:t>ади Житомирської області на 2026</w:t>
            </w:r>
            <w:r w:rsidRPr="00B45353">
              <w:rPr>
                <w:sz w:val="28"/>
                <w:szCs w:val="28"/>
                <w:lang w:val="uk-UA"/>
              </w:rPr>
              <w:t xml:space="preserve"> рік  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r w:rsidRPr="00B45353">
              <w:rPr>
                <w:sz w:val="28"/>
                <w:szCs w:val="28"/>
                <w:lang w:val="uk-UA" w:eastAsia="uk-UA"/>
              </w:rPr>
              <w:t xml:space="preserve"> роки»</w:t>
            </w:r>
          </w:p>
        </w:tc>
      </w:tr>
      <w:tr w:rsidR="00B45353" w:rsidRPr="00050FCC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Очікувана вартість предмета закупівлі.</w:t>
            </w:r>
          </w:p>
        </w:tc>
        <w:tc>
          <w:tcPr>
            <w:tcW w:w="5664" w:type="dxa"/>
          </w:tcPr>
          <w:p w:rsidR="00B45353" w:rsidRPr="00B45353" w:rsidRDefault="001D11A2" w:rsidP="00AB69A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1D11A2">
              <w:rPr>
                <w:sz w:val="28"/>
                <w:szCs w:val="28"/>
                <w:lang w:val="uk-UA"/>
              </w:rPr>
              <w:t>2</w:t>
            </w:r>
            <w:r w:rsidR="00AB69A3">
              <w:rPr>
                <w:sz w:val="28"/>
                <w:szCs w:val="28"/>
                <w:lang w:val="uk-UA"/>
              </w:rPr>
              <w:t>5</w:t>
            </w:r>
            <w:r w:rsidRPr="001D11A2">
              <w:rPr>
                <w:sz w:val="28"/>
                <w:szCs w:val="28"/>
                <w:lang w:val="uk-UA"/>
              </w:rPr>
              <w:t>0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 000,00грн.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(Двісті  </w:t>
            </w:r>
            <w:r w:rsidR="00AB69A3">
              <w:rPr>
                <w:sz w:val="28"/>
                <w:szCs w:val="28"/>
                <w:lang w:val="uk-UA"/>
              </w:rPr>
              <w:t>п’ятдесят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>тисяч   гривень 00 коп.) з ПДВ.</w:t>
            </w:r>
          </w:p>
        </w:tc>
      </w:tr>
      <w:tr w:rsidR="00B45353" w:rsidRPr="00050FCC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45353">
              <w:rPr>
                <w:color w:val="000000" w:themeColor="text1"/>
                <w:sz w:val="28"/>
                <w:szCs w:val="28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(порівняння ринкових цін отриманих з цінових пропозицій та цін на аналогічні товари, закуплені у попередні періоди)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III наказу Міністерства розвитку економіки, торгівлі та сільського господарства України від 18.02.2020 № 275 із змінами.</w:t>
            </w:r>
          </w:p>
        </w:tc>
      </w:tr>
      <w:tr w:rsidR="00B45353" w:rsidRPr="00050FCC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Процедура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</w:t>
            </w:r>
            <w:r w:rsidRPr="00B45353">
              <w:rPr>
                <w:sz w:val="28"/>
                <w:szCs w:val="28"/>
                <w:lang w:val="uk-UA"/>
              </w:rPr>
              <w:lastRenderedPageBreak/>
              <w:t xml:space="preserve">або скасування».  </w:t>
            </w:r>
          </w:p>
        </w:tc>
      </w:tr>
    </w:tbl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3F219C" w:rsidRPr="00B45353" w:rsidRDefault="003F219C">
      <w:pPr>
        <w:rPr>
          <w:lang w:val="uk-UA"/>
        </w:rPr>
      </w:pPr>
    </w:p>
    <w:sectPr w:rsidR="003F219C" w:rsidRPr="00B45353" w:rsidSect="00E16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55D"/>
    <w:rsid w:val="00050FCC"/>
    <w:rsid w:val="000A14F8"/>
    <w:rsid w:val="001360F2"/>
    <w:rsid w:val="001D11A2"/>
    <w:rsid w:val="001F45CE"/>
    <w:rsid w:val="0039755D"/>
    <w:rsid w:val="003F219C"/>
    <w:rsid w:val="00AB69A3"/>
    <w:rsid w:val="00B45353"/>
    <w:rsid w:val="00B97BD2"/>
    <w:rsid w:val="00C32B4F"/>
    <w:rsid w:val="00D3267B"/>
    <w:rsid w:val="00DB2DFE"/>
    <w:rsid w:val="00E160C9"/>
    <w:rsid w:val="00E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E597"/>
  <w15:docId w15:val="{C47329E3-346B-48C6-AEA6-C7667C7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select-all">
    <w:name w:val="h-select-all"/>
    <w:basedOn w:val="a0"/>
    <w:rsid w:val="00B45353"/>
  </w:style>
  <w:style w:type="paragraph" w:styleId="a4">
    <w:name w:val="List Paragraph"/>
    <w:basedOn w:val="a"/>
    <w:uiPriority w:val="34"/>
    <w:qFormat/>
    <w:rsid w:val="00C3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2026-02-20T08:57:00Z</cp:lastPrinted>
  <dcterms:created xsi:type="dcterms:W3CDTF">2026-02-20T09:01:00Z</dcterms:created>
  <dcterms:modified xsi:type="dcterms:W3CDTF">2026-03-20T07:57:00Z</dcterms:modified>
</cp:coreProperties>
</file>