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C4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>Додаток</w:t>
      </w:r>
    </w:p>
    <w:p w:rsidR="009656C4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 xml:space="preserve">до рішення </w:t>
      </w:r>
      <w:r w:rsidR="003C264A">
        <w:rPr>
          <w:sz w:val="28"/>
          <w:lang w:val="uk-UA"/>
        </w:rPr>
        <w:t>міськ</w:t>
      </w:r>
      <w:r w:rsidR="0045284A">
        <w:rPr>
          <w:sz w:val="28"/>
          <w:lang w:val="uk-UA"/>
        </w:rPr>
        <w:t>ої ради</w:t>
      </w:r>
    </w:p>
    <w:p w:rsidR="00F13C4D" w:rsidRPr="008C348C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 xml:space="preserve">_________ № ______    </w:t>
      </w:r>
    </w:p>
    <w:p w:rsidR="00903860" w:rsidRPr="008C348C" w:rsidRDefault="00903860">
      <w:pPr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F13C4D" w:rsidRDefault="00F13C4D" w:rsidP="00F13C4D">
      <w:pPr>
        <w:jc w:val="center"/>
        <w:rPr>
          <w:sz w:val="48"/>
          <w:szCs w:val="48"/>
          <w:lang w:val="uk-UA"/>
        </w:rPr>
      </w:pPr>
    </w:p>
    <w:p w:rsidR="008718AF" w:rsidRPr="008C348C" w:rsidRDefault="008718AF" w:rsidP="00F13C4D">
      <w:pPr>
        <w:jc w:val="center"/>
        <w:rPr>
          <w:sz w:val="48"/>
          <w:szCs w:val="48"/>
          <w:lang w:val="uk-UA"/>
        </w:rPr>
      </w:pP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Міська цільова п</w:t>
      </w:r>
      <w:r w:rsidRPr="008C348C">
        <w:rPr>
          <w:sz w:val="48"/>
          <w:szCs w:val="48"/>
          <w:lang w:val="uk-UA"/>
        </w:rPr>
        <w:t>рограма</w:t>
      </w:r>
    </w:p>
    <w:p w:rsidR="001C2F65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«</w:t>
      </w:r>
      <w:r w:rsidR="00DE5711" w:rsidRPr="00DE5711">
        <w:rPr>
          <w:sz w:val="48"/>
          <w:szCs w:val="48"/>
          <w:lang w:val="uk-UA"/>
        </w:rPr>
        <w:t xml:space="preserve">Ефективна влада. Конкурентне місто» </w:t>
      </w:r>
    </w:p>
    <w:p w:rsidR="003A12E1" w:rsidRDefault="003A12E1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 xml:space="preserve">Житомирської міської об’єднаної </w:t>
      </w:r>
    </w:p>
    <w:p w:rsidR="00E63D0D" w:rsidRPr="008C348C" w:rsidRDefault="003A12E1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 xml:space="preserve">територіальної громади </w:t>
      </w:r>
      <w:r w:rsidR="00DE5711" w:rsidRPr="00DE5711">
        <w:rPr>
          <w:sz w:val="48"/>
          <w:szCs w:val="48"/>
          <w:lang w:val="uk-UA"/>
        </w:rPr>
        <w:t>на 2018-202</w:t>
      </w:r>
      <w:r w:rsidR="003776C3">
        <w:rPr>
          <w:sz w:val="48"/>
          <w:szCs w:val="48"/>
          <w:lang w:val="uk-UA"/>
        </w:rPr>
        <w:t>0</w:t>
      </w:r>
      <w:r w:rsidR="00DE5711" w:rsidRPr="00DE5711">
        <w:rPr>
          <w:sz w:val="48"/>
          <w:szCs w:val="48"/>
          <w:lang w:val="uk-UA"/>
        </w:rPr>
        <w:t xml:space="preserve"> роки</w:t>
      </w:r>
      <w:r w:rsidR="00E63D0D">
        <w:rPr>
          <w:sz w:val="48"/>
          <w:szCs w:val="48"/>
          <w:lang w:val="uk-UA"/>
        </w:rPr>
        <w:t>»</w:t>
      </w:r>
      <w:r w:rsidR="00E63D0D" w:rsidRPr="008C348C">
        <w:rPr>
          <w:sz w:val="48"/>
          <w:szCs w:val="48"/>
          <w:lang w:val="uk-UA"/>
        </w:rPr>
        <w:t xml:space="preserve"> </w:t>
      </w: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E63D0D" w:rsidRDefault="00E63D0D" w:rsidP="003A12E1">
      <w:pPr>
        <w:rPr>
          <w:sz w:val="28"/>
          <w:lang w:val="uk-UA"/>
        </w:rPr>
      </w:pPr>
    </w:p>
    <w:p w:rsidR="00E63D0D" w:rsidRPr="008C348C" w:rsidRDefault="00E63D0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м. Житомир</w:t>
      </w:r>
    </w:p>
    <w:p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20</w:t>
      </w:r>
      <w:r w:rsidR="00C93D8B">
        <w:rPr>
          <w:sz w:val="28"/>
          <w:lang w:val="uk-UA"/>
        </w:rPr>
        <w:t>19</w:t>
      </w:r>
      <w:r w:rsidRPr="008C348C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eastAsia="ru-RU"/>
        </w:rPr>
        <w:id w:val="92789500"/>
        <w:docPartObj>
          <w:docPartGallery w:val="Table of Contents"/>
          <w:docPartUnique/>
        </w:docPartObj>
      </w:sdtPr>
      <w:sdtContent>
        <w:p w:rsidR="00E63D0D" w:rsidRPr="00E63D0D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E63D0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r>
            <w:fldChar w:fldCharType="begin"/>
          </w:r>
          <w:r w:rsidR="00E63D0D">
            <w:instrText xml:space="preserve"> TOC \o "1-3" \h \z \u </w:instrText>
          </w:r>
          <w:r>
            <w:fldChar w:fldCharType="separate"/>
          </w:r>
          <w:hyperlink w:anchor="_Toc498994769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1. ПАСПОРТ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_Toc498994769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3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0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2. ВИЗНАЧЕННЯ ПРОБЛЕМИ, НА РОЗВ’ЯЗАННЯ ЯКОЇ СПРЯМОВАНА ПРОГРАМА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_Toc498994770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5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1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3. МЕТА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_Toc498994771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6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2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_Toc498994772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6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3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5. ОЧІКУВАНІ РЕЗУЛЬТАТИ ВИКОНАННЯ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_Toc498994773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7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4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6. ОБСЯГИ ТА ДЖЕРЕЛА ФІНАНСУВАННЯ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_Toc498994774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8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5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7. СТРОКИ ТА ЕТАПИ ВИКОНАННЯ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_Toc498994775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8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Default="00011F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98994776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8. КООРДИНАЦІЯ ТА КОНТРОЛЬ ЗА ХОДОМ ВИКОНАННЯМ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_Toc498994776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343D88">
              <w:rPr>
                <w:noProof/>
                <w:webHidden/>
                <w:sz w:val="28"/>
              </w:rPr>
              <w:t>8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E63D0D" w:rsidRDefault="00011F5B" w:rsidP="00011F7A">
          <w:pPr>
            <w:spacing w:after="120"/>
          </w:pPr>
          <w:r>
            <w:fldChar w:fldCharType="end"/>
          </w:r>
        </w:p>
      </w:sdtContent>
    </w:sdt>
    <w:p w:rsidR="00CA4D3C" w:rsidRPr="008C348C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Pr="008C348C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498994769"/>
      <w:r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780"/>
        <w:gridCol w:w="1492"/>
        <w:gridCol w:w="1418"/>
        <w:gridCol w:w="2126"/>
      </w:tblGrid>
      <w:tr w:rsidR="00E63D0D" w:rsidRPr="00183FFF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3"/>
          </w:tcPr>
          <w:p w:rsidR="00E63D0D" w:rsidRPr="008C348C" w:rsidRDefault="00E63D0D" w:rsidP="003776C3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</w:t>
            </w:r>
            <w:r w:rsidRPr="00183FFF">
              <w:rPr>
                <w:bCs/>
                <w:color w:val="000000"/>
                <w:lang w:val="uk-UA"/>
              </w:rPr>
              <w:t>іськ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цільов</w:t>
            </w:r>
            <w:r>
              <w:rPr>
                <w:bCs/>
                <w:color w:val="000000"/>
                <w:lang w:val="uk-UA"/>
              </w:rPr>
              <w:t xml:space="preserve">а </w:t>
            </w:r>
            <w:r w:rsidRPr="00183FFF">
              <w:rPr>
                <w:bCs/>
                <w:color w:val="000000"/>
                <w:lang w:val="uk-UA"/>
              </w:rPr>
              <w:t>програм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«</w:t>
            </w:r>
            <w:r w:rsidR="00DE5711">
              <w:rPr>
                <w:bCs/>
                <w:color w:val="000000"/>
                <w:lang w:val="uk-UA"/>
              </w:rPr>
              <w:t xml:space="preserve">Ефективна влада. Конкурентне місто» </w:t>
            </w:r>
            <w:r w:rsidR="00C93D8B">
              <w:rPr>
                <w:bCs/>
                <w:color w:val="000000"/>
                <w:lang w:val="uk-UA"/>
              </w:rPr>
              <w:t xml:space="preserve">Житомирської міської об’єднаної територіальної громади </w:t>
            </w:r>
            <w:r w:rsidR="00DE5711">
              <w:rPr>
                <w:bCs/>
                <w:color w:val="000000"/>
                <w:lang w:val="uk-UA"/>
              </w:rPr>
              <w:t>на 2018-202</w:t>
            </w:r>
            <w:r w:rsidR="003776C3">
              <w:rPr>
                <w:bCs/>
                <w:color w:val="000000"/>
                <w:lang w:val="uk-UA"/>
              </w:rPr>
              <w:t>0</w:t>
            </w:r>
            <w:r w:rsidR="00DE5711">
              <w:rPr>
                <w:bCs/>
                <w:color w:val="000000"/>
                <w:lang w:val="uk-UA"/>
              </w:rPr>
              <w:t xml:space="preserve"> роки</w:t>
            </w:r>
            <w:r w:rsidRPr="00183FFF">
              <w:rPr>
                <w:bCs/>
                <w:color w:val="000000"/>
                <w:lang w:val="uk-UA"/>
              </w:rPr>
              <w:t>»</w:t>
            </w:r>
          </w:p>
        </w:tc>
      </w:tr>
      <w:tr w:rsidR="00E63D0D" w:rsidRPr="008C348C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3"/>
          </w:tcPr>
          <w:p w:rsidR="00E63D0D" w:rsidRPr="00183FFF" w:rsidRDefault="00334357" w:rsidP="00E63D0D">
            <w:pPr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Житомирська міська рада</w:t>
            </w:r>
          </w:p>
        </w:tc>
      </w:tr>
      <w:tr w:rsidR="00E63D0D" w:rsidRPr="00343D8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3"/>
          </w:tcPr>
          <w:p w:rsidR="00E63D0D" w:rsidRPr="0066431E" w:rsidRDefault="00CA3530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Рішення сесії міської ради «Про міські цільові програми» </w:t>
            </w:r>
            <w:r w:rsidRPr="00CA3530">
              <w:rPr>
                <w:color w:val="000000"/>
                <w:szCs w:val="24"/>
                <w:lang w:val="uk-UA"/>
              </w:rPr>
              <w:t>від 09.03.2017 №548</w:t>
            </w:r>
          </w:p>
        </w:tc>
      </w:tr>
      <w:tr w:rsidR="00E63D0D" w:rsidRPr="00343D8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3"/>
          </w:tcPr>
          <w:p w:rsidR="00E63D0D" w:rsidRPr="008C348C" w:rsidRDefault="00552BC2" w:rsidP="00E63D0D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Управління по зв’язках з громадськістю міської ради, </w:t>
            </w:r>
            <w:r w:rsidRPr="00E60FE9">
              <w:rPr>
                <w:color w:val="000000"/>
                <w:szCs w:val="24"/>
                <w:lang w:val="uk-UA"/>
              </w:rPr>
              <w:t>управління звернень та діловодства міської ради</w:t>
            </w:r>
            <w:r>
              <w:rPr>
                <w:color w:val="000000"/>
                <w:szCs w:val="24"/>
                <w:lang w:val="uk-UA"/>
              </w:rPr>
              <w:t xml:space="preserve">, </w:t>
            </w:r>
            <w:r w:rsidRPr="00552BC2">
              <w:rPr>
                <w:color w:val="000000"/>
                <w:szCs w:val="24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E63D0D" w:rsidRPr="00DE5711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proofErr w:type="spellStart"/>
            <w:r w:rsidRPr="00E322BF">
              <w:rPr>
                <w:b/>
                <w:color w:val="000000"/>
                <w:lang w:val="uk-UA"/>
              </w:rPr>
              <w:t>Співрозробники</w:t>
            </w:r>
            <w:proofErr w:type="spellEnd"/>
            <w:r w:rsidRPr="00E322BF">
              <w:rPr>
                <w:b/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5036" w:type="dxa"/>
            <w:gridSpan w:val="3"/>
          </w:tcPr>
          <w:p w:rsidR="00E63D0D" w:rsidRPr="00286052" w:rsidRDefault="00E63D0D" w:rsidP="00DE5711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Виконавчі органи міської ради</w:t>
            </w:r>
            <w:r w:rsidR="00552BC2">
              <w:rPr>
                <w:color w:val="000000"/>
                <w:szCs w:val="24"/>
                <w:lang w:val="uk-UA"/>
              </w:rPr>
              <w:t>, комунальна установа «Агенція розвитку міста» Житомирської міської ради</w:t>
            </w:r>
          </w:p>
        </w:tc>
      </w:tr>
      <w:tr w:rsidR="00E63D0D" w:rsidRPr="00343D8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3"/>
          </w:tcPr>
          <w:p w:rsidR="00E63D0D" w:rsidRPr="00552BC2" w:rsidRDefault="00E60FE9" w:rsidP="00552BC2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Управління по зв’язках з громадськістю міської ради, </w:t>
            </w:r>
            <w:r w:rsidRPr="00E60FE9">
              <w:rPr>
                <w:color w:val="000000"/>
                <w:szCs w:val="24"/>
                <w:lang w:val="uk-UA"/>
              </w:rPr>
              <w:t>управління звернень та діловодства міської ради</w:t>
            </w:r>
            <w:r w:rsidR="00552BC2">
              <w:rPr>
                <w:color w:val="000000"/>
                <w:szCs w:val="24"/>
                <w:lang w:val="uk-UA"/>
              </w:rPr>
              <w:t xml:space="preserve">, </w:t>
            </w:r>
            <w:r w:rsidR="00552BC2" w:rsidRPr="00552BC2">
              <w:rPr>
                <w:color w:val="000000"/>
                <w:szCs w:val="24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E63D0D" w:rsidRPr="00334357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3"/>
          </w:tcPr>
          <w:p w:rsidR="00E63D0D" w:rsidRPr="00286052" w:rsidRDefault="00E63D0D" w:rsidP="00552BC2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</w:t>
            </w:r>
            <w:r w:rsidR="00552BC2">
              <w:rPr>
                <w:color w:val="000000"/>
                <w:szCs w:val="24"/>
                <w:lang w:val="uk-UA"/>
              </w:rPr>
              <w:t>иконавчі органи міської ради</w:t>
            </w:r>
          </w:p>
        </w:tc>
      </w:tr>
      <w:tr w:rsidR="00E322BF" w:rsidRPr="004503CA" w:rsidTr="00E322BF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6A3EC7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3"/>
          </w:tcPr>
          <w:p w:rsidR="00E322BF" w:rsidRPr="00286052" w:rsidRDefault="00E322BF" w:rsidP="003776C3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201</w:t>
            </w:r>
            <w:r w:rsidR="00DE5711">
              <w:rPr>
                <w:color w:val="000000"/>
                <w:szCs w:val="24"/>
                <w:lang w:val="uk-UA"/>
              </w:rPr>
              <w:t>8-202</w:t>
            </w:r>
            <w:r w:rsidR="003776C3">
              <w:rPr>
                <w:color w:val="000000"/>
                <w:szCs w:val="24"/>
                <w:lang w:val="uk-UA"/>
              </w:rPr>
              <w:t xml:space="preserve">0 </w:t>
            </w:r>
            <w:r w:rsidRPr="00286052">
              <w:rPr>
                <w:color w:val="000000"/>
                <w:szCs w:val="24"/>
                <w:lang w:val="uk-UA"/>
              </w:rPr>
              <w:t>роки</w:t>
            </w:r>
          </w:p>
        </w:tc>
      </w:tr>
      <w:tr w:rsidR="00E322BF" w:rsidRPr="00343D88" w:rsidTr="00E322BF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3"/>
          </w:tcPr>
          <w:p w:rsidR="00E322BF" w:rsidRPr="008814B2" w:rsidRDefault="008814B2" w:rsidP="000D39A7">
            <w:pPr>
              <w:jc w:val="both"/>
              <w:rPr>
                <w:color w:val="000000"/>
                <w:szCs w:val="24"/>
                <w:lang w:val="uk-UA"/>
              </w:rPr>
            </w:pPr>
            <w:r w:rsidRPr="008814B2">
              <w:rPr>
                <w:szCs w:val="24"/>
                <w:lang w:val="uk-UA"/>
              </w:rPr>
              <w:t>Метою програми є підвищення рівня комфорту та якості життя в місті Житомирі шляхом розвитку організаційної спроможності та підвищення рівня публічності місцевої влади</w:t>
            </w:r>
          </w:p>
        </w:tc>
      </w:tr>
      <w:tr w:rsidR="0055594A" w:rsidRPr="008C348C" w:rsidTr="0055594A">
        <w:trPr>
          <w:cantSplit/>
          <w:trHeight w:val="878"/>
        </w:trPr>
        <w:tc>
          <w:tcPr>
            <w:tcW w:w="648" w:type="dxa"/>
            <w:vMerge w:val="restart"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 тому числі:</w:t>
            </w:r>
          </w:p>
          <w:p w:rsidR="0055594A" w:rsidRPr="00296176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міського бюджету</w:t>
            </w:r>
          </w:p>
          <w:p w:rsidR="0055594A" w:rsidRPr="00296176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державного бюджету</w:t>
            </w:r>
          </w:p>
          <w:p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позабюджетних джерел</w:t>
            </w:r>
          </w:p>
        </w:tc>
        <w:tc>
          <w:tcPr>
            <w:tcW w:w="5036" w:type="dxa"/>
            <w:gridSpan w:val="3"/>
          </w:tcPr>
          <w:p w:rsidR="0055594A" w:rsidRPr="003455AF" w:rsidRDefault="0055594A" w:rsidP="0055594A">
            <w:pPr>
              <w:jc w:val="both"/>
              <w:rPr>
                <w:spacing w:val="-20"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Загальний обсяг фінансових ресурсів для реалізації </w:t>
            </w:r>
            <w:r w:rsidR="003455AF">
              <w:rPr>
                <w:szCs w:val="24"/>
                <w:lang w:val="uk-UA"/>
              </w:rPr>
              <w:t xml:space="preserve">Програми </w:t>
            </w:r>
            <w:r>
              <w:rPr>
                <w:szCs w:val="24"/>
                <w:lang w:val="uk-UA"/>
              </w:rPr>
              <w:t>–</w:t>
            </w:r>
            <w:r w:rsidR="003455AF">
              <w:rPr>
                <w:szCs w:val="24"/>
                <w:lang w:val="uk-UA"/>
              </w:rPr>
              <w:t xml:space="preserve"> </w:t>
            </w:r>
            <w:r w:rsidR="00F11E68" w:rsidRPr="00E902ED">
              <w:rPr>
                <w:sz w:val="22"/>
                <w:szCs w:val="22"/>
              </w:rPr>
              <w:t>41</w:t>
            </w:r>
            <w:r w:rsidR="00E902ED">
              <w:rPr>
                <w:sz w:val="22"/>
                <w:szCs w:val="22"/>
                <w:lang w:val="uk-UA"/>
              </w:rPr>
              <w:t>552</w:t>
            </w:r>
            <w:r w:rsidR="00F11E68">
              <w:rPr>
                <w:sz w:val="22"/>
                <w:szCs w:val="22"/>
                <w:lang w:val="uk-UA"/>
              </w:rPr>
              <w:t>,</w:t>
            </w:r>
            <w:r w:rsidR="00E902ED">
              <w:rPr>
                <w:sz w:val="22"/>
                <w:szCs w:val="22"/>
                <w:lang w:val="uk-UA"/>
              </w:rPr>
              <w:t>9</w:t>
            </w:r>
            <w:r w:rsidR="00F11E68" w:rsidRPr="00E902ED">
              <w:rPr>
                <w:sz w:val="22"/>
                <w:szCs w:val="22"/>
              </w:rPr>
              <w:t>49</w:t>
            </w:r>
            <w:r w:rsidR="00361917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3455AF">
              <w:rPr>
                <w:spacing w:val="-20"/>
                <w:szCs w:val="24"/>
                <w:lang w:val="uk-UA"/>
              </w:rPr>
              <w:t>тис. грн., в т.ч.:</w:t>
            </w:r>
          </w:p>
          <w:p w:rsidR="0055594A" w:rsidRPr="00296176" w:rsidRDefault="0055594A" w:rsidP="0055594A">
            <w:pPr>
              <w:jc w:val="right"/>
              <w:rPr>
                <w:i/>
                <w:sz w:val="20"/>
                <w:szCs w:val="20"/>
                <w:lang w:val="uk-UA"/>
              </w:rPr>
            </w:pPr>
            <w:r w:rsidRPr="00296176">
              <w:rPr>
                <w:i/>
                <w:szCs w:val="24"/>
                <w:lang w:val="uk-UA"/>
              </w:rPr>
              <w:t>тис. грн</w:t>
            </w:r>
            <w:r w:rsidRPr="00296176">
              <w:rPr>
                <w:i/>
                <w:sz w:val="20"/>
                <w:szCs w:val="20"/>
                <w:lang w:val="uk-UA"/>
              </w:rPr>
              <w:t>.</w:t>
            </w:r>
          </w:p>
        </w:tc>
      </w:tr>
      <w:tr w:rsidR="0055594A" w:rsidRPr="008C348C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shd w:val="clear" w:color="auto" w:fill="C6D9F1" w:themeFill="text2" w:themeFillTint="33"/>
          </w:tcPr>
          <w:p w:rsidR="0055594A" w:rsidRDefault="0055594A" w:rsidP="00343D88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 xml:space="preserve">кошти </w:t>
            </w:r>
            <w:r w:rsidR="00343D88">
              <w:rPr>
                <w:color w:val="000000"/>
                <w:lang w:val="uk-UA"/>
              </w:rPr>
              <w:t xml:space="preserve">місцевого </w:t>
            </w:r>
            <w:r w:rsidRPr="0055594A">
              <w:rPr>
                <w:color w:val="000000"/>
                <w:lang w:val="uk-UA"/>
              </w:rPr>
              <w:t>бюджету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55594A" w:rsidRPr="0055594A" w:rsidRDefault="0055594A" w:rsidP="0055594A">
            <w:pPr>
              <w:jc w:val="center"/>
              <w:rPr>
                <w:color w:val="000000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позабюджетних джерел</w:t>
            </w:r>
          </w:p>
        </w:tc>
      </w:tr>
      <w:tr w:rsidR="0055594A" w:rsidRPr="008C348C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55594A" w:rsidRPr="00361917" w:rsidRDefault="0023264F" w:rsidP="00E902ED">
            <w:pPr>
              <w:jc w:val="center"/>
              <w:rPr>
                <w:color w:val="000000" w:themeColor="text1"/>
                <w:lang w:val="uk-UA"/>
              </w:rPr>
            </w:pPr>
            <w:r w:rsidRPr="00361917">
              <w:rPr>
                <w:iCs w:val="0"/>
                <w:szCs w:val="24"/>
                <w:lang w:val="uk-UA"/>
              </w:rPr>
              <w:t xml:space="preserve"> </w:t>
            </w:r>
            <w:r w:rsidR="00F11E68">
              <w:rPr>
                <w:sz w:val="22"/>
                <w:szCs w:val="22"/>
                <w:lang w:val="uk-UA"/>
              </w:rPr>
              <w:t>41</w:t>
            </w:r>
            <w:r w:rsidR="00E902ED">
              <w:rPr>
                <w:sz w:val="22"/>
                <w:szCs w:val="22"/>
                <w:lang w:val="uk-UA"/>
              </w:rPr>
              <w:t>552,9</w:t>
            </w:r>
            <w:r w:rsidR="00F11E68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418" w:type="dxa"/>
            <w:vAlign w:val="center"/>
          </w:tcPr>
          <w:p w:rsidR="0055594A" w:rsidRPr="00FD0618" w:rsidRDefault="0055594A" w:rsidP="0055594A">
            <w:pPr>
              <w:jc w:val="center"/>
              <w:rPr>
                <w:szCs w:val="24"/>
                <w:lang w:val="uk-UA"/>
              </w:rPr>
            </w:pPr>
            <w:r w:rsidRPr="00FD0618">
              <w:rPr>
                <w:szCs w:val="24"/>
                <w:lang w:val="uk-UA"/>
              </w:rPr>
              <w:t>0,0</w:t>
            </w:r>
            <w:r w:rsidR="00EC221B" w:rsidRPr="00FD0618">
              <w:rPr>
                <w:szCs w:val="24"/>
                <w:lang w:val="uk-UA"/>
              </w:rPr>
              <w:t>0</w:t>
            </w:r>
          </w:p>
        </w:tc>
        <w:tc>
          <w:tcPr>
            <w:tcW w:w="2126" w:type="dxa"/>
            <w:vAlign w:val="center"/>
          </w:tcPr>
          <w:p w:rsidR="0055594A" w:rsidRPr="00FD0618" w:rsidRDefault="00EC221B" w:rsidP="0055594A">
            <w:pPr>
              <w:jc w:val="center"/>
              <w:rPr>
                <w:szCs w:val="24"/>
                <w:lang w:val="uk-UA"/>
              </w:rPr>
            </w:pPr>
            <w:r w:rsidRPr="00FD0618">
              <w:rPr>
                <w:rFonts w:ascii="Times New Roman CYR" w:hAnsi="Times New Roman CYR"/>
                <w:iCs w:val="0"/>
                <w:szCs w:val="24"/>
                <w:lang w:val="uk-UA"/>
              </w:rPr>
              <w:t>0</w:t>
            </w:r>
            <w:r w:rsidR="00BB003E" w:rsidRPr="00FD0618">
              <w:rPr>
                <w:rFonts w:ascii="Times New Roman CYR" w:hAnsi="Times New Roman CYR"/>
                <w:iCs w:val="0"/>
                <w:szCs w:val="24"/>
                <w:lang w:val="uk-UA"/>
              </w:rPr>
              <w:t>,00</w:t>
            </w:r>
          </w:p>
        </w:tc>
      </w:tr>
      <w:tr w:rsidR="00E322BF" w:rsidRPr="008C348C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3"/>
          </w:tcPr>
          <w:p w:rsidR="000801C5" w:rsidRDefault="000801C5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підвищення рівня організаційної спроможності місцевої влади;</w:t>
            </w:r>
          </w:p>
          <w:p w:rsidR="000801C5" w:rsidRPr="000801C5" w:rsidRDefault="000801C5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0801C5">
              <w:rPr>
                <w:color w:val="000000"/>
                <w:szCs w:val="24"/>
                <w:lang w:val="uk-UA"/>
              </w:rPr>
              <w:t>підвищення рівня публічності місцевої влади;</w:t>
            </w:r>
          </w:p>
          <w:p w:rsidR="00B55560" w:rsidRPr="00334357" w:rsidRDefault="00334357" w:rsidP="00552323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 w:val="28"/>
                <w:szCs w:val="26"/>
                <w:lang w:eastAsia="uk-UA"/>
              </w:rPr>
            </w:pPr>
            <w:r>
              <w:rPr>
                <w:color w:val="000000"/>
                <w:szCs w:val="24"/>
                <w:lang w:val="uk-UA"/>
              </w:rPr>
              <w:t>діюч</w:t>
            </w:r>
            <w:r w:rsidR="00552323">
              <w:rPr>
                <w:color w:val="000000"/>
                <w:szCs w:val="24"/>
                <w:lang w:val="uk-UA"/>
              </w:rPr>
              <w:t xml:space="preserve">і практики </w:t>
            </w:r>
            <w:proofErr w:type="spellStart"/>
            <w:r w:rsidR="00552323">
              <w:rPr>
                <w:color w:val="000000"/>
                <w:szCs w:val="24"/>
                <w:lang w:val="uk-UA"/>
              </w:rPr>
              <w:t>партисипативної</w:t>
            </w:r>
            <w:proofErr w:type="spellEnd"/>
            <w:r w:rsidR="00552323">
              <w:rPr>
                <w:color w:val="000000"/>
                <w:szCs w:val="24"/>
                <w:lang w:val="uk-UA"/>
              </w:rPr>
              <w:t xml:space="preserve"> демократії</w:t>
            </w:r>
            <w:r>
              <w:rPr>
                <w:color w:val="000000"/>
                <w:szCs w:val="24"/>
                <w:lang w:val="uk-UA"/>
              </w:rPr>
              <w:t xml:space="preserve"> </w:t>
            </w:r>
            <w:r w:rsidR="00552323">
              <w:rPr>
                <w:color w:val="000000"/>
                <w:szCs w:val="24"/>
                <w:lang w:val="uk-UA"/>
              </w:rPr>
              <w:t>(</w:t>
            </w:r>
            <w:r>
              <w:rPr>
                <w:color w:val="000000"/>
                <w:szCs w:val="24"/>
                <w:lang w:val="uk-UA"/>
              </w:rPr>
              <w:t>«Бюджет участі»</w:t>
            </w:r>
            <w:r w:rsidR="00552323">
              <w:rPr>
                <w:color w:val="000000"/>
                <w:szCs w:val="24"/>
                <w:lang w:val="uk-UA"/>
              </w:rPr>
              <w:t xml:space="preserve"> тощо)</w:t>
            </w:r>
            <w:r>
              <w:rPr>
                <w:color w:val="000000"/>
                <w:szCs w:val="24"/>
                <w:lang w:val="uk-UA"/>
              </w:rPr>
              <w:t>.</w:t>
            </w:r>
          </w:p>
        </w:tc>
      </w:tr>
      <w:tr w:rsidR="00E322BF" w:rsidRPr="00334357" w:rsidTr="00CA3530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3"/>
          </w:tcPr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прозорості міст (</w:t>
            </w:r>
            <w:proofErr w:type="spellStart"/>
            <w:r w:rsidRPr="00552BC2">
              <w:rPr>
                <w:szCs w:val="24"/>
                <w:lang w:val="uk-UA"/>
              </w:rPr>
              <w:t>Transparency</w:t>
            </w:r>
            <w:proofErr w:type="spellEnd"/>
            <w:r w:rsidRPr="00552BC2">
              <w:rPr>
                <w:szCs w:val="24"/>
                <w:lang w:val="uk-UA"/>
              </w:rPr>
              <w:t xml:space="preserve"> </w:t>
            </w:r>
            <w:proofErr w:type="spellStart"/>
            <w:r w:rsidRPr="00552BC2">
              <w:rPr>
                <w:szCs w:val="24"/>
                <w:lang w:val="uk-UA"/>
              </w:rPr>
              <w:t>International</w:t>
            </w:r>
            <w:proofErr w:type="spellEnd"/>
            <w:r w:rsidRPr="00552BC2">
              <w:rPr>
                <w:szCs w:val="24"/>
                <w:lang w:val="uk-UA"/>
              </w:rPr>
              <w:t>)</w:t>
            </w:r>
            <w:r>
              <w:rPr>
                <w:szCs w:val="24"/>
                <w:lang w:val="uk-UA"/>
              </w:rPr>
              <w:t xml:space="preserve"> – ТОП 3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відкритості органів виконавчої влади «Рада дружня до медіа» (Інститут масової інформації)</w:t>
            </w:r>
            <w:r>
              <w:rPr>
                <w:szCs w:val="24"/>
                <w:lang w:val="uk-UA"/>
              </w:rPr>
              <w:t xml:space="preserve"> – ТОП 3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індексу публічності місцевого самоврядування (Громад</w:t>
            </w:r>
            <w:r w:rsidR="00DB0B36">
              <w:rPr>
                <w:szCs w:val="24"/>
                <w:lang w:val="uk-UA"/>
              </w:rPr>
              <w:t>ян</w:t>
            </w:r>
            <w:r w:rsidRPr="00552BC2">
              <w:rPr>
                <w:szCs w:val="24"/>
                <w:lang w:val="uk-UA"/>
              </w:rPr>
              <w:t>ська мережа «ОПОРА»)</w:t>
            </w:r>
            <w:r>
              <w:rPr>
                <w:szCs w:val="24"/>
                <w:lang w:val="uk-UA"/>
              </w:rPr>
              <w:t xml:space="preserve"> – ТОП 7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 w:rsidRPr="00552BC2"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 xml:space="preserve">Індекс задоволеності мешканців міст якістю </w:t>
            </w:r>
            <w:r w:rsidRPr="00552BC2">
              <w:rPr>
                <w:szCs w:val="24"/>
                <w:lang w:val="uk-UA"/>
              </w:rPr>
              <w:lastRenderedPageBreak/>
              <w:t>22 сфер та місцевих послуг (Міжнародний республіканський інститут)</w:t>
            </w:r>
            <w:r>
              <w:rPr>
                <w:szCs w:val="24"/>
                <w:lang w:val="uk-UA"/>
              </w:rPr>
              <w:t xml:space="preserve"> – не нижче 3,5 (за 2020 рік)</w:t>
            </w:r>
            <w:r w:rsidRPr="00552BC2">
              <w:rPr>
                <w:szCs w:val="24"/>
                <w:lang w:val="uk-UA"/>
              </w:rPr>
              <w:t>;</w:t>
            </w:r>
          </w:p>
          <w:p w:rsidR="00D36538" w:rsidRPr="00CA3530" w:rsidRDefault="00552BC2" w:rsidP="00CA3530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обласних центрів за рівнем комфортності проживання (журнал «Фокус»)</w:t>
            </w:r>
            <w:r>
              <w:rPr>
                <w:szCs w:val="24"/>
                <w:lang w:val="uk-UA"/>
              </w:rPr>
              <w:t xml:space="preserve"> </w:t>
            </w:r>
            <w:r w:rsidRPr="000D39A7">
              <w:rPr>
                <w:szCs w:val="24"/>
                <w:lang w:val="uk-UA"/>
              </w:rPr>
              <w:t xml:space="preserve">– </w:t>
            </w:r>
            <w:r w:rsidR="00CA3530">
              <w:rPr>
                <w:szCs w:val="24"/>
                <w:lang w:val="uk-UA"/>
              </w:rPr>
              <w:t xml:space="preserve">не нижче </w:t>
            </w:r>
            <w:r w:rsidRPr="000D39A7">
              <w:rPr>
                <w:szCs w:val="24"/>
                <w:lang w:val="uk-UA"/>
              </w:rPr>
              <w:t>70,0</w:t>
            </w:r>
            <w:r w:rsidR="00CA3530">
              <w:rPr>
                <w:szCs w:val="24"/>
                <w:lang w:val="uk-UA"/>
              </w:rPr>
              <w:t xml:space="preserve"> балів</w:t>
            </w:r>
            <w:r w:rsidRPr="000D39A7">
              <w:rPr>
                <w:szCs w:val="24"/>
                <w:lang w:val="uk-UA"/>
              </w:rPr>
              <w:t xml:space="preserve"> (за 202</w:t>
            </w:r>
            <w:r>
              <w:rPr>
                <w:szCs w:val="24"/>
                <w:lang w:val="uk-UA"/>
              </w:rPr>
              <w:t>0</w:t>
            </w:r>
            <w:r w:rsidRPr="000D39A7">
              <w:rPr>
                <w:szCs w:val="24"/>
                <w:lang w:val="uk-UA"/>
              </w:rPr>
              <w:t xml:space="preserve"> рік)</w:t>
            </w:r>
            <w:r w:rsidRPr="00552BC2">
              <w:rPr>
                <w:szCs w:val="24"/>
                <w:lang w:val="uk-UA"/>
              </w:rPr>
              <w:t>.</w:t>
            </w:r>
          </w:p>
        </w:tc>
      </w:tr>
    </w:tbl>
    <w:p w:rsidR="004E7AC1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" w:name="_Toc424524481"/>
    </w:p>
    <w:p w:rsidR="004E7AC1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Pr="00CA3530" w:rsidRDefault="00CA3530" w:rsidP="00CA3530">
      <w:pPr>
        <w:rPr>
          <w:lang w:val="uk-UA"/>
        </w:rPr>
      </w:pPr>
    </w:p>
    <w:p w:rsidR="00334357" w:rsidRDefault="00334357" w:rsidP="00334357">
      <w:pPr>
        <w:rPr>
          <w:lang w:val="uk-UA"/>
        </w:rPr>
      </w:pPr>
    </w:p>
    <w:p w:rsidR="005C3FAA" w:rsidRDefault="005C3FAA" w:rsidP="00334357">
      <w:pPr>
        <w:rPr>
          <w:lang w:val="uk-UA"/>
        </w:rPr>
      </w:pPr>
    </w:p>
    <w:p w:rsidR="005C3FAA" w:rsidRDefault="005C3FAA" w:rsidP="00334357">
      <w:pPr>
        <w:rPr>
          <w:lang w:val="uk-UA"/>
        </w:rPr>
      </w:pPr>
    </w:p>
    <w:p w:rsidR="005C3FAA" w:rsidRDefault="005C3FAA" w:rsidP="00334357">
      <w:pPr>
        <w:rPr>
          <w:lang w:val="uk-UA"/>
        </w:rPr>
      </w:pPr>
    </w:p>
    <w:p w:rsidR="00C22FB7" w:rsidRPr="00334357" w:rsidRDefault="00C22FB7" w:rsidP="00334357">
      <w:pPr>
        <w:rPr>
          <w:lang w:val="uk-UA"/>
        </w:rPr>
      </w:pPr>
    </w:p>
    <w:p w:rsidR="00FD02E5" w:rsidRDefault="008312F7" w:rsidP="008814B2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" w:name="_Toc498994770"/>
      <w:r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:rsidR="00307E56" w:rsidRDefault="008C3DF6" w:rsidP="00307E5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07E56" w:rsidRPr="00307E56">
        <w:rPr>
          <w:sz w:val="28"/>
          <w:lang w:val="uk-UA"/>
        </w:rPr>
        <w:t xml:space="preserve">Головною передумовою реформування системи місцевого самоврядування в Україні є спроможність місцевих влад ефективно реалізовувати зростаючу кількість повноважень, що передається їм органами виконавчої влади з метою надання більш якісних послуг населенню. </w:t>
      </w:r>
    </w:p>
    <w:p w:rsidR="004F5E8E" w:rsidRDefault="00307E56" w:rsidP="00307E56">
      <w:pPr>
        <w:ind w:firstLine="708"/>
        <w:jc w:val="both"/>
        <w:rPr>
          <w:sz w:val="28"/>
          <w:lang w:val="uk-UA"/>
        </w:rPr>
      </w:pPr>
      <w:r w:rsidRPr="00307E56">
        <w:rPr>
          <w:sz w:val="28"/>
          <w:lang w:val="uk-UA"/>
        </w:rPr>
        <w:t xml:space="preserve">Необхідною передумовою ефективного виконання зазначених завдань та повноважень місцевого самоврядування є належний </w:t>
      </w:r>
      <w:r w:rsidR="004F5E8E">
        <w:rPr>
          <w:sz w:val="28"/>
          <w:lang w:val="uk-UA"/>
        </w:rPr>
        <w:t xml:space="preserve">досвід, </w:t>
      </w:r>
      <w:r w:rsidRPr="00307E56">
        <w:rPr>
          <w:sz w:val="28"/>
          <w:lang w:val="uk-UA"/>
        </w:rPr>
        <w:t>професійний рівень</w:t>
      </w:r>
      <w:r w:rsidR="00700F41">
        <w:rPr>
          <w:sz w:val="28"/>
          <w:lang w:val="uk-UA"/>
        </w:rPr>
        <w:t>,</w:t>
      </w:r>
      <w:r w:rsidR="004F5E8E">
        <w:rPr>
          <w:sz w:val="28"/>
          <w:lang w:val="uk-UA"/>
        </w:rPr>
        <w:t xml:space="preserve"> компетенції</w:t>
      </w:r>
      <w:r w:rsidRPr="00307E56">
        <w:rPr>
          <w:sz w:val="28"/>
          <w:lang w:val="uk-UA"/>
        </w:rPr>
        <w:t xml:space="preserve"> </w:t>
      </w:r>
      <w:r w:rsidR="009C697D">
        <w:rPr>
          <w:sz w:val="28"/>
          <w:lang w:val="uk-UA"/>
        </w:rPr>
        <w:t xml:space="preserve">депутатів місцевих рад та </w:t>
      </w:r>
      <w:r w:rsidRPr="00307E56">
        <w:rPr>
          <w:sz w:val="28"/>
          <w:lang w:val="uk-UA"/>
        </w:rPr>
        <w:t>службовців о</w:t>
      </w:r>
      <w:r>
        <w:rPr>
          <w:sz w:val="28"/>
          <w:lang w:val="uk-UA"/>
        </w:rPr>
        <w:t>рг</w:t>
      </w:r>
      <w:r w:rsidR="009C697D">
        <w:rPr>
          <w:sz w:val="28"/>
          <w:lang w:val="uk-UA"/>
        </w:rPr>
        <w:t>анів місцевого самоврядування</w:t>
      </w:r>
      <w:r w:rsidRPr="00307E56">
        <w:rPr>
          <w:sz w:val="28"/>
          <w:lang w:val="uk-UA"/>
        </w:rPr>
        <w:t xml:space="preserve">. Від ефективності діяльності </w:t>
      </w:r>
      <w:r w:rsidR="009C697D">
        <w:rPr>
          <w:sz w:val="28"/>
          <w:lang w:val="uk-UA"/>
        </w:rPr>
        <w:t xml:space="preserve">депутатського корпусу та </w:t>
      </w:r>
      <w:r w:rsidRPr="00307E56">
        <w:rPr>
          <w:sz w:val="28"/>
          <w:lang w:val="uk-UA"/>
        </w:rPr>
        <w:t xml:space="preserve">посадових осіб органів місцевого самоврядування залежать умови життя мешканців </w:t>
      </w:r>
      <w:r>
        <w:rPr>
          <w:sz w:val="28"/>
          <w:lang w:val="uk-UA"/>
        </w:rPr>
        <w:t xml:space="preserve">відповідної </w:t>
      </w:r>
      <w:r w:rsidR="00257043">
        <w:rPr>
          <w:sz w:val="28"/>
          <w:lang w:val="uk-UA"/>
        </w:rPr>
        <w:t>територіальної громади.</w:t>
      </w:r>
    </w:p>
    <w:p w:rsidR="00257043" w:rsidRDefault="00257043" w:rsidP="00307E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Соціологічні дослідження Міжнародного республіканського інституту свідчать, що у 2016 році індекс задоволеності мешканців міста Житомира якістю 22 сфер та місцевих послуг складає лише 3,0 бали з 5,0 можливих. З даним показником місто Житомир займає 10 </w:t>
      </w:r>
      <w:r w:rsidR="00700F41">
        <w:rPr>
          <w:sz w:val="28"/>
          <w:lang w:val="uk-UA"/>
        </w:rPr>
        <w:t>місце серед обласних центрів України.</w:t>
      </w:r>
    </w:p>
    <w:p w:rsidR="00700F41" w:rsidRDefault="00700F41" w:rsidP="00307E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журналу «Фокус» у 2016 році місто Житомир набрало 46,5 балів зі 100,0 можливих та посіло 12 місце в рейтингу обласних центрів за рівнем комфортності проживання.</w:t>
      </w:r>
    </w:p>
    <w:p w:rsidR="00A36B6C" w:rsidRDefault="00700F41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Описані результати соціологічних досліджень є свідченням того, що мешканці </w:t>
      </w:r>
      <w:r w:rsidR="00A36B6C">
        <w:rPr>
          <w:sz w:val="28"/>
          <w:lang w:val="uk-UA"/>
        </w:rPr>
        <w:t xml:space="preserve">міста Житомира мають середній рівень якості життя (по українським міркам). </w:t>
      </w:r>
    </w:p>
    <w:p w:rsidR="00A36B6C" w:rsidRDefault="00A36B6C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Разом з тим існуючі негативні міграційні тенденції в місті Житомирі свідчать про те, що рів</w:t>
      </w:r>
      <w:r w:rsidR="00863013">
        <w:rPr>
          <w:sz w:val="28"/>
          <w:lang w:val="uk-UA"/>
        </w:rPr>
        <w:t>ень</w:t>
      </w:r>
      <w:r>
        <w:rPr>
          <w:sz w:val="28"/>
          <w:lang w:val="uk-UA"/>
        </w:rPr>
        <w:t xml:space="preserve"> якості життя для мешканців </w:t>
      </w:r>
      <w:r w:rsidR="00863013">
        <w:rPr>
          <w:sz w:val="28"/>
          <w:lang w:val="uk-UA"/>
        </w:rPr>
        <w:t>є недостатнім</w:t>
      </w:r>
      <w:r>
        <w:rPr>
          <w:sz w:val="28"/>
          <w:lang w:val="uk-UA"/>
        </w:rPr>
        <w:t xml:space="preserve">, і вони переїздять до інших міст України </w:t>
      </w:r>
      <w:r w:rsidR="00063E01">
        <w:rPr>
          <w:sz w:val="28"/>
          <w:lang w:val="uk-UA"/>
        </w:rPr>
        <w:t>або</w:t>
      </w:r>
      <w:r>
        <w:rPr>
          <w:sz w:val="28"/>
          <w:lang w:val="uk-UA"/>
        </w:rPr>
        <w:t xml:space="preserve"> за кордон.</w:t>
      </w:r>
    </w:p>
    <w:p w:rsidR="00863013" w:rsidRPr="00BF09AE" w:rsidRDefault="00863013" w:rsidP="00863013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Вирішення існуючих диспропорцій </w:t>
      </w:r>
      <w:r w:rsidR="00063E01">
        <w:rPr>
          <w:sz w:val="28"/>
          <w:lang w:val="uk-UA"/>
        </w:rPr>
        <w:t xml:space="preserve">в соціально-економічному розвитку міста Житомира </w:t>
      </w:r>
      <w:r>
        <w:rPr>
          <w:sz w:val="28"/>
          <w:lang w:val="uk-UA"/>
        </w:rPr>
        <w:t xml:space="preserve">є ключовим завданням для місцевої влади, </w:t>
      </w:r>
      <w:r w:rsidR="00063E01">
        <w:rPr>
          <w:sz w:val="28"/>
          <w:lang w:val="uk-UA"/>
        </w:rPr>
        <w:t>що</w:t>
      </w:r>
      <w:r>
        <w:rPr>
          <w:sz w:val="28"/>
          <w:lang w:val="uk-UA"/>
        </w:rPr>
        <w:t xml:space="preserve"> вимагає креативних та одночасно виважених управлінських рішень. Ц</w:t>
      </w:r>
      <w:r w:rsidRPr="00BF09AE">
        <w:rPr>
          <w:sz w:val="28"/>
          <w:lang w:val="uk-UA"/>
        </w:rPr>
        <w:t xml:space="preserve">е </w:t>
      </w:r>
      <w:r>
        <w:rPr>
          <w:sz w:val="28"/>
          <w:lang w:val="uk-UA"/>
        </w:rPr>
        <w:t xml:space="preserve">в свою чергу </w:t>
      </w:r>
      <w:r w:rsidRPr="00BF09AE">
        <w:rPr>
          <w:sz w:val="28"/>
          <w:lang w:val="uk-UA"/>
        </w:rPr>
        <w:t>свідчить про вагоме значення підготовки та підвищення кваліфікації депутатів</w:t>
      </w:r>
      <w:r>
        <w:rPr>
          <w:sz w:val="28"/>
          <w:lang w:val="uk-UA"/>
        </w:rPr>
        <w:t>, працівників виконавчих органів міської ради,</w:t>
      </w:r>
      <w:r w:rsidRPr="00BF09AE">
        <w:rPr>
          <w:sz w:val="28"/>
          <w:lang w:val="uk-UA"/>
        </w:rPr>
        <w:t xml:space="preserve"> вивчення ними дос</w:t>
      </w:r>
      <w:r>
        <w:rPr>
          <w:sz w:val="28"/>
          <w:lang w:val="uk-UA"/>
        </w:rPr>
        <w:t>віду розвитку інших міст з мето</w:t>
      </w:r>
      <w:r w:rsidRPr="00BF09AE">
        <w:rPr>
          <w:sz w:val="28"/>
          <w:lang w:val="uk-UA"/>
        </w:rPr>
        <w:t>ю забезпечення сталого розвитку міста</w:t>
      </w:r>
      <w:r>
        <w:rPr>
          <w:sz w:val="28"/>
          <w:lang w:val="uk-UA"/>
        </w:rPr>
        <w:t xml:space="preserve"> Житомира</w:t>
      </w:r>
      <w:r w:rsidRPr="00BF09AE">
        <w:rPr>
          <w:sz w:val="28"/>
          <w:lang w:val="uk-UA"/>
        </w:rPr>
        <w:t>, покращення якості послуг</w:t>
      </w:r>
      <w:r>
        <w:rPr>
          <w:sz w:val="28"/>
          <w:lang w:val="uk-UA"/>
        </w:rPr>
        <w:t>,</w:t>
      </w:r>
      <w:r w:rsidRPr="00BF09AE">
        <w:rPr>
          <w:sz w:val="28"/>
          <w:lang w:val="uk-UA"/>
        </w:rPr>
        <w:t xml:space="preserve"> </w:t>
      </w:r>
      <w:r>
        <w:rPr>
          <w:sz w:val="28"/>
          <w:lang w:val="uk-UA"/>
        </w:rPr>
        <w:t>щ</w:t>
      </w:r>
      <w:r w:rsidRPr="00BF09AE">
        <w:rPr>
          <w:sz w:val="28"/>
          <w:lang w:val="uk-UA"/>
        </w:rPr>
        <w:t>о надаються мешканцям</w:t>
      </w:r>
      <w:r>
        <w:rPr>
          <w:sz w:val="28"/>
          <w:lang w:val="uk-UA"/>
        </w:rPr>
        <w:t xml:space="preserve"> тощо</w:t>
      </w:r>
      <w:r w:rsidRPr="00BF09AE">
        <w:rPr>
          <w:sz w:val="28"/>
          <w:lang w:val="uk-UA"/>
        </w:rPr>
        <w:t>.</w:t>
      </w:r>
    </w:p>
    <w:p w:rsidR="009C697D" w:rsidRDefault="004F5E8E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сьомому скликанні Житомирської міської ради </w:t>
      </w:r>
      <w:r w:rsidR="009C697D">
        <w:rPr>
          <w:sz w:val="28"/>
          <w:lang w:val="uk-UA"/>
        </w:rPr>
        <w:t>майже 67% депутатів (28 депутатів) обрані вперше, майже 24</w:t>
      </w:r>
      <w:r>
        <w:rPr>
          <w:sz w:val="28"/>
          <w:lang w:val="uk-UA"/>
        </w:rPr>
        <w:t xml:space="preserve">% молодих депутатів (10 депутатів), </w:t>
      </w:r>
      <w:r w:rsidR="009C697D">
        <w:rPr>
          <w:sz w:val="28"/>
          <w:lang w:val="uk-UA"/>
        </w:rPr>
        <w:t>віком</w:t>
      </w:r>
      <w:r>
        <w:rPr>
          <w:sz w:val="28"/>
          <w:lang w:val="uk-UA"/>
        </w:rPr>
        <w:t xml:space="preserve"> до 35 років</w:t>
      </w:r>
      <w:r w:rsidR="009C697D">
        <w:rPr>
          <w:sz w:val="28"/>
          <w:lang w:val="uk-UA"/>
        </w:rPr>
        <w:t xml:space="preserve"> – це частина депутатського корпусу, що першочергово потребує належного професійного навчання.</w:t>
      </w:r>
    </w:p>
    <w:p w:rsidR="00D91BAD" w:rsidRDefault="00C50144" w:rsidP="00D91BA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Умови служби працівників</w:t>
      </w:r>
      <w:r w:rsidR="00863013" w:rsidRPr="00307E5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виконавчих </w:t>
      </w:r>
      <w:r w:rsidR="00863013" w:rsidRPr="00307E56">
        <w:rPr>
          <w:sz w:val="28"/>
          <w:lang w:val="uk-UA"/>
        </w:rPr>
        <w:t xml:space="preserve">органів </w:t>
      </w:r>
      <w:r>
        <w:rPr>
          <w:sz w:val="28"/>
          <w:lang w:val="uk-UA"/>
        </w:rPr>
        <w:t>Житомирської міської ради не стимулюють розвиток їх професійного рівня та компетенці</w:t>
      </w:r>
      <w:r w:rsidR="00A57933">
        <w:rPr>
          <w:sz w:val="28"/>
          <w:lang w:val="uk-UA"/>
        </w:rPr>
        <w:t>й</w:t>
      </w:r>
      <w:r>
        <w:rPr>
          <w:sz w:val="28"/>
          <w:lang w:val="uk-UA"/>
        </w:rPr>
        <w:t xml:space="preserve">; </w:t>
      </w:r>
      <w:r w:rsidR="00863013" w:rsidRPr="00307E5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кадрова політика та порядок відбору </w:t>
      </w:r>
      <w:r w:rsidR="00863013" w:rsidRPr="00307E56">
        <w:rPr>
          <w:sz w:val="28"/>
          <w:lang w:val="uk-UA"/>
        </w:rPr>
        <w:t xml:space="preserve">персоналу </w:t>
      </w:r>
      <w:r>
        <w:rPr>
          <w:sz w:val="28"/>
          <w:lang w:val="uk-UA"/>
        </w:rPr>
        <w:t>є архаїчним та не відповідає сучасним стандартам побудови проектних команд.</w:t>
      </w:r>
    </w:p>
    <w:p w:rsidR="00DB0B36" w:rsidRDefault="00DB0B36" w:rsidP="00DB0B36">
      <w:pPr>
        <w:ind w:left="-57" w:firstLine="765"/>
        <w:jc w:val="both"/>
      </w:pPr>
      <w:r>
        <w:rPr>
          <w:sz w:val="28"/>
          <w:lang w:val="uk-UA"/>
        </w:rPr>
        <w:t>З 2014 року</w:t>
      </w:r>
      <w:r>
        <w:rPr>
          <w:sz w:val="28"/>
        </w:rPr>
        <w:t xml:space="preserve"> </w:t>
      </w:r>
      <w:r>
        <w:rPr>
          <w:color w:val="000000"/>
          <w:sz w:val="28"/>
          <w:lang w:val="uk-UA"/>
        </w:rPr>
        <w:t>громадянська мережа «ОПОРА» проводи</w:t>
      </w:r>
      <w:r w:rsidR="00F364EF">
        <w:rPr>
          <w:color w:val="000000"/>
          <w:sz w:val="28"/>
          <w:lang w:val="uk-UA"/>
        </w:rPr>
        <w:t>ть</w:t>
      </w:r>
      <w:r>
        <w:rPr>
          <w:color w:val="000000"/>
          <w:sz w:val="28"/>
          <w:lang w:val="uk-UA"/>
        </w:rPr>
        <w:t xml:space="preserve"> вимірювання індексу публічності місцевого самоврядування у 22 обласних центрах України.</w:t>
      </w:r>
    </w:p>
    <w:p w:rsidR="00DB0B36" w:rsidRDefault="00DB0B36" w:rsidP="00DB0B36">
      <w:pPr>
        <w:ind w:left="-57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 w:rsidR="00F364EF">
        <w:rPr>
          <w:color w:val="000000"/>
          <w:sz w:val="28"/>
          <w:lang w:val="uk-UA"/>
        </w:rPr>
        <w:t>За р</w:t>
      </w:r>
      <w:r>
        <w:rPr>
          <w:sz w:val="28"/>
          <w:lang w:val="uk-UA"/>
        </w:rPr>
        <w:t>езультат</w:t>
      </w:r>
      <w:r w:rsidR="00F364EF">
        <w:rPr>
          <w:sz w:val="28"/>
          <w:lang w:val="uk-UA"/>
        </w:rPr>
        <w:t>а</w:t>
      </w:r>
      <w:r>
        <w:rPr>
          <w:sz w:val="28"/>
          <w:lang w:val="uk-UA"/>
        </w:rPr>
        <w:t>м</w:t>
      </w:r>
      <w:r w:rsidR="00F364EF">
        <w:rPr>
          <w:sz w:val="28"/>
          <w:lang w:val="uk-UA"/>
        </w:rPr>
        <w:t>и</w:t>
      </w:r>
      <w:r>
        <w:rPr>
          <w:sz w:val="28"/>
          <w:lang w:val="uk-UA"/>
        </w:rPr>
        <w:t xml:space="preserve"> даного </w:t>
      </w:r>
      <w:r w:rsidR="00F364EF">
        <w:rPr>
          <w:sz w:val="28"/>
          <w:lang w:val="uk-UA"/>
        </w:rPr>
        <w:t>дослідження</w:t>
      </w:r>
      <w:r>
        <w:rPr>
          <w:sz w:val="28"/>
          <w:lang w:val="uk-UA"/>
        </w:rPr>
        <w:t xml:space="preserve"> Житомирська міська рада під час кожного з вимірювань входила до категорії міст з низьким рівнем </w:t>
      </w:r>
      <w:r>
        <w:rPr>
          <w:sz w:val="28"/>
          <w:lang w:val="uk-UA"/>
        </w:rPr>
        <w:lastRenderedPageBreak/>
        <w:t>публічності, але при цьому слід зазначити, що рейтинг Житомирської міської ради під час останнього вимірювання зріс на 6 позицій (у порівнянні з 2014 роком). При цьому показник публічності депутатів Житомирської міської ради знизився до 36% (у 2014 році становив – 40%).</w:t>
      </w:r>
    </w:p>
    <w:p w:rsidR="008A305A" w:rsidRPr="00E902ED" w:rsidRDefault="008A305A" w:rsidP="008A305A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2018 році за результатами рейтингу «Опори» п</w:t>
      </w:r>
      <w:r w:rsidRPr="008A305A">
        <w:rPr>
          <w:sz w:val="28"/>
          <w:szCs w:val="28"/>
          <w:lang w:val="uk-UA"/>
        </w:rPr>
        <w:t>оказник публічності міського голови у 2018 році виріс на 24,75%: з 63% до 87,75%. У рейтингу публічності міських голів Сергій Сухомлин піднявся з дванадцятого на друге місце.</w:t>
      </w:r>
      <w:r>
        <w:rPr>
          <w:sz w:val="28"/>
          <w:szCs w:val="28"/>
          <w:lang w:val="uk-UA"/>
        </w:rPr>
        <w:t xml:space="preserve"> </w:t>
      </w:r>
      <w:r w:rsidRPr="008A305A">
        <w:rPr>
          <w:sz w:val="28"/>
          <w:szCs w:val="28"/>
          <w:lang w:val="uk-UA"/>
        </w:rPr>
        <w:t xml:space="preserve">Публічність виконавчих органів Житомирської міської ради, як порівняти з 2017 роком, зросла на 20,23%: з 50% у 2017 р. до 70,23% у </w:t>
      </w:r>
      <w:r>
        <w:rPr>
          <w:sz w:val="28"/>
          <w:szCs w:val="28"/>
          <w:lang w:val="uk-UA"/>
        </w:rPr>
        <w:t xml:space="preserve">              </w:t>
      </w:r>
      <w:r w:rsidRPr="008A305A">
        <w:rPr>
          <w:sz w:val="28"/>
          <w:szCs w:val="28"/>
          <w:lang w:val="uk-UA"/>
        </w:rPr>
        <w:t>2018 р.  Депутатський корпус Житомирської міської ради продемонстрував ріст публічності протягом року: з 50% у 2017 р. до 64,13% у 2018 р. У загальноукраїнському рейтингу депутати Житомирської міської ради займають 19 позицію з 24 та відстають від лідера – Львова – на 19,02</w:t>
      </w:r>
      <w:r w:rsidRPr="00E902ED">
        <w:rPr>
          <w:sz w:val="28"/>
          <w:szCs w:val="28"/>
          <w:lang w:val="uk-UA"/>
        </w:rPr>
        <w:t>%.</w:t>
      </w:r>
    </w:p>
    <w:p w:rsidR="00C65835" w:rsidRPr="001C3551" w:rsidRDefault="00C65835" w:rsidP="00C65835">
      <w:pPr>
        <w:ind w:firstLine="567"/>
        <w:contextualSpacing/>
        <w:jc w:val="both"/>
        <w:rPr>
          <w:color w:val="000000" w:themeColor="text1"/>
          <w:sz w:val="28"/>
          <w:lang w:val="uk-UA"/>
        </w:rPr>
      </w:pPr>
      <w:r w:rsidRPr="001C3551">
        <w:rPr>
          <w:sz w:val="28"/>
          <w:lang w:val="uk-UA"/>
        </w:rPr>
        <w:t xml:space="preserve">За результатами </w:t>
      </w:r>
      <w:proofErr w:type="spellStart"/>
      <w:r w:rsidRPr="001C3551">
        <w:rPr>
          <w:sz w:val="28"/>
          <w:lang w:val="uk-UA"/>
        </w:rPr>
        <w:t>проєкту</w:t>
      </w:r>
      <w:proofErr w:type="spellEnd"/>
      <w:r w:rsidRPr="001C3551">
        <w:rPr>
          <w:sz w:val="28"/>
          <w:lang w:val="uk-UA"/>
        </w:rPr>
        <w:t xml:space="preserve"> </w:t>
      </w:r>
      <w:r w:rsidRPr="001C3551">
        <w:rPr>
          <w:b/>
          <w:sz w:val="28"/>
          <w:lang w:val="uk-UA"/>
        </w:rPr>
        <w:t>«</w:t>
      </w:r>
      <w:r w:rsidRPr="00C65835">
        <w:rPr>
          <w:sz w:val="28"/>
          <w:lang w:val="uk-UA"/>
        </w:rPr>
        <w:t xml:space="preserve">Прозорі міста» - 2018 року, що реалізується </w:t>
      </w:r>
      <w:proofErr w:type="spellStart"/>
      <w:r w:rsidRPr="00C65835">
        <w:rPr>
          <w:sz w:val="28"/>
          <w:lang w:val="uk-UA"/>
        </w:rPr>
        <w:t>Transparency</w:t>
      </w:r>
      <w:proofErr w:type="spellEnd"/>
      <w:r w:rsidRPr="00C65835">
        <w:rPr>
          <w:sz w:val="28"/>
          <w:lang w:val="uk-UA"/>
        </w:rPr>
        <w:t xml:space="preserve"> </w:t>
      </w:r>
      <w:proofErr w:type="spellStart"/>
      <w:r w:rsidRPr="00C65835">
        <w:rPr>
          <w:sz w:val="28"/>
          <w:lang w:val="uk-UA"/>
        </w:rPr>
        <w:t>International</w:t>
      </w:r>
      <w:proofErr w:type="spellEnd"/>
      <w:r w:rsidRPr="00C65835">
        <w:rPr>
          <w:sz w:val="28"/>
          <w:lang w:val="uk-UA"/>
        </w:rPr>
        <w:t xml:space="preserve"> Україна, місто Житомир займає сьоме місце</w:t>
      </w:r>
      <w:r w:rsidRPr="001C3551">
        <w:rPr>
          <w:sz w:val="28"/>
          <w:lang w:val="uk-UA"/>
        </w:rPr>
        <w:t xml:space="preserve"> в рейтингу прозорості 100 найбільших міст України, набравши 63,85 балів з 100 можливих, </w:t>
      </w:r>
      <w:r w:rsidRPr="001C3551">
        <w:rPr>
          <w:color w:val="000000" w:themeColor="text1"/>
          <w:sz w:val="28"/>
          <w:lang w:val="uk-UA"/>
        </w:rPr>
        <w:t xml:space="preserve">у порівнянні з 2017 роком приріст становить 21,07 бали. </w:t>
      </w:r>
    </w:p>
    <w:p w:rsidR="00C65835" w:rsidRPr="001C3551" w:rsidRDefault="00C65835" w:rsidP="00C65835">
      <w:pPr>
        <w:pStyle w:val="af0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C3551">
        <w:rPr>
          <w:iCs/>
          <w:color w:val="000000" w:themeColor="text1"/>
          <w:sz w:val="28"/>
          <w:szCs w:val="28"/>
          <w:lang w:val="uk-UA"/>
        </w:rPr>
        <w:t>Даний рейтинг міст було складено за 91 індикатором у тринадцяти сферах. Зокрема, бралися до уваги фінансова та бюджетна сфера, закупівлі, житлова та комунальна політика, освіта, соціальні послуги, інформація про роботу місцевої влади та ін.</w:t>
      </w:r>
    </w:p>
    <w:p w:rsidR="00D91BAD" w:rsidRDefault="00D91BAD" w:rsidP="00D91BAD">
      <w:pPr>
        <w:ind w:firstLine="708"/>
        <w:jc w:val="both"/>
        <w:rPr>
          <w:iCs w:val="0"/>
          <w:sz w:val="28"/>
          <w:lang w:val="uk-UA"/>
        </w:rPr>
      </w:pPr>
      <w:r w:rsidRPr="00D91BAD">
        <w:rPr>
          <w:iCs w:val="0"/>
          <w:sz w:val="28"/>
          <w:lang w:val="uk-UA"/>
        </w:rPr>
        <w:t xml:space="preserve">Ще однією проблемою є брак безпосередньої взаємодії посадовців та депутатів з громадянами на етапі вироблення та прийняття </w:t>
      </w:r>
      <w:r>
        <w:rPr>
          <w:iCs w:val="0"/>
          <w:sz w:val="28"/>
          <w:lang w:val="uk-UA"/>
        </w:rPr>
        <w:t xml:space="preserve">управлінських </w:t>
      </w:r>
      <w:r w:rsidRPr="00D91BAD">
        <w:rPr>
          <w:iCs w:val="0"/>
          <w:sz w:val="28"/>
          <w:lang w:val="uk-UA"/>
        </w:rPr>
        <w:t>рішень</w:t>
      </w:r>
      <w:r>
        <w:rPr>
          <w:iCs w:val="0"/>
          <w:sz w:val="28"/>
          <w:lang w:val="uk-UA"/>
        </w:rPr>
        <w:t xml:space="preserve">, розподілу коштів </w:t>
      </w:r>
      <w:r w:rsidR="00343D88">
        <w:rPr>
          <w:iCs w:val="0"/>
          <w:sz w:val="28"/>
          <w:lang w:val="uk-UA"/>
        </w:rPr>
        <w:t>місцевого</w:t>
      </w:r>
      <w:r>
        <w:rPr>
          <w:iCs w:val="0"/>
          <w:sz w:val="28"/>
          <w:lang w:val="uk-UA"/>
        </w:rPr>
        <w:t xml:space="preserve"> бюджету тощо</w:t>
      </w:r>
      <w:r w:rsidR="00C22FB7">
        <w:rPr>
          <w:iCs w:val="0"/>
          <w:sz w:val="28"/>
          <w:lang w:val="uk-UA"/>
        </w:rPr>
        <w:t>.</w:t>
      </w:r>
    </w:p>
    <w:p w:rsidR="00C22FB7" w:rsidRDefault="00C22FB7" w:rsidP="00D91BAD">
      <w:pPr>
        <w:ind w:firstLine="708"/>
        <w:jc w:val="both"/>
        <w:rPr>
          <w:iCs w:val="0"/>
          <w:sz w:val="28"/>
          <w:lang w:val="uk-UA"/>
        </w:rPr>
      </w:pPr>
      <w:r>
        <w:rPr>
          <w:iCs w:val="0"/>
          <w:sz w:val="28"/>
          <w:lang w:val="uk-UA"/>
        </w:rPr>
        <w:t>Розв’язання вищезазначених проблем можливе шляхом реалізації програми «</w:t>
      </w:r>
      <w:r w:rsidRPr="00C22FB7">
        <w:rPr>
          <w:iCs w:val="0"/>
          <w:sz w:val="28"/>
          <w:lang w:val="uk-UA"/>
        </w:rPr>
        <w:t>Ефективна влада. Конкурентне місто».</w:t>
      </w:r>
    </w:p>
    <w:p w:rsidR="0037628A" w:rsidRDefault="00851FFE" w:rsidP="00307E5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FD02E5" w:rsidRDefault="008C348C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3" w:name="_Toc424524482"/>
      <w:bookmarkStart w:id="4" w:name="_Toc498994771"/>
      <w:r w:rsidRPr="008C348C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М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ЕТА ПРОГРАМИ</w:t>
      </w:r>
      <w:bookmarkEnd w:id="3"/>
      <w:bookmarkEnd w:id="4"/>
    </w:p>
    <w:p w:rsidR="00B26AA0" w:rsidRDefault="00B70725" w:rsidP="00C22FB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B26AA0">
        <w:rPr>
          <w:sz w:val="28"/>
          <w:lang w:val="uk-UA"/>
        </w:rPr>
        <w:t xml:space="preserve">Метою програми є </w:t>
      </w:r>
      <w:r w:rsidR="00692B2A">
        <w:rPr>
          <w:sz w:val="28"/>
          <w:lang w:val="uk-UA"/>
        </w:rPr>
        <w:t xml:space="preserve">підвищення рівня комфорту та якості життя в місті Житомирі </w:t>
      </w:r>
      <w:r w:rsidR="006C7AB6">
        <w:rPr>
          <w:sz w:val="28"/>
          <w:lang w:val="uk-UA"/>
        </w:rPr>
        <w:t>шляхом розвитку організаційної спроможності</w:t>
      </w:r>
      <w:r w:rsidR="00C22FB7">
        <w:rPr>
          <w:sz w:val="28"/>
          <w:lang w:val="uk-UA"/>
        </w:rPr>
        <w:t>,</w:t>
      </w:r>
      <w:r w:rsidR="00692B2A">
        <w:rPr>
          <w:sz w:val="28"/>
          <w:lang w:val="uk-UA"/>
        </w:rPr>
        <w:t xml:space="preserve"> підвищення рівня </w:t>
      </w:r>
      <w:r w:rsidR="00C22FB7">
        <w:rPr>
          <w:sz w:val="28"/>
          <w:lang w:val="uk-UA"/>
        </w:rPr>
        <w:t xml:space="preserve">відкритості, прозорості та </w:t>
      </w:r>
      <w:r w:rsidR="00692B2A">
        <w:rPr>
          <w:sz w:val="28"/>
          <w:lang w:val="uk-UA"/>
        </w:rPr>
        <w:t>публічності місцевої влади.</w:t>
      </w:r>
    </w:p>
    <w:p w:rsidR="00563829" w:rsidRPr="00692B2A" w:rsidRDefault="00563829" w:rsidP="00563829">
      <w:pPr>
        <w:pStyle w:val="af"/>
        <w:ind w:left="1065"/>
        <w:jc w:val="both"/>
        <w:rPr>
          <w:sz w:val="28"/>
          <w:lang w:val="uk-UA"/>
        </w:rPr>
      </w:pPr>
    </w:p>
    <w:p w:rsidR="008C348C" w:rsidRPr="008C348C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5" w:name="_Toc424524483"/>
      <w:bookmarkStart w:id="6" w:name="_Toc498994772"/>
      <w:r w:rsidRPr="008C348C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8C348C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5"/>
      <w:r w:rsidR="00E322BF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6"/>
    </w:p>
    <w:p w:rsidR="00E627FB" w:rsidRDefault="009767FA" w:rsidP="00E627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E627FB">
        <w:rPr>
          <w:sz w:val="28"/>
          <w:lang w:val="uk-UA"/>
        </w:rPr>
        <w:t>Службовці місцевого самоврядування та депутати місцевих рад</w:t>
      </w:r>
      <w:r w:rsidR="00E627FB" w:rsidRPr="00307E56">
        <w:rPr>
          <w:sz w:val="28"/>
          <w:lang w:val="uk-UA"/>
        </w:rPr>
        <w:t xml:space="preserve"> </w:t>
      </w:r>
      <w:r w:rsidR="00631FC7">
        <w:rPr>
          <w:sz w:val="28"/>
          <w:lang w:val="uk-UA"/>
        </w:rPr>
        <w:t>відіграють</w:t>
      </w:r>
      <w:r w:rsidR="00E627FB" w:rsidRPr="00307E56">
        <w:rPr>
          <w:sz w:val="28"/>
          <w:lang w:val="uk-UA"/>
        </w:rPr>
        <w:t xml:space="preserve"> ключову роль у здійсненні реформ на місцевому рівні. Саме вони </w:t>
      </w:r>
      <w:r w:rsidR="00631FC7">
        <w:rPr>
          <w:sz w:val="28"/>
          <w:lang w:val="uk-UA"/>
        </w:rPr>
        <w:t>є</w:t>
      </w:r>
      <w:r w:rsidR="00E627FB" w:rsidRPr="00307E56">
        <w:rPr>
          <w:sz w:val="28"/>
          <w:lang w:val="uk-UA"/>
        </w:rPr>
        <w:t xml:space="preserve"> ініціаторами і головними проектувальниками перетворень у місцевому самоврядуванні</w:t>
      </w:r>
      <w:r w:rsidR="00E627FB">
        <w:rPr>
          <w:sz w:val="28"/>
          <w:lang w:val="uk-UA"/>
        </w:rPr>
        <w:t>,</w:t>
      </w:r>
      <w:r w:rsidR="00E627FB" w:rsidRPr="00307E56">
        <w:rPr>
          <w:sz w:val="28"/>
          <w:lang w:val="uk-UA"/>
        </w:rPr>
        <w:t xml:space="preserve"> </w:t>
      </w:r>
      <w:r w:rsidR="00631FC7">
        <w:rPr>
          <w:sz w:val="28"/>
          <w:lang w:val="uk-UA"/>
        </w:rPr>
        <w:t xml:space="preserve">і тому вони повинні бути </w:t>
      </w:r>
      <w:r w:rsidR="00E627FB" w:rsidRPr="00307E56">
        <w:rPr>
          <w:sz w:val="28"/>
          <w:lang w:val="uk-UA"/>
        </w:rPr>
        <w:t>ефектив</w:t>
      </w:r>
      <w:r w:rsidR="00631FC7">
        <w:rPr>
          <w:sz w:val="28"/>
          <w:lang w:val="uk-UA"/>
        </w:rPr>
        <w:t>ними менеджерами та</w:t>
      </w:r>
      <w:r w:rsidR="00E627FB" w:rsidRPr="00307E56">
        <w:rPr>
          <w:sz w:val="28"/>
          <w:lang w:val="uk-UA"/>
        </w:rPr>
        <w:t xml:space="preserve"> лідерами </w:t>
      </w:r>
      <w:r w:rsidR="00E627FB">
        <w:rPr>
          <w:sz w:val="28"/>
          <w:lang w:val="uk-UA"/>
        </w:rPr>
        <w:t xml:space="preserve">проектних </w:t>
      </w:r>
      <w:r w:rsidR="00E627FB" w:rsidRPr="00307E56">
        <w:rPr>
          <w:sz w:val="28"/>
          <w:lang w:val="uk-UA"/>
        </w:rPr>
        <w:t>команд</w:t>
      </w:r>
      <w:r w:rsidR="00E627FB">
        <w:rPr>
          <w:sz w:val="28"/>
          <w:lang w:val="uk-UA"/>
        </w:rPr>
        <w:t xml:space="preserve">. </w:t>
      </w:r>
    </w:p>
    <w:p w:rsidR="00E627FB" w:rsidRDefault="00E627FB" w:rsidP="00E627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307E56">
        <w:rPr>
          <w:sz w:val="28"/>
          <w:lang w:val="uk-UA"/>
        </w:rPr>
        <w:t xml:space="preserve">ля сучасного муніципального службовця </w:t>
      </w:r>
      <w:r>
        <w:rPr>
          <w:sz w:val="28"/>
          <w:lang w:val="uk-UA"/>
        </w:rPr>
        <w:t xml:space="preserve">та депутата місцевої ради </w:t>
      </w:r>
      <w:r w:rsidRPr="00307E56">
        <w:rPr>
          <w:sz w:val="28"/>
          <w:lang w:val="uk-UA"/>
        </w:rPr>
        <w:t>не є достатнім мати необхідні зна</w:t>
      </w:r>
      <w:r>
        <w:rPr>
          <w:sz w:val="28"/>
          <w:lang w:val="uk-UA"/>
        </w:rPr>
        <w:t>ння у економічній, соціальній,</w:t>
      </w:r>
      <w:r w:rsidRPr="00307E56">
        <w:rPr>
          <w:sz w:val="28"/>
          <w:lang w:val="uk-UA"/>
        </w:rPr>
        <w:t xml:space="preserve"> правовій сферах та вміти застосувати їх на практиці, він має володіти численними управлінськими та комунікативними навичками</w:t>
      </w:r>
      <w:r>
        <w:rPr>
          <w:sz w:val="28"/>
          <w:lang w:val="uk-UA"/>
        </w:rPr>
        <w:t>.</w:t>
      </w:r>
    </w:p>
    <w:p w:rsidR="009767FA" w:rsidRDefault="009767FA" w:rsidP="009767F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9767FA" w:rsidRPr="009767FA" w:rsidRDefault="009767FA" w:rsidP="009767FA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 w:rsidRPr="009767FA">
        <w:rPr>
          <w:i/>
          <w:sz w:val="28"/>
          <w:lang w:val="uk-UA"/>
        </w:rPr>
        <w:lastRenderedPageBreak/>
        <w:t>підвищення рівня організаційної (інституційної) спроможності депутатів, членів виконкому та посадових осіб виконавчих органів Житомирської міської ради.</w:t>
      </w:r>
    </w:p>
    <w:p w:rsidR="00E73BEF" w:rsidRDefault="009767FA" w:rsidP="0056382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="00557EA2">
        <w:rPr>
          <w:sz w:val="28"/>
          <w:lang w:val="uk-UA"/>
        </w:rPr>
        <w:t>В демократичному суспільстві</w:t>
      </w:r>
      <w:r w:rsidR="00E73BEF" w:rsidRPr="00E73BEF">
        <w:rPr>
          <w:sz w:val="28"/>
          <w:lang w:val="uk-UA"/>
        </w:rPr>
        <w:t xml:space="preserve"> публічність влади </w:t>
      </w:r>
      <w:r w:rsidR="00557EA2" w:rsidRPr="00E73BEF">
        <w:rPr>
          <w:sz w:val="28"/>
          <w:lang w:val="uk-UA"/>
        </w:rPr>
        <w:t>розціню</w:t>
      </w:r>
      <w:r w:rsidR="00557EA2">
        <w:rPr>
          <w:sz w:val="28"/>
          <w:lang w:val="uk-UA"/>
        </w:rPr>
        <w:t>ється</w:t>
      </w:r>
      <w:r w:rsidR="00557EA2" w:rsidRPr="00E73BEF">
        <w:rPr>
          <w:sz w:val="28"/>
          <w:lang w:val="uk-UA"/>
        </w:rPr>
        <w:t xml:space="preserve"> </w:t>
      </w:r>
      <w:r w:rsidR="00E73BEF" w:rsidRPr="00E73BEF">
        <w:rPr>
          <w:sz w:val="28"/>
          <w:lang w:val="uk-UA"/>
        </w:rPr>
        <w:t>як базов</w:t>
      </w:r>
      <w:r w:rsidR="00A57933">
        <w:rPr>
          <w:sz w:val="28"/>
          <w:lang w:val="uk-UA"/>
        </w:rPr>
        <w:t>а</w:t>
      </w:r>
      <w:r w:rsidR="00E73BEF" w:rsidRPr="00E73BEF">
        <w:rPr>
          <w:sz w:val="28"/>
          <w:lang w:val="uk-UA"/>
        </w:rPr>
        <w:t xml:space="preserve"> ознак</w:t>
      </w:r>
      <w:r w:rsidR="00A57933">
        <w:rPr>
          <w:sz w:val="28"/>
          <w:lang w:val="uk-UA"/>
        </w:rPr>
        <w:t>а</w:t>
      </w:r>
      <w:r w:rsidR="00E73BEF" w:rsidRPr="00E73BEF">
        <w:rPr>
          <w:sz w:val="28"/>
          <w:lang w:val="uk-UA"/>
        </w:rPr>
        <w:t xml:space="preserve"> доброго врядування (</w:t>
      </w:r>
      <w:proofErr w:type="spellStart"/>
      <w:r w:rsidR="00E73BEF" w:rsidRPr="00E73BEF">
        <w:rPr>
          <w:sz w:val="28"/>
          <w:lang w:val="uk-UA"/>
        </w:rPr>
        <w:t>good</w:t>
      </w:r>
      <w:proofErr w:type="spellEnd"/>
      <w:r w:rsidR="00E73BEF" w:rsidRPr="00E73BEF">
        <w:rPr>
          <w:sz w:val="28"/>
          <w:lang w:val="uk-UA"/>
        </w:rPr>
        <w:t xml:space="preserve"> </w:t>
      </w:r>
      <w:proofErr w:type="spellStart"/>
      <w:r w:rsidR="00E73BEF" w:rsidRPr="00E73BEF">
        <w:rPr>
          <w:sz w:val="28"/>
          <w:lang w:val="uk-UA"/>
        </w:rPr>
        <w:t>governance</w:t>
      </w:r>
      <w:proofErr w:type="spellEnd"/>
      <w:r w:rsidR="00E73BEF" w:rsidRPr="00E73BEF">
        <w:rPr>
          <w:sz w:val="28"/>
          <w:lang w:val="uk-UA"/>
        </w:rPr>
        <w:t>)</w:t>
      </w:r>
      <w:r w:rsidR="00557EA2">
        <w:rPr>
          <w:sz w:val="28"/>
          <w:lang w:val="uk-UA"/>
        </w:rPr>
        <w:t xml:space="preserve"> та вважається</w:t>
      </w:r>
      <w:r w:rsidR="00E73BEF" w:rsidRPr="00E73BEF">
        <w:rPr>
          <w:sz w:val="28"/>
          <w:lang w:val="uk-UA"/>
        </w:rPr>
        <w:t>, що публічність владних інституцій позитивно впливає на якість життя громадян. Особливо це стосується рівня місцевого самоврядування, де влада є найближчою до людей і надає їм основні суспільні послуги.</w:t>
      </w:r>
    </w:p>
    <w:p w:rsidR="00B62EFA" w:rsidRDefault="00557EA2" w:rsidP="006C7AB6">
      <w:pPr>
        <w:ind w:firstLine="708"/>
        <w:jc w:val="both"/>
        <w:rPr>
          <w:sz w:val="28"/>
          <w:lang w:val="uk-UA"/>
        </w:rPr>
      </w:pPr>
      <w:r w:rsidRPr="00E73BEF">
        <w:rPr>
          <w:sz w:val="28"/>
          <w:lang w:val="uk-UA"/>
        </w:rPr>
        <w:t>Під публічністю місцевого самоврядування розуміється комплекс управлінських та політичних заходів, до яких вдаються органи та посадові особи місцевого самоврядування, з метою забезпечення максимально відкритих і приязних взаємовідносин з громадянами та підвищення рівня загальної дові</w:t>
      </w:r>
      <w:r w:rsidR="009767FA">
        <w:rPr>
          <w:sz w:val="28"/>
          <w:lang w:val="uk-UA"/>
        </w:rPr>
        <w:t>ри до муніципальних інституцій.</w:t>
      </w:r>
    </w:p>
    <w:p w:rsidR="009767FA" w:rsidRDefault="009767FA" w:rsidP="009767F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9767FA" w:rsidRPr="009767FA" w:rsidRDefault="009767FA" w:rsidP="009767FA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 w:rsidRPr="009767FA">
        <w:rPr>
          <w:i/>
          <w:sz w:val="28"/>
          <w:lang w:val="uk-UA"/>
        </w:rPr>
        <w:t>підвищення рівня прозорості, відкритості та підзвітності міського голови, депутатів та виконавчих ор</w:t>
      </w:r>
      <w:r w:rsidR="000801C5">
        <w:rPr>
          <w:i/>
          <w:sz w:val="28"/>
          <w:lang w:val="uk-UA"/>
        </w:rPr>
        <w:t>ганів Житомирської міської ради</w:t>
      </w:r>
      <w:r w:rsidRPr="009767FA">
        <w:rPr>
          <w:i/>
          <w:sz w:val="28"/>
          <w:lang w:val="uk-UA"/>
        </w:rPr>
        <w:t>.</w:t>
      </w:r>
    </w:p>
    <w:p w:rsidR="009767FA" w:rsidRPr="00581821" w:rsidRDefault="009767FA" w:rsidP="006C7AB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581821">
        <w:rPr>
          <w:sz w:val="28"/>
          <w:lang w:val="uk-UA"/>
        </w:rPr>
        <w:t xml:space="preserve">Одним із сучасних світових та українських трендів є залучення </w:t>
      </w:r>
      <w:r w:rsidR="00581821" w:rsidRPr="00581821">
        <w:rPr>
          <w:sz w:val="28"/>
          <w:lang w:val="uk-UA"/>
        </w:rPr>
        <w:t xml:space="preserve">громадян в </w:t>
      </w:r>
      <w:r w:rsidR="00581821">
        <w:rPr>
          <w:sz w:val="28"/>
          <w:lang w:val="uk-UA"/>
        </w:rPr>
        <w:t xml:space="preserve">процес </w:t>
      </w:r>
      <w:r w:rsidR="00581821" w:rsidRPr="00581821">
        <w:rPr>
          <w:sz w:val="28"/>
          <w:lang w:val="uk-UA"/>
        </w:rPr>
        <w:t>обговорен</w:t>
      </w:r>
      <w:r w:rsidR="00581821">
        <w:rPr>
          <w:sz w:val="28"/>
          <w:lang w:val="uk-UA"/>
        </w:rPr>
        <w:t>ня та прийняття управлінських</w:t>
      </w:r>
      <w:r w:rsidR="00581821" w:rsidRPr="00581821">
        <w:rPr>
          <w:sz w:val="28"/>
          <w:lang w:val="uk-UA"/>
        </w:rPr>
        <w:t xml:space="preserve"> рішень з питань </w:t>
      </w:r>
      <w:r w:rsidR="00581821">
        <w:rPr>
          <w:sz w:val="28"/>
          <w:lang w:val="uk-UA"/>
        </w:rPr>
        <w:t xml:space="preserve">соціально-економічного і культурного розвитку громади, впровадження інструментів прямої демократії. Це дозволяє </w:t>
      </w:r>
      <w:r w:rsidR="008814B2">
        <w:rPr>
          <w:sz w:val="28"/>
          <w:lang w:val="uk-UA"/>
        </w:rPr>
        <w:t xml:space="preserve">максимально </w:t>
      </w:r>
      <w:r w:rsidR="00581821">
        <w:rPr>
          <w:sz w:val="28"/>
          <w:lang w:val="uk-UA"/>
        </w:rPr>
        <w:t>наблизити</w:t>
      </w:r>
      <w:r w:rsidR="008814B2">
        <w:rPr>
          <w:sz w:val="28"/>
          <w:lang w:val="uk-UA"/>
        </w:rPr>
        <w:t xml:space="preserve"> місцеві бюджети</w:t>
      </w:r>
      <w:r w:rsidR="00581821">
        <w:rPr>
          <w:sz w:val="28"/>
          <w:lang w:val="uk-UA"/>
        </w:rPr>
        <w:t xml:space="preserve"> </w:t>
      </w:r>
      <w:r w:rsidR="008814B2">
        <w:rPr>
          <w:sz w:val="28"/>
          <w:lang w:val="uk-UA"/>
        </w:rPr>
        <w:t>до потреб цільових груп.</w:t>
      </w:r>
    </w:p>
    <w:p w:rsidR="00581821" w:rsidRDefault="00581821" w:rsidP="0058182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581821" w:rsidRPr="00581821" w:rsidRDefault="00581821" w:rsidP="00581821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впровадження </w:t>
      </w:r>
      <w:proofErr w:type="spellStart"/>
      <w:r>
        <w:rPr>
          <w:i/>
          <w:sz w:val="28"/>
          <w:lang w:val="uk-UA"/>
        </w:rPr>
        <w:t>партисипативних</w:t>
      </w:r>
      <w:proofErr w:type="spellEnd"/>
      <w:r>
        <w:rPr>
          <w:i/>
          <w:sz w:val="28"/>
          <w:lang w:val="uk-UA"/>
        </w:rPr>
        <w:t xml:space="preserve"> практик</w:t>
      </w:r>
      <w:r w:rsidRPr="00581821">
        <w:rPr>
          <w:i/>
          <w:sz w:val="28"/>
          <w:lang w:val="uk-UA"/>
        </w:rPr>
        <w:t>.</w:t>
      </w:r>
    </w:p>
    <w:p w:rsidR="00F85F9A" w:rsidRDefault="00F85F9A" w:rsidP="00F85F9A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F85F9A">
        <w:rPr>
          <w:rStyle w:val="FontStyle62"/>
          <w:sz w:val="28"/>
          <w:lang w:val="uk-UA" w:eastAsia="uk-UA"/>
        </w:rPr>
        <w:t xml:space="preserve">Детальний перелік </w:t>
      </w:r>
      <w:r>
        <w:rPr>
          <w:rStyle w:val="FontStyle62"/>
          <w:sz w:val="28"/>
          <w:lang w:val="uk-UA" w:eastAsia="uk-UA"/>
        </w:rPr>
        <w:t>завдань та заходів П</w:t>
      </w:r>
      <w:r w:rsidRPr="00F85F9A">
        <w:rPr>
          <w:rStyle w:val="FontStyle62"/>
          <w:sz w:val="28"/>
          <w:lang w:val="uk-UA" w:eastAsia="uk-UA"/>
        </w:rPr>
        <w:t>рограми представлений в додатку А.</w:t>
      </w:r>
    </w:p>
    <w:p w:rsidR="00F85F9A" w:rsidRPr="00F85F9A" w:rsidRDefault="00F85F9A" w:rsidP="00F85F9A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F85F9A">
        <w:rPr>
          <w:rStyle w:val="FontStyle62"/>
          <w:sz w:val="28"/>
          <w:lang w:val="uk-UA" w:eastAsia="uk-UA"/>
        </w:rPr>
        <w:t>Показники результативності завдань та заходів Програми представлені в додатку Б.</w:t>
      </w:r>
    </w:p>
    <w:p w:rsidR="006C7AB6" w:rsidRPr="006C7AB6" w:rsidRDefault="006C7AB6" w:rsidP="006C7AB6">
      <w:pPr>
        <w:ind w:firstLine="708"/>
        <w:jc w:val="both"/>
        <w:rPr>
          <w:sz w:val="28"/>
          <w:lang w:val="uk-UA"/>
        </w:rPr>
      </w:pPr>
    </w:p>
    <w:p w:rsidR="004116C9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7" w:name="_Toc498994773"/>
      <w:bookmarkStart w:id="8" w:name="_Toc424524484"/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7"/>
    </w:p>
    <w:p w:rsidR="00355E95" w:rsidRPr="00172581" w:rsidRDefault="00355E95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Завдяки реалізації заходів Програми планується досягти наступни</w:t>
      </w:r>
      <w:r w:rsidR="00063E01">
        <w:rPr>
          <w:snapToGrid w:val="0"/>
          <w:sz w:val="28"/>
          <w:lang w:val="uk-UA"/>
        </w:rPr>
        <w:t>х результатів</w:t>
      </w:r>
      <w:r>
        <w:rPr>
          <w:snapToGrid w:val="0"/>
          <w:sz w:val="28"/>
          <w:lang w:val="uk-UA"/>
        </w:rPr>
        <w:t>:</w:t>
      </w:r>
    </w:p>
    <w:p w:rsidR="00355E95" w:rsidRDefault="00355E95" w:rsidP="00355E95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індекс задоволеності якості 22 сфер та послуг міста Житомир згідно шкали та методології оцінки Міжнародного республіканського інституту – не нижче 3,5 балів (за 202</w:t>
      </w:r>
      <w:r w:rsidR="003776C3">
        <w:rPr>
          <w:sz w:val="28"/>
          <w:lang w:val="uk-UA"/>
        </w:rPr>
        <w:t>0</w:t>
      </w:r>
      <w:r>
        <w:rPr>
          <w:sz w:val="28"/>
          <w:lang w:val="uk-UA"/>
        </w:rPr>
        <w:t xml:space="preserve"> рік).</w:t>
      </w:r>
    </w:p>
    <w:p w:rsidR="00355E95" w:rsidRDefault="00355E95" w:rsidP="00355E95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індекс публічності Житомирської міської ради згідно шкали та методології оцінки громад</w:t>
      </w:r>
      <w:r w:rsidR="00DB0B36">
        <w:rPr>
          <w:sz w:val="28"/>
          <w:lang w:val="uk-UA"/>
        </w:rPr>
        <w:t>ян</w:t>
      </w:r>
      <w:r>
        <w:rPr>
          <w:sz w:val="28"/>
          <w:lang w:val="uk-UA"/>
        </w:rPr>
        <w:t>ської мережі «ОПОРА» – 70,0% (за 202</w:t>
      </w:r>
      <w:r w:rsidR="003776C3">
        <w:rPr>
          <w:sz w:val="28"/>
          <w:lang w:val="uk-UA"/>
        </w:rPr>
        <w:t>0</w:t>
      </w:r>
      <w:r>
        <w:rPr>
          <w:sz w:val="28"/>
          <w:lang w:val="uk-UA"/>
        </w:rPr>
        <w:t xml:space="preserve"> рік).</w:t>
      </w:r>
    </w:p>
    <w:p w:rsidR="004E7AC1" w:rsidRDefault="004E7AC1" w:rsidP="004E7AC1">
      <w:pPr>
        <w:ind w:left="705"/>
        <w:jc w:val="both"/>
        <w:rPr>
          <w:sz w:val="28"/>
          <w:lang w:val="uk-UA"/>
        </w:rPr>
      </w:pPr>
      <w:r>
        <w:rPr>
          <w:sz w:val="28"/>
          <w:lang w:val="uk-UA"/>
        </w:rPr>
        <w:t>Крім цього, за рахунок впровадження заходів Програми очікується:</w:t>
      </w:r>
    </w:p>
    <w:p w:rsidR="004E7AC1" w:rsidRDefault="004E7AC1" w:rsidP="004E7AC1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зменшити кількість </w:t>
      </w:r>
      <w:r w:rsidR="00CA3530">
        <w:rPr>
          <w:sz w:val="28"/>
          <w:lang w:val="uk-UA"/>
        </w:rPr>
        <w:t xml:space="preserve">оскаржених та </w:t>
      </w:r>
      <w:r>
        <w:rPr>
          <w:sz w:val="28"/>
          <w:lang w:val="uk-UA"/>
        </w:rPr>
        <w:t>скасованих рішенням суду рішень виконавчого комітету та міської ради;</w:t>
      </w:r>
    </w:p>
    <w:p w:rsidR="004E7AC1" w:rsidRDefault="004E7AC1" w:rsidP="004E7AC1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підвищити рівень довіри до місцевої влади;</w:t>
      </w:r>
    </w:p>
    <w:p w:rsidR="00355E95" w:rsidRPr="00CA3530" w:rsidRDefault="004E7AC1" w:rsidP="00CA3530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підвищити рівень престижності роботи у </w:t>
      </w:r>
      <w:r w:rsidR="00CA3530">
        <w:rPr>
          <w:sz w:val="28"/>
          <w:lang w:val="uk-UA"/>
        </w:rPr>
        <w:t>виконавчих органах міської ради</w:t>
      </w:r>
      <w:r w:rsidR="00B55560" w:rsidRPr="00CA3530">
        <w:rPr>
          <w:sz w:val="28"/>
          <w:lang w:val="uk-UA"/>
        </w:rPr>
        <w:t>.</w:t>
      </w:r>
    </w:p>
    <w:p w:rsidR="00355E95" w:rsidRPr="00355E95" w:rsidRDefault="00355E95" w:rsidP="00355E95">
      <w:pPr>
        <w:ind w:left="705"/>
        <w:jc w:val="both"/>
        <w:rPr>
          <w:sz w:val="28"/>
          <w:lang w:val="uk-UA"/>
        </w:rPr>
      </w:pPr>
    </w:p>
    <w:p w:rsidR="004116C9" w:rsidRDefault="004116C9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9" w:name="_Toc498994774"/>
      <w:r>
        <w:rPr>
          <w:rFonts w:ascii="Times New Roman" w:eastAsia="Times New Roman" w:hAnsi="Times New Roman" w:cs="Times New Roman"/>
          <w:color w:val="auto"/>
          <w:lang w:val="uk-UA"/>
        </w:rPr>
        <w:lastRenderedPageBreak/>
        <w:t>6</w:t>
      </w:r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9"/>
    </w:p>
    <w:p w:rsidR="00F85F9A" w:rsidRDefault="00F85F9A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sz w:val="28"/>
          <w:lang w:val="uk-UA"/>
        </w:rPr>
        <w:t>Фінансування П</w:t>
      </w:r>
      <w:r w:rsidRPr="00A356C1">
        <w:rPr>
          <w:sz w:val="28"/>
          <w:lang w:val="uk-UA"/>
        </w:rPr>
        <w:t>рограми</w:t>
      </w:r>
      <w:r>
        <w:rPr>
          <w:sz w:val="28"/>
          <w:lang w:val="uk-UA"/>
        </w:rPr>
        <w:t xml:space="preserve"> здійснюється за рахунок коштів </w:t>
      </w:r>
      <w:r w:rsidR="00343D88">
        <w:rPr>
          <w:sz w:val="28"/>
          <w:lang w:val="uk-UA"/>
        </w:rPr>
        <w:t xml:space="preserve">місцевого </w:t>
      </w:r>
      <w:r>
        <w:rPr>
          <w:sz w:val="28"/>
          <w:lang w:val="uk-UA"/>
        </w:rPr>
        <w:t>бюджету та інших джерел, не заборонених чинним законодавством України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:rsidR="003B3606" w:rsidRDefault="003B3606" w:rsidP="004116C9">
      <w:pPr>
        <w:widowControl w:val="0"/>
        <w:ind w:firstLine="708"/>
        <w:jc w:val="right"/>
        <w:rPr>
          <w:sz w:val="28"/>
          <w:lang w:val="uk-UA"/>
        </w:rPr>
      </w:pPr>
    </w:p>
    <w:p w:rsidR="004116C9" w:rsidRPr="0021527B" w:rsidRDefault="004116C9" w:rsidP="004116C9">
      <w:pPr>
        <w:widowControl w:val="0"/>
        <w:ind w:firstLine="708"/>
        <w:jc w:val="right"/>
        <w:rPr>
          <w:sz w:val="28"/>
          <w:lang w:val="uk-UA"/>
        </w:rPr>
      </w:pPr>
      <w:bookmarkStart w:id="10" w:name="_GoBack"/>
      <w:bookmarkEnd w:id="10"/>
      <w:r>
        <w:rPr>
          <w:sz w:val="28"/>
          <w:lang w:val="uk-UA"/>
        </w:rPr>
        <w:t xml:space="preserve">Таблиця </w:t>
      </w:r>
      <w:r w:rsidR="005D100D">
        <w:rPr>
          <w:sz w:val="28"/>
          <w:lang w:val="uk-UA"/>
        </w:rPr>
        <w:t>6</w:t>
      </w:r>
      <w:r>
        <w:rPr>
          <w:sz w:val="28"/>
          <w:lang w:val="uk-UA"/>
        </w:rPr>
        <w:t>.1.</w:t>
      </w:r>
    </w:p>
    <w:p w:rsidR="004116C9" w:rsidRPr="009A4B91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</w:rPr>
      </w:pPr>
      <w:r w:rsidRPr="00D5746A">
        <w:rPr>
          <w:rFonts w:ascii="Times New Roman CYR" w:hAnsi="Times New Roman CYR"/>
          <w:color w:val="000000"/>
        </w:rPr>
        <w:t xml:space="preserve">Ресурсне забезпечення </w:t>
      </w:r>
      <w:r w:rsidRPr="00D5746A">
        <w:rPr>
          <w:bCs/>
          <w:iCs/>
          <w:color w:val="000000"/>
        </w:rPr>
        <w:t>Програми на 201</w:t>
      </w:r>
      <w:r w:rsidR="00F85F9A">
        <w:rPr>
          <w:bCs/>
          <w:iCs/>
          <w:color w:val="000000"/>
        </w:rPr>
        <w:t>8-2022</w:t>
      </w:r>
      <w:r w:rsidRPr="00D5746A">
        <w:rPr>
          <w:bCs/>
          <w:iCs/>
          <w:color w:val="000000"/>
        </w:rPr>
        <w:t xml:space="preserve"> роки</w:t>
      </w:r>
      <w:r>
        <w:rPr>
          <w:bCs/>
          <w:iCs/>
          <w:color w:val="000000"/>
        </w:rPr>
        <w:t>, тис. грн.</w:t>
      </w:r>
    </w:p>
    <w:tbl>
      <w:tblPr>
        <w:tblStyle w:val="af1"/>
        <w:tblW w:w="9352" w:type="dxa"/>
        <w:tblCellMar>
          <w:left w:w="28" w:type="dxa"/>
          <w:right w:w="28" w:type="dxa"/>
        </w:tblCellMar>
        <w:tblLook w:val="01E0"/>
      </w:tblPr>
      <w:tblGrid>
        <w:gridCol w:w="3730"/>
        <w:gridCol w:w="1270"/>
        <w:gridCol w:w="1270"/>
        <w:gridCol w:w="1271"/>
        <w:gridCol w:w="1811"/>
      </w:tblGrid>
      <w:tr w:rsidR="003776C3" w:rsidRPr="00C22FB7" w:rsidTr="003B3606">
        <w:trPr>
          <w:trHeight w:val="841"/>
          <w:tblHeader/>
        </w:trPr>
        <w:tc>
          <w:tcPr>
            <w:tcW w:w="3730" w:type="dxa"/>
            <w:shd w:val="clear" w:color="auto" w:fill="DBE5F1" w:themeFill="accent1" w:themeFillTint="33"/>
            <w:vAlign w:val="center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bookmarkStart w:id="11" w:name="_Hlk498985586"/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Обсяг коштів, що пропонується залучити на виконання Програми</w:t>
            </w:r>
          </w:p>
        </w:tc>
        <w:tc>
          <w:tcPr>
            <w:tcW w:w="1270" w:type="dxa"/>
            <w:shd w:val="clear" w:color="auto" w:fill="DBE5F1" w:themeFill="accent1" w:themeFillTint="33"/>
            <w:vAlign w:val="center"/>
          </w:tcPr>
          <w:p w:rsidR="00B73CE4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0" w:type="dxa"/>
            <w:shd w:val="clear" w:color="auto" w:fill="DBE5F1" w:themeFill="accent1" w:themeFillTint="33"/>
            <w:vAlign w:val="center"/>
          </w:tcPr>
          <w:p w:rsidR="00B73CE4" w:rsidRPr="00C22FB7" w:rsidRDefault="00B73CE4" w:rsidP="00B73CE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1" w:type="dxa"/>
            <w:shd w:val="clear" w:color="auto" w:fill="DBE5F1" w:themeFill="accent1" w:themeFillTint="33"/>
            <w:vAlign w:val="center"/>
          </w:tcPr>
          <w:p w:rsidR="00B73CE4" w:rsidRPr="00C22FB7" w:rsidRDefault="00B73CE4" w:rsidP="00B73CE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ІІІ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11" w:type="dxa"/>
            <w:shd w:val="clear" w:color="auto" w:fill="DBE5F1" w:themeFill="accent1" w:themeFillTint="33"/>
            <w:vAlign w:val="center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Всього витрат на виконання Програми</w:t>
            </w:r>
          </w:p>
        </w:tc>
      </w:tr>
      <w:bookmarkEnd w:id="11"/>
      <w:tr w:rsidR="003776C3" w:rsidRPr="00C22FB7" w:rsidTr="003776C3">
        <w:trPr>
          <w:trHeight w:val="78"/>
        </w:trPr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Обсяг ресурсів, всього, у тому числі:</w:t>
            </w:r>
          </w:p>
        </w:tc>
        <w:tc>
          <w:tcPr>
            <w:tcW w:w="1270" w:type="dxa"/>
            <w:vAlign w:val="center"/>
          </w:tcPr>
          <w:p w:rsidR="003776C3" w:rsidRPr="0023264F" w:rsidRDefault="0023264F" w:rsidP="0023264F">
            <w:pPr>
              <w:jc w:val="center"/>
              <w:rPr>
                <w:sz w:val="20"/>
                <w:szCs w:val="20"/>
                <w:lang w:val="uk-UA"/>
              </w:rPr>
            </w:pPr>
            <w:r w:rsidRPr="0023264F">
              <w:rPr>
                <w:iCs w:val="0"/>
                <w:sz w:val="20"/>
                <w:szCs w:val="20"/>
                <w:lang w:val="uk-UA"/>
              </w:rPr>
              <w:t xml:space="preserve"> </w:t>
            </w:r>
            <w:r w:rsidRPr="0023264F">
              <w:rPr>
                <w:sz w:val="20"/>
                <w:szCs w:val="20"/>
              </w:rPr>
              <w:t>1</w:t>
            </w:r>
            <w:r w:rsidRPr="0023264F">
              <w:rPr>
                <w:sz w:val="20"/>
                <w:szCs w:val="20"/>
                <w:lang w:val="uk-UA"/>
              </w:rPr>
              <w:t>5461</w:t>
            </w:r>
            <w:r w:rsidRPr="0023264F">
              <w:rPr>
                <w:sz w:val="20"/>
                <w:szCs w:val="20"/>
              </w:rPr>
              <w:t>,</w:t>
            </w:r>
            <w:r w:rsidRPr="0023264F">
              <w:rPr>
                <w:sz w:val="20"/>
                <w:szCs w:val="20"/>
                <w:lang w:val="uk-UA"/>
              </w:rPr>
              <w:t>84</w:t>
            </w:r>
            <w:r w:rsidRPr="0023264F">
              <w:rPr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3776C3" w:rsidRPr="003B3606" w:rsidRDefault="0023264F" w:rsidP="00A4195D">
            <w:pPr>
              <w:jc w:val="center"/>
              <w:rPr>
                <w:iCs w:val="0"/>
                <w:color w:val="000000" w:themeColor="text1"/>
                <w:sz w:val="20"/>
                <w:szCs w:val="20"/>
                <w:lang w:val="uk-UA"/>
              </w:rPr>
            </w:pPr>
            <w:r w:rsidRPr="003B3606">
              <w:rPr>
                <w:iCs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3B3606">
              <w:rPr>
                <w:color w:val="000000" w:themeColor="text1"/>
                <w:sz w:val="20"/>
                <w:szCs w:val="20"/>
                <w:lang w:val="uk-UA"/>
              </w:rPr>
              <w:t>22</w:t>
            </w:r>
            <w:r w:rsidR="00F11E68">
              <w:rPr>
                <w:color w:val="000000" w:themeColor="text1"/>
                <w:sz w:val="20"/>
                <w:szCs w:val="20"/>
                <w:lang w:val="uk-UA"/>
              </w:rPr>
              <w:t>76</w:t>
            </w:r>
            <w:r w:rsidRPr="003B3606">
              <w:rPr>
                <w:color w:val="000000" w:themeColor="text1"/>
                <w:sz w:val="20"/>
                <w:szCs w:val="20"/>
                <w:lang w:val="uk-UA"/>
              </w:rPr>
              <w:t>8,9</w:t>
            </w:r>
          </w:p>
        </w:tc>
        <w:tc>
          <w:tcPr>
            <w:tcW w:w="1271" w:type="dxa"/>
            <w:vAlign w:val="center"/>
          </w:tcPr>
          <w:p w:rsidR="003776C3" w:rsidRPr="00F11E68" w:rsidRDefault="00E902ED" w:rsidP="00E902E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3322</w:t>
            </w:r>
            <w:r w:rsidR="00F11E68" w:rsidRPr="00F11E68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11" w:type="dxa"/>
            <w:vAlign w:val="center"/>
          </w:tcPr>
          <w:p w:rsidR="003776C3" w:rsidRPr="00F11E68" w:rsidRDefault="00F11E68" w:rsidP="00E902E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F11E68">
              <w:rPr>
                <w:sz w:val="20"/>
                <w:szCs w:val="22"/>
                <w:lang w:val="uk-UA"/>
              </w:rPr>
              <w:t>41</w:t>
            </w:r>
            <w:r w:rsidR="00E902ED">
              <w:rPr>
                <w:sz w:val="20"/>
                <w:szCs w:val="22"/>
                <w:lang w:val="uk-UA"/>
              </w:rPr>
              <w:t>552</w:t>
            </w:r>
            <w:r w:rsidRPr="00F11E68">
              <w:rPr>
                <w:sz w:val="20"/>
                <w:szCs w:val="22"/>
                <w:lang w:val="uk-UA"/>
              </w:rPr>
              <w:t>,</w:t>
            </w:r>
            <w:r w:rsidR="00E902ED">
              <w:rPr>
                <w:sz w:val="20"/>
                <w:szCs w:val="22"/>
                <w:lang w:val="uk-UA"/>
              </w:rPr>
              <w:t>9</w:t>
            </w:r>
            <w:r w:rsidRPr="00F11E68">
              <w:rPr>
                <w:sz w:val="20"/>
                <w:szCs w:val="22"/>
                <w:lang w:val="uk-UA"/>
              </w:rPr>
              <w:t>49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270" w:type="dxa"/>
            <w:vAlign w:val="center"/>
          </w:tcPr>
          <w:p w:rsidR="003776C3" w:rsidRPr="0023264F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23264F">
              <w:rPr>
                <w:sz w:val="20"/>
                <w:szCs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3776C3" w:rsidRPr="003B3606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B3606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1" w:type="dxa"/>
            <w:vAlign w:val="center"/>
          </w:tcPr>
          <w:p w:rsidR="003776C3" w:rsidRPr="00F11E68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F11E6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11" w:type="dxa"/>
            <w:vAlign w:val="center"/>
          </w:tcPr>
          <w:p w:rsidR="003776C3" w:rsidRPr="00F11E68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F11E68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43D88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місцевого</w:t>
            </w:r>
            <w:r w:rsidR="003776C3"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270" w:type="dxa"/>
            <w:vAlign w:val="center"/>
          </w:tcPr>
          <w:p w:rsidR="003776C3" w:rsidRPr="0023264F" w:rsidRDefault="0023264F" w:rsidP="005C3FAA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23264F">
              <w:rPr>
                <w:sz w:val="20"/>
                <w:szCs w:val="20"/>
              </w:rPr>
              <w:t>1</w:t>
            </w:r>
            <w:r w:rsidRPr="0023264F">
              <w:rPr>
                <w:sz w:val="20"/>
                <w:szCs w:val="20"/>
                <w:lang w:val="uk-UA"/>
              </w:rPr>
              <w:t>5461</w:t>
            </w:r>
            <w:r w:rsidRPr="0023264F">
              <w:rPr>
                <w:sz w:val="20"/>
                <w:szCs w:val="20"/>
              </w:rPr>
              <w:t>,</w:t>
            </w:r>
            <w:r w:rsidRPr="0023264F">
              <w:rPr>
                <w:sz w:val="20"/>
                <w:szCs w:val="20"/>
                <w:lang w:val="uk-UA"/>
              </w:rPr>
              <w:t>84</w:t>
            </w:r>
            <w:r w:rsidRPr="0023264F">
              <w:rPr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3776C3" w:rsidRPr="003B3606" w:rsidRDefault="0023264F" w:rsidP="0023264F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3B3606">
              <w:rPr>
                <w:iCs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="00F11E68">
              <w:rPr>
                <w:color w:val="000000" w:themeColor="text1"/>
                <w:sz w:val="20"/>
                <w:szCs w:val="20"/>
                <w:lang w:val="uk-UA"/>
              </w:rPr>
              <w:t>2276</w:t>
            </w:r>
            <w:r w:rsidRPr="003B3606">
              <w:rPr>
                <w:color w:val="000000" w:themeColor="text1"/>
                <w:sz w:val="20"/>
                <w:szCs w:val="20"/>
                <w:lang w:val="uk-UA"/>
              </w:rPr>
              <w:t>8,9</w:t>
            </w:r>
          </w:p>
        </w:tc>
        <w:tc>
          <w:tcPr>
            <w:tcW w:w="1271" w:type="dxa"/>
            <w:vAlign w:val="center"/>
          </w:tcPr>
          <w:p w:rsidR="003776C3" w:rsidRPr="00F11E68" w:rsidRDefault="00E902ED" w:rsidP="00E902E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3322</w:t>
            </w:r>
            <w:r w:rsidR="00F11E68" w:rsidRPr="00F11E68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11" w:type="dxa"/>
            <w:vAlign w:val="center"/>
          </w:tcPr>
          <w:p w:rsidR="003776C3" w:rsidRPr="00F11E68" w:rsidRDefault="00E902ED" w:rsidP="00E902ED">
            <w:pPr>
              <w:jc w:val="center"/>
              <w:rPr>
                <w:iCs w:val="0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41552,9</w:t>
            </w:r>
            <w:r w:rsidR="00F11E68" w:rsidRPr="00F11E68">
              <w:rPr>
                <w:sz w:val="20"/>
                <w:szCs w:val="22"/>
                <w:lang w:val="uk-UA"/>
              </w:rPr>
              <w:t>49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11" w:type="dxa"/>
            <w:vAlign w:val="center"/>
          </w:tcPr>
          <w:p w:rsidR="003776C3" w:rsidRPr="00C22FB7" w:rsidRDefault="00FA35CE" w:rsidP="005E7BC7">
            <w:pPr>
              <w:jc w:val="center"/>
              <w:rPr>
                <w:b/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</w:tbl>
    <w:p w:rsidR="00FA35CE" w:rsidRDefault="00FA35CE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2" w:name="_Toc498994775"/>
    </w:p>
    <w:p w:rsidR="008C348C" w:rsidRPr="008C348C" w:rsidRDefault="004116C9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СТРОКИ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ТА ЕТАПИ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 ПРОГРАМИ</w:t>
      </w:r>
      <w:bookmarkEnd w:id="8"/>
      <w:bookmarkEnd w:id="12"/>
    </w:p>
    <w:p w:rsidR="004116C9" w:rsidRDefault="004116C9" w:rsidP="003222E5">
      <w:pPr>
        <w:pStyle w:val="ab"/>
        <w:widowControl w:val="0"/>
        <w:tabs>
          <w:tab w:val="left" w:pos="0"/>
        </w:tabs>
        <w:autoSpaceDE w:val="0"/>
        <w:autoSpaceDN w:val="0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Реа</w:t>
      </w:r>
      <w:r w:rsidR="00063E01">
        <w:rPr>
          <w:rFonts w:ascii="Times New Roman CYR" w:hAnsi="Times New Roman CYR"/>
          <w:color w:val="000000"/>
        </w:rPr>
        <w:t>лізувати П</w:t>
      </w:r>
      <w:r w:rsidR="000D39A7">
        <w:rPr>
          <w:rFonts w:ascii="Times New Roman CYR" w:hAnsi="Times New Roman CYR"/>
          <w:color w:val="000000"/>
        </w:rPr>
        <w:t xml:space="preserve">рограму планується в </w:t>
      </w:r>
      <w:r w:rsidR="003776C3">
        <w:rPr>
          <w:rFonts w:ascii="Times New Roman CYR" w:hAnsi="Times New Roman CYR"/>
          <w:color w:val="000000"/>
        </w:rPr>
        <w:t>3</w:t>
      </w:r>
      <w:r w:rsidR="000D39A7">
        <w:rPr>
          <w:rFonts w:ascii="Times New Roman CYR" w:hAnsi="Times New Roman CYR"/>
          <w:color w:val="000000"/>
        </w:rPr>
        <w:t xml:space="preserve"> етап</w:t>
      </w:r>
      <w:r w:rsidR="003776C3">
        <w:rPr>
          <w:rFonts w:ascii="Times New Roman CYR" w:hAnsi="Times New Roman CYR"/>
          <w:color w:val="000000"/>
        </w:rPr>
        <w:t>и</w:t>
      </w:r>
      <w:r w:rsidR="000D39A7">
        <w:rPr>
          <w:rFonts w:ascii="Times New Roman CYR" w:hAnsi="Times New Roman CYR"/>
          <w:color w:val="000000"/>
        </w:rPr>
        <w:t xml:space="preserve"> упродовж 2018-202</w:t>
      </w:r>
      <w:r w:rsidR="003776C3">
        <w:rPr>
          <w:rFonts w:ascii="Times New Roman CYR" w:hAnsi="Times New Roman CYR"/>
          <w:color w:val="000000"/>
        </w:rPr>
        <w:t>0</w:t>
      </w:r>
      <w:r>
        <w:rPr>
          <w:rFonts w:ascii="Times New Roman CYR" w:hAnsi="Times New Roman CYR"/>
          <w:color w:val="000000"/>
        </w:rPr>
        <w:t xml:space="preserve"> років.</w:t>
      </w:r>
    </w:p>
    <w:p w:rsidR="008C348C" w:rsidRPr="008C348C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:rsidR="008C348C" w:rsidRPr="008C348C" w:rsidRDefault="00B62EFA" w:rsidP="002E0264">
      <w:pPr>
        <w:pStyle w:val="1"/>
        <w:spacing w:before="0"/>
        <w:jc w:val="center"/>
      </w:pPr>
      <w:bookmarkStart w:id="13" w:name="_Toc424524486"/>
      <w:bookmarkStart w:id="14" w:name="_Toc498994776"/>
      <w:r>
        <w:rPr>
          <w:rFonts w:ascii="Times New Roman" w:hAnsi="Times New Roman" w:cs="Times New Roman"/>
          <w:color w:val="auto"/>
          <w:lang w:val="uk-UA"/>
        </w:rPr>
        <w:t>8</w:t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КООРДИНАЦІЯ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ТА КОНТРОЛЬ ЗА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ХОДОМ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ВИКОНАННЯМ ПРОГРАМИ</w:t>
      </w:r>
      <w:bookmarkEnd w:id="13"/>
      <w:bookmarkEnd w:id="14"/>
    </w:p>
    <w:p w:rsidR="005E7BC7" w:rsidRDefault="002E0264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Координацію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EE2269">
        <w:rPr>
          <w:color w:val="000000"/>
          <w:sz w:val="28"/>
          <w:lang w:val="uk-UA"/>
        </w:rPr>
        <w:t xml:space="preserve">дій виконавців </w:t>
      </w:r>
      <w:r w:rsidR="003222E5" w:rsidRPr="003222E5">
        <w:rPr>
          <w:color w:val="000000"/>
          <w:sz w:val="28"/>
          <w:lang w:val="uk-UA"/>
        </w:rPr>
        <w:t xml:space="preserve">Програми </w:t>
      </w:r>
      <w:r w:rsidR="00EE2269">
        <w:rPr>
          <w:color w:val="000000"/>
          <w:sz w:val="28"/>
          <w:lang w:val="uk-UA"/>
        </w:rPr>
        <w:t>здійсню</w:t>
      </w:r>
      <w:r w:rsidR="003222E5" w:rsidRPr="003222E5">
        <w:rPr>
          <w:color w:val="000000"/>
          <w:sz w:val="28"/>
          <w:lang w:val="uk-UA"/>
        </w:rPr>
        <w:t xml:space="preserve">є </w:t>
      </w:r>
      <w:r w:rsidR="00B73CE4">
        <w:rPr>
          <w:color w:val="000000"/>
          <w:sz w:val="28"/>
          <w:lang w:val="uk-UA"/>
        </w:rPr>
        <w:t>Р</w:t>
      </w:r>
      <w:r w:rsidR="00296176">
        <w:rPr>
          <w:color w:val="000000"/>
          <w:sz w:val="28"/>
          <w:lang w:val="uk-UA"/>
        </w:rPr>
        <w:t xml:space="preserve">обоча </w:t>
      </w:r>
      <w:r w:rsidR="00B73CE4">
        <w:rPr>
          <w:color w:val="000000"/>
          <w:sz w:val="28"/>
          <w:lang w:val="uk-UA"/>
        </w:rPr>
        <w:t>Г</w:t>
      </w:r>
      <w:r w:rsidR="00296176">
        <w:rPr>
          <w:color w:val="000000"/>
          <w:sz w:val="28"/>
          <w:lang w:val="uk-UA"/>
        </w:rPr>
        <w:t xml:space="preserve">рупа, створена з числа уповноважених осіб </w:t>
      </w:r>
      <w:r w:rsidR="00296176" w:rsidRPr="00296176">
        <w:rPr>
          <w:color w:val="000000"/>
          <w:sz w:val="28"/>
          <w:lang w:val="uk-UA"/>
        </w:rPr>
        <w:t>управління по зв’язках з громадськістю міської ради, управління звернень та діловодства міської ради, відділ</w:t>
      </w:r>
      <w:r w:rsidR="00296176">
        <w:rPr>
          <w:color w:val="000000"/>
          <w:sz w:val="28"/>
          <w:lang w:val="uk-UA"/>
        </w:rPr>
        <w:t>у</w:t>
      </w:r>
      <w:r w:rsidR="00296176" w:rsidRPr="00296176">
        <w:rPr>
          <w:color w:val="000000"/>
          <w:sz w:val="28"/>
          <w:lang w:val="uk-UA"/>
        </w:rPr>
        <w:t xml:space="preserve"> організаційного забезпечення депутатської діяльності </w:t>
      </w:r>
      <w:r w:rsidR="005E7BC7" w:rsidRPr="00296176">
        <w:rPr>
          <w:color w:val="000000"/>
          <w:sz w:val="28"/>
          <w:lang w:val="uk-UA"/>
        </w:rPr>
        <w:t>у</w:t>
      </w:r>
      <w:r w:rsidR="00296176">
        <w:rPr>
          <w:color w:val="000000"/>
          <w:sz w:val="28"/>
          <w:lang w:val="uk-UA"/>
        </w:rPr>
        <w:t>правління</w:t>
      </w:r>
      <w:r w:rsidR="005E7BC7">
        <w:rPr>
          <w:color w:val="000000"/>
          <w:sz w:val="28"/>
          <w:lang w:val="uk-UA"/>
        </w:rPr>
        <w:t xml:space="preserve"> </w:t>
      </w:r>
      <w:r w:rsidR="003222E5" w:rsidRPr="003222E5">
        <w:rPr>
          <w:color w:val="000000"/>
          <w:sz w:val="28"/>
          <w:lang w:val="uk-UA"/>
        </w:rPr>
        <w:t>міської ради</w:t>
      </w:r>
      <w:r w:rsidR="00B73CE4">
        <w:rPr>
          <w:color w:val="000000"/>
          <w:sz w:val="28"/>
          <w:lang w:val="uk-UA"/>
        </w:rPr>
        <w:t xml:space="preserve"> та за потреби інших виконавчих органів міської ради</w:t>
      </w:r>
      <w:r w:rsidR="00907537">
        <w:rPr>
          <w:color w:val="000000"/>
          <w:sz w:val="28"/>
          <w:lang w:val="uk-UA"/>
        </w:rPr>
        <w:t>.</w:t>
      </w:r>
      <w:r w:rsidR="003222E5" w:rsidRPr="003222E5">
        <w:rPr>
          <w:color w:val="000000"/>
          <w:sz w:val="28"/>
          <w:lang w:val="uk-UA"/>
        </w:rPr>
        <w:t xml:space="preserve"> </w:t>
      </w:r>
    </w:p>
    <w:p w:rsidR="003222E5" w:rsidRDefault="00296176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Виконавцями Програми визначені виконавчі органи міської ради</w:t>
      </w:r>
      <w:r w:rsidR="003222E5">
        <w:rPr>
          <w:color w:val="000000"/>
          <w:sz w:val="28"/>
          <w:lang w:val="uk-UA"/>
        </w:rPr>
        <w:t>.</w:t>
      </w:r>
    </w:p>
    <w:p w:rsidR="00907537" w:rsidRDefault="00907537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</w:t>
      </w:r>
      <w:r w:rsidR="00B73CE4">
        <w:rPr>
          <w:color w:val="000000"/>
          <w:sz w:val="28"/>
          <w:lang w:val="uk-UA"/>
        </w:rPr>
        <w:t>Робочу Групу</w:t>
      </w:r>
      <w:r>
        <w:rPr>
          <w:color w:val="000000"/>
          <w:sz w:val="28"/>
          <w:lang w:val="uk-UA"/>
        </w:rPr>
        <w:t xml:space="preserve">. Якщо такі зміни </w:t>
      </w:r>
      <w:r w:rsidR="007A459E">
        <w:rPr>
          <w:color w:val="000000"/>
          <w:sz w:val="28"/>
          <w:lang w:val="uk-UA"/>
        </w:rPr>
        <w:t xml:space="preserve">не відповідають цілям початкового завдання, тоді виконавець надає письмове </w:t>
      </w:r>
      <w:r w:rsidR="00996988">
        <w:rPr>
          <w:color w:val="000000"/>
          <w:sz w:val="28"/>
          <w:lang w:val="uk-UA"/>
        </w:rPr>
        <w:t>обґрунтування</w:t>
      </w:r>
      <w:r w:rsidR="007A459E">
        <w:rPr>
          <w:color w:val="000000"/>
          <w:sz w:val="28"/>
          <w:lang w:val="uk-UA"/>
        </w:rPr>
        <w:t xml:space="preserve"> внесення таких змін до заходу. </w:t>
      </w:r>
    </w:p>
    <w:p w:rsidR="003222E5" w:rsidRDefault="003222E5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Виконавці Програми щоквартально</w:t>
      </w:r>
      <w:r w:rsidR="0065278F">
        <w:rPr>
          <w:color w:val="000000"/>
          <w:sz w:val="28"/>
          <w:lang w:val="uk-UA"/>
        </w:rPr>
        <w:t xml:space="preserve">, упродовж </w:t>
      </w:r>
      <w:r w:rsidR="005E7BC7">
        <w:rPr>
          <w:color w:val="000000"/>
          <w:sz w:val="28"/>
          <w:lang w:val="uk-UA"/>
        </w:rPr>
        <w:t>1</w:t>
      </w:r>
      <w:r w:rsidR="0065278F">
        <w:rPr>
          <w:color w:val="000000"/>
          <w:sz w:val="28"/>
          <w:lang w:val="uk-UA"/>
        </w:rPr>
        <w:t>0 календарних днів</w:t>
      </w:r>
      <w:r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після закінчення звітного періоду, </w:t>
      </w:r>
      <w:r w:rsidRPr="003222E5">
        <w:rPr>
          <w:color w:val="000000"/>
          <w:sz w:val="28"/>
          <w:lang w:val="uk-UA"/>
        </w:rPr>
        <w:t xml:space="preserve">надають </w:t>
      </w:r>
      <w:r w:rsidR="00B73CE4">
        <w:rPr>
          <w:color w:val="000000"/>
          <w:sz w:val="28"/>
          <w:lang w:val="uk-UA"/>
        </w:rPr>
        <w:t>Робочій Групі</w:t>
      </w:r>
      <w:r w:rsidR="005E7BC7" w:rsidRPr="003222E5">
        <w:rPr>
          <w:color w:val="000000"/>
          <w:sz w:val="28"/>
          <w:lang w:val="uk-UA"/>
        </w:rPr>
        <w:t xml:space="preserve"> </w:t>
      </w:r>
      <w:r w:rsidRPr="003222E5">
        <w:rPr>
          <w:color w:val="000000"/>
          <w:sz w:val="28"/>
          <w:lang w:val="uk-UA"/>
        </w:rPr>
        <w:t xml:space="preserve">інформацію про виконання </w:t>
      </w:r>
      <w:r w:rsidR="0065278F">
        <w:rPr>
          <w:color w:val="000000"/>
          <w:sz w:val="28"/>
          <w:lang w:val="uk-UA"/>
        </w:rPr>
        <w:t>відповідних</w:t>
      </w:r>
      <w:r w:rsidRPr="003222E5">
        <w:rPr>
          <w:color w:val="000000"/>
          <w:sz w:val="28"/>
          <w:lang w:val="uk-UA"/>
        </w:rPr>
        <w:t xml:space="preserve"> заходів. За результат</w:t>
      </w:r>
      <w:r w:rsidR="00F42BF4">
        <w:rPr>
          <w:color w:val="000000"/>
          <w:sz w:val="28"/>
          <w:lang w:val="uk-UA"/>
        </w:rPr>
        <w:t>ами</w:t>
      </w:r>
      <w:r w:rsidRPr="003222E5">
        <w:rPr>
          <w:color w:val="000000"/>
          <w:sz w:val="28"/>
          <w:lang w:val="uk-UA"/>
        </w:rPr>
        <w:t xml:space="preserve"> аналізу отриманої інформації </w:t>
      </w:r>
      <w:r w:rsidR="00B73CE4">
        <w:rPr>
          <w:color w:val="000000"/>
          <w:sz w:val="28"/>
          <w:lang w:val="uk-UA"/>
        </w:rPr>
        <w:t>Робоча Група</w:t>
      </w:r>
      <w:r w:rsidR="005E7BC7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>здійснює</w:t>
      </w:r>
      <w:r w:rsidRPr="003222E5">
        <w:rPr>
          <w:color w:val="000000"/>
          <w:sz w:val="28"/>
          <w:lang w:val="uk-UA"/>
        </w:rPr>
        <w:t xml:space="preserve"> її узагальнення та моніторинг виконання.</w:t>
      </w:r>
    </w:p>
    <w:p w:rsidR="005E7BC7" w:rsidRPr="00B174FB" w:rsidRDefault="00B73CE4" w:rsidP="005E7BC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5E7BC7" w:rsidRPr="00B174FB">
        <w:rPr>
          <w:sz w:val="28"/>
          <w:szCs w:val="28"/>
          <w:lang w:val="uk-UA"/>
        </w:rPr>
        <w:t>для здійснення моніторингу реалізації</w:t>
      </w:r>
      <w:r>
        <w:rPr>
          <w:sz w:val="28"/>
          <w:szCs w:val="28"/>
          <w:lang w:val="uk-UA"/>
        </w:rPr>
        <w:t xml:space="preserve"> заходів</w:t>
      </w:r>
      <w:r w:rsidR="005E7BC7" w:rsidRPr="00B174FB">
        <w:rPr>
          <w:sz w:val="28"/>
          <w:szCs w:val="28"/>
          <w:lang w:val="uk-UA"/>
        </w:rPr>
        <w:t xml:space="preserve"> Програми щоквартально, до 15 числа місяця, наступного за звітним періодом</w:t>
      </w:r>
      <w:r w:rsidR="005E7BC7">
        <w:rPr>
          <w:sz w:val="28"/>
          <w:szCs w:val="28"/>
          <w:lang w:val="uk-UA"/>
        </w:rPr>
        <w:t xml:space="preserve"> (кварталом)</w:t>
      </w:r>
      <w:r w:rsidR="005E7BC7" w:rsidRPr="00B174FB">
        <w:rPr>
          <w:sz w:val="28"/>
          <w:szCs w:val="28"/>
          <w:lang w:val="uk-UA"/>
        </w:rPr>
        <w:t>, подає департаменту економічного розвитку міської ради інформацію про стан і результати виконання заходів Програми.</w:t>
      </w:r>
    </w:p>
    <w:p w:rsidR="005E7BC7" w:rsidRDefault="00B73CE4" w:rsidP="005E7BC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5E7BC7">
        <w:rPr>
          <w:sz w:val="28"/>
          <w:szCs w:val="28"/>
          <w:lang w:val="uk-UA"/>
        </w:rPr>
        <w:t xml:space="preserve">щороку здійснює </w:t>
      </w:r>
      <w:r w:rsidR="00EC221B">
        <w:rPr>
          <w:sz w:val="28"/>
          <w:szCs w:val="28"/>
          <w:lang w:val="uk-UA"/>
        </w:rPr>
        <w:t xml:space="preserve">спільно з виконавцями </w:t>
      </w:r>
      <w:r w:rsidR="005E7BC7">
        <w:rPr>
          <w:sz w:val="28"/>
          <w:szCs w:val="28"/>
          <w:lang w:val="uk-UA"/>
        </w:rPr>
        <w:t>обґрунтовану оцінку результатів виконання</w:t>
      </w:r>
      <w:r>
        <w:rPr>
          <w:sz w:val="28"/>
          <w:szCs w:val="28"/>
          <w:lang w:val="uk-UA"/>
        </w:rPr>
        <w:t xml:space="preserve"> заходів</w:t>
      </w:r>
      <w:r w:rsidR="005E7BC7">
        <w:rPr>
          <w:sz w:val="28"/>
          <w:szCs w:val="28"/>
          <w:lang w:val="uk-UA"/>
        </w:rPr>
        <w:t xml:space="preserve"> Програми та, у разі потреби, розробляє пропозиції щодо доцільності продовження тих чи інших заходів, включення додаткових заходів і завдань, уточнення окремих завдань і заходів, показників, обсягів і джерел фінансування, переліку виконавців тощо.</w:t>
      </w:r>
    </w:p>
    <w:p w:rsidR="00496D9D" w:rsidRDefault="00B73CE4" w:rsidP="003222E5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65278F">
        <w:rPr>
          <w:color w:val="000000"/>
          <w:sz w:val="28"/>
          <w:lang w:val="uk-UA"/>
        </w:rPr>
        <w:t>по завершенню кожного етапу виконання Програми, упродовж 45 календарних днів після закінчення звітного періоду,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публікує зведену інформацію про хід виконання заходів та досягнуті результати </w:t>
      </w:r>
      <w:r>
        <w:rPr>
          <w:color w:val="000000"/>
          <w:sz w:val="28"/>
          <w:lang w:val="uk-UA"/>
        </w:rPr>
        <w:t xml:space="preserve">Програми </w:t>
      </w:r>
      <w:r w:rsidR="0065278F">
        <w:rPr>
          <w:color w:val="000000"/>
          <w:sz w:val="28"/>
          <w:lang w:val="uk-UA"/>
        </w:rPr>
        <w:t>на сайті міської ради.</w:t>
      </w:r>
    </w:p>
    <w:p w:rsidR="003222E5" w:rsidRPr="003222E5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lastRenderedPageBreak/>
        <w:t xml:space="preserve">Після закінчення строку реалізації Програми </w:t>
      </w:r>
      <w:r w:rsidR="00B73CE4">
        <w:rPr>
          <w:color w:val="000000"/>
          <w:sz w:val="28"/>
          <w:lang w:val="uk-UA"/>
        </w:rPr>
        <w:t xml:space="preserve">Робоча Група </w:t>
      </w:r>
      <w:r w:rsidRPr="003222E5">
        <w:rPr>
          <w:color w:val="000000"/>
          <w:sz w:val="28"/>
          <w:lang w:val="uk-UA"/>
        </w:rPr>
        <w:t>готує підсумковий звіт про виконання</w:t>
      </w:r>
      <w:r w:rsidR="0065278F">
        <w:rPr>
          <w:color w:val="000000"/>
          <w:sz w:val="28"/>
          <w:lang w:val="uk-UA"/>
        </w:rPr>
        <w:t xml:space="preserve"> </w:t>
      </w:r>
      <w:r w:rsidR="00B73CE4">
        <w:rPr>
          <w:color w:val="000000"/>
          <w:sz w:val="28"/>
          <w:lang w:val="uk-UA"/>
        </w:rPr>
        <w:t xml:space="preserve">Програми </w:t>
      </w:r>
      <w:r w:rsidR="0065278F">
        <w:rPr>
          <w:color w:val="000000"/>
          <w:sz w:val="28"/>
          <w:lang w:val="uk-UA"/>
        </w:rPr>
        <w:t xml:space="preserve">та публікує </w:t>
      </w:r>
      <w:r w:rsidR="00EC221B">
        <w:rPr>
          <w:color w:val="000000"/>
          <w:sz w:val="28"/>
          <w:lang w:val="uk-UA"/>
        </w:rPr>
        <w:t xml:space="preserve">його </w:t>
      </w:r>
      <w:r w:rsidR="0065278F">
        <w:rPr>
          <w:color w:val="000000"/>
          <w:sz w:val="28"/>
          <w:lang w:val="uk-UA"/>
        </w:rPr>
        <w:t>на сайті міської ради</w:t>
      </w:r>
      <w:r w:rsidRPr="003222E5">
        <w:rPr>
          <w:color w:val="000000"/>
          <w:sz w:val="28"/>
          <w:lang w:val="uk-UA"/>
        </w:rPr>
        <w:t>.</w:t>
      </w:r>
    </w:p>
    <w:p w:rsidR="003222E5" w:rsidRDefault="00EC221B" w:rsidP="003222E5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Основні напрями і заходи П</w:t>
      </w:r>
      <w:r w:rsidR="003222E5" w:rsidRPr="003222E5">
        <w:rPr>
          <w:color w:val="000000"/>
          <w:sz w:val="28"/>
          <w:lang w:val="uk-UA"/>
        </w:rPr>
        <w:t>рограми можуть коригуватися в період її дії з урахуванням соціально</w:t>
      </w:r>
      <w:r w:rsidR="00496D9D">
        <w:rPr>
          <w:color w:val="000000"/>
          <w:sz w:val="28"/>
          <w:lang w:val="uk-UA"/>
        </w:rPr>
        <w:t>-</w:t>
      </w:r>
      <w:r w:rsidR="003222E5" w:rsidRPr="003222E5">
        <w:rPr>
          <w:color w:val="000000"/>
          <w:sz w:val="28"/>
          <w:lang w:val="uk-UA"/>
        </w:rPr>
        <w:t>економічної ситуації в місті.</w:t>
      </w:r>
    </w:p>
    <w:sectPr w:rsidR="003222E5" w:rsidSect="00210C1D">
      <w:footerReference w:type="default" r:id="rId8"/>
      <w:headerReference w:type="first" r:id="rId9"/>
      <w:pgSz w:w="11906" w:h="16838"/>
      <w:pgMar w:top="1134" w:right="850" w:bottom="851" w:left="1701" w:header="708" w:footer="2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815" w:rsidRDefault="00962815" w:rsidP="00F13C4D">
      <w:r>
        <w:separator/>
      </w:r>
    </w:p>
  </w:endnote>
  <w:endnote w:type="continuationSeparator" w:id="0">
    <w:p w:rsidR="00962815" w:rsidRDefault="00962815" w:rsidP="00F13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917" w:rsidRDefault="00361917">
    <w:pPr>
      <w:pStyle w:val="a5"/>
      <w:jc w:val="center"/>
    </w:pPr>
  </w:p>
  <w:p w:rsidR="00361917" w:rsidRDefault="003619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815" w:rsidRDefault="00962815" w:rsidP="00F13C4D">
      <w:r>
        <w:separator/>
      </w:r>
    </w:p>
  </w:footnote>
  <w:footnote w:type="continuationSeparator" w:id="0">
    <w:p w:rsidR="00962815" w:rsidRDefault="00962815" w:rsidP="00F13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917" w:rsidRDefault="00361917">
    <w:pPr>
      <w:pStyle w:val="a3"/>
      <w:jc w:val="center"/>
    </w:pPr>
  </w:p>
  <w:p w:rsidR="00361917" w:rsidRDefault="003619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863"/>
    <w:multiLevelType w:val="hybridMultilevel"/>
    <w:tmpl w:val="72D83C24"/>
    <w:lvl w:ilvl="0" w:tplc="99B43A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13C4D"/>
    <w:rsid w:val="00011F5B"/>
    <w:rsid w:val="00011F7A"/>
    <w:rsid w:val="00020B66"/>
    <w:rsid w:val="00031962"/>
    <w:rsid w:val="00032958"/>
    <w:rsid w:val="00035694"/>
    <w:rsid w:val="00043FF4"/>
    <w:rsid w:val="00046013"/>
    <w:rsid w:val="00051AF4"/>
    <w:rsid w:val="000570F9"/>
    <w:rsid w:val="0006129D"/>
    <w:rsid w:val="00063E01"/>
    <w:rsid w:val="00065024"/>
    <w:rsid w:val="000801C5"/>
    <w:rsid w:val="00085632"/>
    <w:rsid w:val="00085D26"/>
    <w:rsid w:val="0009745C"/>
    <w:rsid w:val="000B018E"/>
    <w:rsid w:val="000B2751"/>
    <w:rsid w:val="000B59A3"/>
    <w:rsid w:val="000D39A7"/>
    <w:rsid w:val="000E73C4"/>
    <w:rsid w:val="00104200"/>
    <w:rsid w:val="00112D25"/>
    <w:rsid w:val="00121B32"/>
    <w:rsid w:val="00130A76"/>
    <w:rsid w:val="001342A4"/>
    <w:rsid w:val="00136778"/>
    <w:rsid w:val="001418ED"/>
    <w:rsid w:val="00143D2D"/>
    <w:rsid w:val="00154D9C"/>
    <w:rsid w:val="001627D4"/>
    <w:rsid w:val="00171967"/>
    <w:rsid w:val="00172581"/>
    <w:rsid w:val="00177AE6"/>
    <w:rsid w:val="00181538"/>
    <w:rsid w:val="00185418"/>
    <w:rsid w:val="00190D64"/>
    <w:rsid w:val="001959C7"/>
    <w:rsid w:val="001C2F65"/>
    <w:rsid w:val="001D59FF"/>
    <w:rsid w:val="001E1ADD"/>
    <w:rsid w:val="001E1D9C"/>
    <w:rsid w:val="001F3077"/>
    <w:rsid w:val="001F6B9B"/>
    <w:rsid w:val="00210C1D"/>
    <w:rsid w:val="00211838"/>
    <w:rsid w:val="0021527B"/>
    <w:rsid w:val="002165EC"/>
    <w:rsid w:val="0023105A"/>
    <w:rsid w:val="0023264F"/>
    <w:rsid w:val="002336F7"/>
    <w:rsid w:val="002339C9"/>
    <w:rsid w:val="00244D09"/>
    <w:rsid w:val="002457A1"/>
    <w:rsid w:val="00257043"/>
    <w:rsid w:val="00267B1D"/>
    <w:rsid w:val="00270002"/>
    <w:rsid w:val="002730F0"/>
    <w:rsid w:val="00276331"/>
    <w:rsid w:val="00284F04"/>
    <w:rsid w:val="00286052"/>
    <w:rsid w:val="00286E53"/>
    <w:rsid w:val="00291502"/>
    <w:rsid w:val="002915FC"/>
    <w:rsid w:val="00292CF4"/>
    <w:rsid w:val="00296176"/>
    <w:rsid w:val="00297E64"/>
    <w:rsid w:val="002A4790"/>
    <w:rsid w:val="002A6944"/>
    <w:rsid w:val="002B01D7"/>
    <w:rsid w:val="002B238D"/>
    <w:rsid w:val="002B6D20"/>
    <w:rsid w:val="002C0652"/>
    <w:rsid w:val="002C150A"/>
    <w:rsid w:val="002C1A2F"/>
    <w:rsid w:val="002C6620"/>
    <w:rsid w:val="002D7114"/>
    <w:rsid w:val="002E0264"/>
    <w:rsid w:val="002E030E"/>
    <w:rsid w:val="002E28D8"/>
    <w:rsid w:val="002E3258"/>
    <w:rsid w:val="002E4464"/>
    <w:rsid w:val="002E633A"/>
    <w:rsid w:val="002F1257"/>
    <w:rsid w:val="00307E56"/>
    <w:rsid w:val="00321E40"/>
    <w:rsid w:val="003222E5"/>
    <w:rsid w:val="00323462"/>
    <w:rsid w:val="003240A0"/>
    <w:rsid w:val="003327CD"/>
    <w:rsid w:val="00334357"/>
    <w:rsid w:val="003413C4"/>
    <w:rsid w:val="003423CE"/>
    <w:rsid w:val="00343D88"/>
    <w:rsid w:val="003455AF"/>
    <w:rsid w:val="00355E95"/>
    <w:rsid w:val="00361917"/>
    <w:rsid w:val="0037628A"/>
    <w:rsid w:val="00376969"/>
    <w:rsid w:val="003776C3"/>
    <w:rsid w:val="00397190"/>
    <w:rsid w:val="003A12E1"/>
    <w:rsid w:val="003A2925"/>
    <w:rsid w:val="003B3606"/>
    <w:rsid w:val="003B6524"/>
    <w:rsid w:val="003C1B44"/>
    <w:rsid w:val="003C264A"/>
    <w:rsid w:val="003C7D34"/>
    <w:rsid w:val="003D5BC4"/>
    <w:rsid w:val="003E552D"/>
    <w:rsid w:val="00411566"/>
    <w:rsid w:val="004116C9"/>
    <w:rsid w:val="00433436"/>
    <w:rsid w:val="004401FC"/>
    <w:rsid w:val="004431EF"/>
    <w:rsid w:val="00447212"/>
    <w:rsid w:val="0045284A"/>
    <w:rsid w:val="00464CF7"/>
    <w:rsid w:val="00482E8B"/>
    <w:rsid w:val="00495F73"/>
    <w:rsid w:val="00496D9D"/>
    <w:rsid w:val="004A49AA"/>
    <w:rsid w:val="004B1BF5"/>
    <w:rsid w:val="004B2140"/>
    <w:rsid w:val="004B2776"/>
    <w:rsid w:val="004B2ED8"/>
    <w:rsid w:val="004E0B3F"/>
    <w:rsid w:val="004E7AC1"/>
    <w:rsid w:val="004F2306"/>
    <w:rsid w:val="004F5E8E"/>
    <w:rsid w:val="0050170E"/>
    <w:rsid w:val="00503F83"/>
    <w:rsid w:val="00506776"/>
    <w:rsid w:val="00511002"/>
    <w:rsid w:val="00512EC7"/>
    <w:rsid w:val="005150E6"/>
    <w:rsid w:val="005171F0"/>
    <w:rsid w:val="00530B47"/>
    <w:rsid w:val="005379BE"/>
    <w:rsid w:val="00544288"/>
    <w:rsid w:val="00552323"/>
    <w:rsid w:val="00552BC2"/>
    <w:rsid w:val="005533FE"/>
    <w:rsid w:val="0055594A"/>
    <w:rsid w:val="00556A34"/>
    <w:rsid w:val="00557508"/>
    <w:rsid w:val="00557EA2"/>
    <w:rsid w:val="00563829"/>
    <w:rsid w:val="00577910"/>
    <w:rsid w:val="00581821"/>
    <w:rsid w:val="005B01E6"/>
    <w:rsid w:val="005B3FC4"/>
    <w:rsid w:val="005C3FAA"/>
    <w:rsid w:val="005D100D"/>
    <w:rsid w:val="005E35D0"/>
    <w:rsid w:val="005E7BC7"/>
    <w:rsid w:val="005F6C17"/>
    <w:rsid w:val="005F6F57"/>
    <w:rsid w:val="00607ABF"/>
    <w:rsid w:val="00611F8A"/>
    <w:rsid w:val="00623320"/>
    <w:rsid w:val="00630F76"/>
    <w:rsid w:val="00631FC7"/>
    <w:rsid w:val="00635A7D"/>
    <w:rsid w:val="0065278F"/>
    <w:rsid w:val="0066431E"/>
    <w:rsid w:val="0066593A"/>
    <w:rsid w:val="00674EA7"/>
    <w:rsid w:val="0067582A"/>
    <w:rsid w:val="0069071E"/>
    <w:rsid w:val="006916D7"/>
    <w:rsid w:val="00692B2A"/>
    <w:rsid w:val="0069537C"/>
    <w:rsid w:val="006A00B6"/>
    <w:rsid w:val="006A0DCB"/>
    <w:rsid w:val="006A3EC7"/>
    <w:rsid w:val="006B4AC5"/>
    <w:rsid w:val="006B714A"/>
    <w:rsid w:val="006C5F75"/>
    <w:rsid w:val="006C7AB6"/>
    <w:rsid w:val="006D544A"/>
    <w:rsid w:val="006E1514"/>
    <w:rsid w:val="006F2A7F"/>
    <w:rsid w:val="006F4D25"/>
    <w:rsid w:val="007003B1"/>
    <w:rsid w:val="00700F41"/>
    <w:rsid w:val="00704950"/>
    <w:rsid w:val="00704C1B"/>
    <w:rsid w:val="007352C7"/>
    <w:rsid w:val="00736B8D"/>
    <w:rsid w:val="00740FB3"/>
    <w:rsid w:val="00746330"/>
    <w:rsid w:val="007501BA"/>
    <w:rsid w:val="00754B1A"/>
    <w:rsid w:val="007628EA"/>
    <w:rsid w:val="00772EB3"/>
    <w:rsid w:val="00774110"/>
    <w:rsid w:val="00786430"/>
    <w:rsid w:val="00787CB2"/>
    <w:rsid w:val="00787D46"/>
    <w:rsid w:val="007931EF"/>
    <w:rsid w:val="007A459E"/>
    <w:rsid w:val="007B0238"/>
    <w:rsid w:val="007B1D1F"/>
    <w:rsid w:val="007B7D5D"/>
    <w:rsid w:val="007D6A65"/>
    <w:rsid w:val="00802FAB"/>
    <w:rsid w:val="00810C87"/>
    <w:rsid w:val="00813A38"/>
    <w:rsid w:val="00814153"/>
    <w:rsid w:val="00815313"/>
    <w:rsid w:val="00820DFA"/>
    <w:rsid w:val="008253D1"/>
    <w:rsid w:val="008312F7"/>
    <w:rsid w:val="00844C51"/>
    <w:rsid w:val="0084574B"/>
    <w:rsid w:val="00847D24"/>
    <w:rsid w:val="00851FFE"/>
    <w:rsid w:val="00854946"/>
    <w:rsid w:val="00863013"/>
    <w:rsid w:val="008718AF"/>
    <w:rsid w:val="00876348"/>
    <w:rsid w:val="008814B2"/>
    <w:rsid w:val="00887A76"/>
    <w:rsid w:val="00887C25"/>
    <w:rsid w:val="00892B8D"/>
    <w:rsid w:val="008A305A"/>
    <w:rsid w:val="008B3B67"/>
    <w:rsid w:val="008C348C"/>
    <w:rsid w:val="008C3DF6"/>
    <w:rsid w:val="008D21E4"/>
    <w:rsid w:val="008D47C0"/>
    <w:rsid w:val="008D4EAD"/>
    <w:rsid w:val="008D6BD1"/>
    <w:rsid w:val="008F4C5A"/>
    <w:rsid w:val="008F59FE"/>
    <w:rsid w:val="008F7738"/>
    <w:rsid w:val="009022AA"/>
    <w:rsid w:val="00902F82"/>
    <w:rsid w:val="00903860"/>
    <w:rsid w:val="00904985"/>
    <w:rsid w:val="00907537"/>
    <w:rsid w:val="009134D5"/>
    <w:rsid w:val="00914E7E"/>
    <w:rsid w:val="00916FE7"/>
    <w:rsid w:val="00927F0F"/>
    <w:rsid w:val="009325CC"/>
    <w:rsid w:val="009365BF"/>
    <w:rsid w:val="009421E9"/>
    <w:rsid w:val="00942858"/>
    <w:rsid w:val="009506D0"/>
    <w:rsid w:val="00953CD5"/>
    <w:rsid w:val="00956327"/>
    <w:rsid w:val="00962815"/>
    <w:rsid w:val="009656C4"/>
    <w:rsid w:val="009659B4"/>
    <w:rsid w:val="009767FA"/>
    <w:rsid w:val="00980B8D"/>
    <w:rsid w:val="00987431"/>
    <w:rsid w:val="00996988"/>
    <w:rsid w:val="009A4786"/>
    <w:rsid w:val="009A4B91"/>
    <w:rsid w:val="009B20F0"/>
    <w:rsid w:val="009B798C"/>
    <w:rsid w:val="009C0626"/>
    <w:rsid w:val="009C3BB7"/>
    <w:rsid w:val="009C697D"/>
    <w:rsid w:val="009E4A54"/>
    <w:rsid w:val="009F2B38"/>
    <w:rsid w:val="009F4E82"/>
    <w:rsid w:val="00A22275"/>
    <w:rsid w:val="00A237F9"/>
    <w:rsid w:val="00A266F9"/>
    <w:rsid w:val="00A36B6C"/>
    <w:rsid w:val="00A4195D"/>
    <w:rsid w:val="00A56A07"/>
    <w:rsid w:val="00A57933"/>
    <w:rsid w:val="00A616E4"/>
    <w:rsid w:val="00A76958"/>
    <w:rsid w:val="00A776C0"/>
    <w:rsid w:val="00A77714"/>
    <w:rsid w:val="00A80C10"/>
    <w:rsid w:val="00A8316D"/>
    <w:rsid w:val="00A931DA"/>
    <w:rsid w:val="00A942F9"/>
    <w:rsid w:val="00A9632E"/>
    <w:rsid w:val="00A96DB9"/>
    <w:rsid w:val="00AA5786"/>
    <w:rsid w:val="00AA7436"/>
    <w:rsid w:val="00AC2B87"/>
    <w:rsid w:val="00AC6180"/>
    <w:rsid w:val="00AD0075"/>
    <w:rsid w:val="00AD31FA"/>
    <w:rsid w:val="00AE03B1"/>
    <w:rsid w:val="00AE2315"/>
    <w:rsid w:val="00AE343B"/>
    <w:rsid w:val="00AF31D3"/>
    <w:rsid w:val="00B05F99"/>
    <w:rsid w:val="00B06832"/>
    <w:rsid w:val="00B212BA"/>
    <w:rsid w:val="00B26AA0"/>
    <w:rsid w:val="00B431CA"/>
    <w:rsid w:val="00B45D90"/>
    <w:rsid w:val="00B4683B"/>
    <w:rsid w:val="00B55560"/>
    <w:rsid w:val="00B62EFA"/>
    <w:rsid w:val="00B655BA"/>
    <w:rsid w:val="00B702AB"/>
    <w:rsid w:val="00B70725"/>
    <w:rsid w:val="00B73CE4"/>
    <w:rsid w:val="00B75F57"/>
    <w:rsid w:val="00B76F48"/>
    <w:rsid w:val="00B80DB3"/>
    <w:rsid w:val="00B82214"/>
    <w:rsid w:val="00B905F7"/>
    <w:rsid w:val="00BA388E"/>
    <w:rsid w:val="00BA52B0"/>
    <w:rsid w:val="00BB003E"/>
    <w:rsid w:val="00BB2778"/>
    <w:rsid w:val="00BB3955"/>
    <w:rsid w:val="00BB63B5"/>
    <w:rsid w:val="00BC04A2"/>
    <w:rsid w:val="00BC06CF"/>
    <w:rsid w:val="00BC3081"/>
    <w:rsid w:val="00BC717A"/>
    <w:rsid w:val="00BD1BEF"/>
    <w:rsid w:val="00BE0538"/>
    <w:rsid w:val="00BE7F4F"/>
    <w:rsid w:val="00BF6CE8"/>
    <w:rsid w:val="00BF7380"/>
    <w:rsid w:val="00C06380"/>
    <w:rsid w:val="00C1168F"/>
    <w:rsid w:val="00C1430D"/>
    <w:rsid w:val="00C1782B"/>
    <w:rsid w:val="00C22FB7"/>
    <w:rsid w:val="00C23647"/>
    <w:rsid w:val="00C2441D"/>
    <w:rsid w:val="00C302F1"/>
    <w:rsid w:val="00C43BBF"/>
    <w:rsid w:val="00C50144"/>
    <w:rsid w:val="00C60601"/>
    <w:rsid w:val="00C6176E"/>
    <w:rsid w:val="00C628B1"/>
    <w:rsid w:val="00C65835"/>
    <w:rsid w:val="00C673A3"/>
    <w:rsid w:val="00C74016"/>
    <w:rsid w:val="00C74AC6"/>
    <w:rsid w:val="00C82369"/>
    <w:rsid w:val="00C9041F"/>
    <w:rsid w:val="00C93D8B"/>
    <w:rsid w:val="00C975E9"/>
    <w:rsid w:val="00CA3530"/>
    <w:rsid w:val="00CA4D3C"/>
    <w:rsid w:val="00CB3716"/>
    <w:rsid w:val="00CB6BED"/>
    <w:rsid w:val="00CC024C"/>
    <w:rsid w:val="00CC78F0"/>
    <w:rsid w:val="00CD64CB"/>
    <w:rsid w:val="00CE0FC6"/>
    <w:rsid w:val="00CE2E16"/>
    <w:rsid w:val="00CE63C0"/>
    <w:rsid w:val="00CF54BF"/>
    <w:rsid w:val="00D120BC"/>
    <w:rsid w:val="00D2486A"/>
    <w:rsid w:val="00D30CED"/>
    <w:rsid w:val="00D30FA9"/>
    <w:rsid w:val="00D3122B"/>
    <w:rsid w:val="00D36538"/>
    <w:rsid w:val="00D37E98"/>
    <w:rsid w:val="00D62E39"/>
    <w:rsid w:val="00D6536B"/>
    <w:rsid w:val="00D71B57"/>
    <w:rsid w:val="00D71E77"/>
    <w:rsid w:val="00D82115"/>
    <w:rsid w:val="00D872CB"/>
    <w:rsid w:val="00D91BAD"/>
    <w:rsid w:val="00D9619A"/>
    <w:rsid w:val="00DA610A"/>
    <w:rsid w:val="00DB0B36"/>
    <w:rsid w:val="00DB6217"/>
    <w:rsid w:val="00DB6BDB"/>
    <w:rsid w:val="00DC26F8"/>
    <w:rsid w:val="00DC6794"/>
    <w:rsid w:val="00DD1C19"/>
    <w:rsid w:val="00DE5711"/>
    <w:rsid w:val="00E205C8"/>
    <w:rsid w:val="00E20E16"/>
    <w:rsid w:val="00E20F37"/>
    <w:rsid w:val="00E322BF"/>
    <w:rsid w:val="00E4128A"/>
    <w:rsid w:val="00E429C0"/>
    <w:rsid w:val="00E449B0"/>
    <w:rsid w:val="00E466E7"/>
    <w:rsid w:val="00E60FE9"/>
    <w:rsid w:val="00E627FB"/>
    <w:rsid w:val="00E62D38"/>
    <w:rsid w:val="00E63670"/>
    <w:rsid w:val="00E63D0D"/>
    <w:rsid w:val="00E669FD"/>
    <w:rsid w:val="00E73BEF"/>
    <w:rsid w:val="00E7596F"/>
    <w:rsid w:val="00E8063E"/>
    <w:rsid w:val="00E84E4D"/>
    <w:rsid w:val="00E902ED"/>
    <w:rsid w:val="00EA2988"/>
    <w:rsid w:val="00EA401A"/>
    <w:rsid w:val="00EA7266"/>
    <w:rsid w:val="00EB4122"/>
    <w:rsid w:val="00EC221B"/>
    <w:rsid w:val="00EC640A"/>
    <w:rsid w:val="00ED0AD9"/>
    <w:rsid w:val="00ED29B9"/>
    <w:rsid w:val="00ED36DC"/>
    <w:rsid w:val="00EE2269"/>
    <w:rsid w:val="00EE25C0"/>
    <w:rsid w:val="00EE2AE6"/>
    <w:rsid w:val="00EF3C52"/>
    <w:rsid w:val="00F115D6"/>
    <w:rsid w:val="00F11E68"/>
    <w:rsid w:val="00F13C4D"/>
    <w:rsid w:val="00F203C9"/>
    <w:rsid w:val="00F219A2"/>
    <w:rsid w:val="00F364EF"/>
    <w:rsid w:val="00F41457"/>
    <w:rsid w:val="00F42BF4"/>
    <w:rsid w:val="00F4628A"/>
    <w:rsid w:val="00F463D3"/>
    <w:rsid w:val="00F54FAB"/>
    <w:rsid w:val="00F6519A"/>
    <w:rsid w:val="00F770D5"/>
    <w:rsid w:val="00F827BC"/>
    <w:rsid w:val="00F85F9A"/>
    <w:rsid w:val="00F96CCB"/>
    <w:rsid w:val="00FA35CE"/>
    <w:rsid w:val="00FC526D"/>
    <w:rsid w:val="00FD02E5"/>
    <w:rsid w:val="00FD0618"/>
    <w:rsid w:val="00FD0C0A"/>
    <w:rsid w:val="00FF1BC8"/>
    <w:rsid w:val="00FF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4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styleId="af2">
    <w:name w:val="No Spacing"/>
    <w:qFormat/>
    <w:rsid w:val="0090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9EE3-8BF7-48D2-BC3F-FEDDD0CB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user</cp:lastModifiedBy>
  <cp:revision>26</cp:revision>
  <cp:lastPrinted>2019-12-03T09:02:00Z</cp:lastPrinted>
  <dcterms:created xsi:type="dcterms:W3CDTF">2019-06-21T11:42:00Z</dcterms:created>
  <dcterms:modified xsi:type="dcterms:W3CDTF">2019-12-03T09:04:00Z</dcterms:modified>
</cp:coreProperties>
</file>