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Default="003806E9" w:rsidP="003806E9">
      <w:pPr>
        <w:ind w:left="5040" w:right="-1"/>
        <w:rPr>
          <w:sz w:val="28"/>
          <w:lang w:val="uk-UA"/>
        </w:rPr>
      </w:pPr>
      <w:r w:rsidRPr="001C20B7">
        <w:rPr>
          <w:sz w:val="28"/>
          <w:lang w:val="uk-UA"/>
        </w:rPr>
        <w:t xml:space="preserve">Додаток </w:t>
      </w:r>
      <w:r w:rsidR="00F445BB">
        <w:rPr>
          <w:sz w:val="28"/>
          <w:lang w:val="uk-UA"/>
        </w:rPr>
        <w:t>1</w:t>
      </w:r>
      <w:r w:rsidRPr="001C20B7">
        <w:rPr>
          <w:sz w:val="28"/>
          <w:lang w:val="uk-UA"/>
        </w:rPr>
        <w:t xml:space="preserve">                                                                                                                                                            до 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20</w:t>
      </w:r>
      <w:r w:rsidRPr="00CF39BA">
        <w:rPr>
          <w:sz w:val="28"/>
          <w:lang w:val="uk-UA"/>
        </w:rPr>
        <w:t xml:space="preserve"> рік</w:t>
      </w:r>
    </w:p>
    <w:p w:rsidR="00F445BB" w:rsidRDefault="00F445BB" w:rsidP="00F445BB">
      <w:pPr>
        <w:jc w:val="right"/>
        <w:rPr>
          <w:sz w:val="28"/>
          <w:lang w:val="uk-UA"/>
        </w:rPr>
      </w:pPr>
      <w:r>
        <w:rPr>
          <w:sz w:val="28"/>
          <w:lang w:val="uk-UA"/>
        </w:rPr>
        <w:lastRenderedPageBreak/>
        <w:t>Продовження додатка 1</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3</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4</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6</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6</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7</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7</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7</w:t>
            </w:r>
            <w:r w:rsidRPr="00CF39BA">
              <w:rPr>
                <w:noProof/>
                <w:webHidden/>
                <w:sz w:val="28"/>
                <w:lang w:val="uk-UA"/>
              </w:rPr>
              <w:fldChar w:fldCharType="end"/>
            </w:r>
          </w:hyperlink>
        </w:p>
        <w:p w:rsidR="00063E01" w:rsidRPr="00CF39BA" w:rsidRDefault="00A074C8">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8D4DCA">
              <w:rPr>
                <w:noProof/>
                <w:webHidden/>
                <w:sz w:val="28"/>
                <w:lang w:val="uk-UA"/>
              </w:rPr>
              <w:t>7</w:t>
            </w:r>
            <w:r w:rsidRPr="00CF39BA">
              <w:rPr>
                <w:noProof/>
                <w:webHidden/>
                <w:sz w:val="28"/>
                <w:lang w:val="uk-UA"/>
              </w:rPr>
              <w:fldChar w:fldCharType="end"/>
            </w:r>
          </w:hyperlink>
        </w:p>
        <w:p w:rsidR="00E63D0D" w:rsidRPr="00CF39BA" w:rsidRDefault="00A074C8"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Продовження додатка 1</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970459"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970459"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970459"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1C592D" w:rsidRDefault="0055594A" w:rsidP="0055594A">
            <w:pPr>
              <w:jc w:val="both"/>
              <w:rPr>
                <w:szCs w:val="22"/>
                <w:lang w:val="uk-UA"/>
              </w:rPr>
            </w:pPr>
            <w:r w:rsidRPr="001C592D">
              <w:rPr>
                <w:sz w:val="22"/>
                <w:szCs w:val="22"/>
                <w:lang w:val="uk-UA"/>
              </w:rPr>
              <w:t xml:space="preserve">Загальний обсяг фінансових ресурсів для реалізації </w:t>
            </w:r>
            <w:r w:rsidR="003455AF" w:rsidRPr="001C592D">
              <w:rPr>
                <w:sz w:val="22"/>
                <w:szCs w:val="22"/>
                <w:lang w:val="uk-UA"/>
              </w:rPr>
              <w:t xml:space="preserve">Програми </w:t>
            </w:r>
            <w:r w:rsidRPr="001C592D">
              <w:rPr>
                <w:sz w:val="22"/>
                <w:szCs w:val="22"/>
                <w:lang w:val="uk-UA"/>
              </w:rPr>
              <w:t>–</w:t>
            </w:r>
            <w:r w:rsidR="003455AF" w:rsidRPr="001C592D">
              <w:rPr>
                <w:sz w:val="22"/>
                <w:szCs w:val="22"/>
                <w:lang w:val="uk-UA"/>
              </w:rPr>
              <w:t xml:space="preserve"> </w:t>
            </w:r>
            <w:r w:rsidR="0088217B" w:rsidRPr="001C592D">
              <w:rPr>
                <w:sz w:val="22"/>
                <w:szCs w:val="22"/>
                <w:lang w:val="uk-UA"/>
              </w:rPr>
              <w:t>1</w:t>
            </w:r>
            <w:r w:rsidR="0088217B">
              <w:rPr>
                <w:sz w:val="22"/>
                <w:szCs w:val="22"/>
                <w:lang w:val="uk-UA"/>
              </w:rPr>
              <w:t>9</w:t>
            </w:r>
            <w:r w:rsidR="0088217B" w:rsidRPr="001C592D">
              <w:rPr>
                <w:sz w:val="22"/>
                <w:szCs w:val="22"/>
                <w:lang w:val="uk-UA"/>
              </w:rPr>
              <w:t> 1</w:t>
            </w:r>
            <w:r w:rsidR="008E2F33">
              <w:rPr>
                <w:sz w:val="22"/>
                <w:szCs w:val="22"/>
                <w:lang w:val="en-US"/>
              </w:rPr>
              <w:t>0</w:t>
            </w:r>
            <w:r w:rsidR="0088217B" w:rsidRPr="001C592D">
              <w:rPr>
                <w:sz w:val="22"/>
                <w:szCs w:val="22"/>
                <w:lang w:val="uk-UA"/>
              </w:rPr>
              <w:t>2,30</w:t>
            </w:r>
            <w:r w:rsidR="0088217B">
              <w:rPr>
                <w:sz w:val="22"/>
                <w:szCs w:val="22"/>
                <w:lang w:val="uk-UA"/>
              </w:rPr>
              <w:t xml:space="preserve"> </w:t>
            </w:r>
            <w:r w:rsidRPr="001C592D">
              <w:rPr>
                <w:sz w:val="22"/>
                <w:szCs w:val="22"/>
                <w:lang w:val="uk-UA"/>
              </w:rPr>
              <w:t>тис. грн., в т.ч.:</w:t>
            </w:r>
          </w:p>
          <w:p w:rsidR="0055594A" w:rsidRPr="001C592D" w:rsidRDefault="0055594A" w:rsidP="0055594A">
            <w:pPr>
              <w:jc w:val="right"/>
              <w:rPr>
                <w:i/>
                <w:szCs w:val="22"/>
                <w:lang w:val="uk-UA"/>
              </w:rPr>
            </w:pPr>
            <w:r w:rsidRPr="001C592D">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1C592D" w:rsidRDefault="0055594A" w:rsidP="0055594A">
            <w:pPr>
              <w:jc w:val="center"/>
              <w:rPr>
                <w:color w:val="000000"/>
                <w:szCs w:val="22"/>
                <w:lang w:val="uk-UA"/>
              </w:rPr>
            </w:pPr>
            <w:r w:rsidRPr="001C592D">
              <w:rPr>
                <w:color w:val="000000"/>
                <w:sz w:val="22"/>
                <w:szCs w:val="22"/>
                <w:lang w:val="uk-UA"/>
              </w:rPr>
              <w:t>кошти державного бюджету</w:t>
            </w:r>
          </w:p>
        </w:tc>
        <w:tc>
          <w:tcPr>
            <w:tcW w:w="1843" w:type="dxa"/>
            <w:shd w:val="clear" w:color="auto" w:fill="C6D9F1" w:themeFill="text2" w:themeFillTint="33"/>
          </w:tcPr>
          <w:p w:rsidR="0055594A" w:rsidRPr="001C592D" w:rsidRDefault="0055594A" w:rsidP="0055594A">
            <w:pPr>
              <w:jc w:val="center"/>
              <w:rPr>
                <w:szCs w:val="22"/>
                <w:lang w:val="uk-UA"/>
              </w:rPr>
            </w:pPr>
            <w:r w:rsidRPr="001C592D">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1C592D" w:rsidRDefault="0023264F" w:rsidP="008E2F33">
            <w:pPr>
              <w:jc w:val="center"/>
              <w:rPr>
                <w:color w:val="000000" w:themeColor="text1"/>
                <w:szCs w:val="22"/>
                <w:lang w:val="uk-UA"/>
              </w:rPr>
            </w:pPr>
            <w:r w:rsidRPr="001C592D">
              <w:rPr>
                <w:iCs w:val="0"/>
                <w:sz w:val="22"/>
                <w:szCs w:val="22"/>
                <w:lang w:val="uk-UA"/>
              </w:rPr>
              <w:t xml:space="preserve"> </w:t>
            </w:r>
            <w:r w:rsidR="00247EAA" w:rsidRPr="001C592D">
              <w:rPr>
                <w:sz w:val="22"/>
                <w:szCs w:val="22"/>
                <w:lang w:val="uk-UA"/>
              </w:rPr>
              <w:t xml:space="preserve"> </w:t>
            </w:r>
            <w:r w:rsidR="006C6599" w:rsidRPr="001C592D">
              <w:rPr>
                <w:sz w:val="22"/>
                <w:szCs w:val="22"/>
                <w:lang w:val="uk-UA"/>
              </w:rPr>
              <w:t>1</w:t>
            </w:r>
            <w:r w:rsidR="00C20394">
              <w:rPr>
                <w:sz w:val="22"/>
                <w:szCs w:val="22"/>
                <w:lang w:val="uk-UA"/>
              </w:rPr>
              <w:t>9</w:t>
            </w:r>
            <w:r w:rsidR="00FC5157" w:rsidRPr="001C592D">
              <w:rPr>
                <w:sz w:val="22"/>
                <w:szCs w:val="22"/>
                <w:lang w:val="uk-UA"/>
              </w:rPr>
              <w:t> </w:t>
            </w:r>
            <w:r w:rsidR="006C6599" w:rsidRPr="001C592D">
              <w:rPr>
                <w:sz w:val="22"/>
                <w:szCs w:val="22"/>
                <w:lang w:val="uk-UA"/>
              </w:rPr>
              <w:t>1</w:t>
            </w:r>
            <w:r w:rsidR="008E2F33">
              <w:rPr>
                <w:sz w:val="22"/>
                <w:szCs w:val="22"/>
                <w:lang w:val="en-US"/>
              </w:rPr>
              <w:t>0</w:t>
            </w:r>
            <w:r w:rsidR="007E0D4F" w:rsidRPr="001C592D">
              <w:rPr>
                <w:sz w:val="22"/>
                <w:szCs w:val="22"/>
                <w:lang w:val="uk-UA"/>
              </w:rPr>
              <w:t>2</w:t>
            </w:r>
            <w:r w:rsidR="00FC5157" w:rsidRPr="001C592D">
              <w:rPr>
                <w:sz w:val="22"/>
                <w:szCs w:val="22"/>
                <w:lang w:val="uk-UA"/>
              </w:rPr>
              <w:t>,</w:t>
            </w:r>
            <w:r w:rsidR="007E0D4F" w:rsidRPr="001C592D">
              <w:rPr>
                <w:sz w:val="22"/>
                <w:szCs w:val="22"/>
                <w:lang w:val="uk-UA"/>
              </w:rPr>
              <w:t>3</w:t>
            </w:r>
            <w:r w:rsidR="00FC5157" w:rsidRPr="001C592D">
              <w:rPr>
                <w:sz w:val="22"/>
                <w:szCs w:val="22"/>
                <w:lang w:val="uk-UA"/>
              </w:rPr>
              <w:t>0</w:t>
            </w:r>
          </w:p>
        </w:tc>
        <w:tc>
          <w:tcPr>
            <w:tcW w:w="1417" w:type="dxa"/>
            <w:vAlign w:val="center"/>
          </w:tcPr>
          <w:p w:rsidR="0055594A" w:rsidRPr="001C592D" w:rsidRDefault="0055594A" w:rsidP="0055594A">
            <w:pPr>
              <w:jc w:val="center"/>
              <w:rPr>
                <w:szCs w:val="22"/>
                <w:lang w:val="uk-UA"/>
              </w:rPr>
            </w:pPr>
            <w:r w:rsidRPr="001C592D">
              <w:rPr>
                <w:sz w:val="22"/>
                <w:szCs w:val="22"/>
                <w:lang w:val="uk-UA"/>
              </w:rPr>
              <w:t>0,0</w:t>
            </w:r>
            <w:r w:rsidR="00EC221B" w:rsidRPr="001C592D">
              <w:rPr>
                <w:sz w:val="22"/>
                <w:szCs w:val="22"/>
                <w:lang w:val="uk-UA"/>
              </w:rPr>
              <w:t>0</w:t>
            </w:r>
          </w:p>
        </w:tc>
        <w:tc>
          <w:tcPr>
            <w:tcW w:w="1843" w:type="dxa"/>
            <w:vAlign w:val="center"/>
          </w:tcPr>
          <w:p w:rsidR="0055594A" w:rsidRPr="001C592D" w:rsidRDefault="00EC221B" w:rsidP="0055594A">
            <w:pPr>
              <w:jc w:val="center"/>
              <w:rPr>
                <w:szCs w:val="22"/>
                <w:lang w:val="uk-UA"/>
              </w:rPr>
            </w:pPr>
            <w:r w:rsidRPr="001C592D">
              <w:rPr>
                <w:rFonts w:ascii="Times New Roman CYR" w:hAnsi="Times New Roman CYR"/>
                <w:iCs w:val="0"/>
                <w:sz w:val="22"/>
                <w:szCs w:val="22"/>
                <w:lang w:val="uk-UA"/>
              </w:rPr>
              <w:t>0</w:t>
            </w:r>
            <w:r w:rsidR="00BB003E" w:rsidRPr="001C592D">
              <w:rPr>
                <w:rFonts w:ascii="Times New Roman CYR" w:hAnsi="Times New Roman CYR"/>
                <w:iCs w:val="0"/>
                <w:sz w:val="22"/>
                <w:szCs w:val="22"/>
                <w:lang w:val="uk-UA"/>
              </w:rPr>
              <w:t>,00</w:t>
            </w:r>
          </w:p>
        </w:tc>
      </w:tr>
      <w:tr w:rsidR="00E322BF" w:rsidRPr="00970459"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Pr>
                <w:sz w:val="22"/>
                <w:szCs w:val="22"/>
                <w:lang w:val="en-US"/>
              </w:rPr>
              <w:t xml:space="preserve"> – </w:t>
            </w:r>
            <w:r>
              <w:rPr>
                <w:sz w:val="22"/>
                <w:szCs w:val="22"/>
                <w:lang w:val="uk-UA"/>
              </w:rPr>
              <w:t>ТОП 12.</w:t>
            </w:r>
          </w:p>
        </w:tc>
      </w:tr>
    </w:tbl>
    <w:p w:rsidR="003B6ACD" w:rsidRDefault="003B6ACD" w:rsidP="003B6ACD">
      <w:pPr>
        <w:rPr>
          <w:lang w:val="uk-UA"/>
        </w:rPr>
      </w:pPr>
      <w:bookmarkStart w:id="1" w:name="_Toc424524481"/>
      <w:bookmarkStart w:id="2" w:name="_Toc498994770"/>
    </w:p>
    <w:p w:rsidR="00F445BB" w:rsidRDefault="00F445BB" w:rsidP="00F445BB">
      <w:pPr>
        <w:jc w:val="right"/>
        <w:rPr>
          <w:sz w:val="28"/>
          <w:lang w:val="uk-UA"/>
        </w:rPr>
      </w:pPr>
      <w:r>
        <w:rPr>
          <w:sz w:val="28"/>
          <w:lang w:val="uk-UA"/>
        </w:rPr>
        <w:lastRenderedPageBreak/>
        <w:t>Продовження додатка 1</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1"/>
      <w:bookmarkEnd w:id="2"/>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Default="004A46E0" w:rsidP="003B6ACD">
      <w:pPr>
        <w:pStyle w:val="af0"/>
        <w:shd w:val="clear" w:color="auto" w:fill="F9F9F0"/>
        <w:spacing w:before="0" w:beforeAutospacing="0" w:after="150" w:afterAutospacing="0"/>
        <w:ind w:firstLine="567"/>
        <w:contextualSpacing/>
        <w:jc w:val="both"/>
        <w:rPr>
          <w:sz w:val="28"/>
          <w:szCs w:val="28"/>
          <w:lang w:val="uk-UA"/>
        </w:rPr>
      </w:pPr>
      <w:r w:rsidRPr="004A46E0">
        <w:rPr>
          <w:rStyle w:val="FontStyle22"/>
          <w:sz w:val="28"/>
          <w:szCs w:val="28"/>
          <w:lang w:val="uk-UA" w:eastAsia="uk-UA"/>
        </w:rPr>
        <w:t xml:space="preserve">У </w:t>
      </w:r>
      <w:r w:rsidR="00EA6AFF">
        <w:rPr>
          <w:rStyle w:val="FontStyle22"/>
          <w:sz w:val="28"/>
          <w:szCs w:val="28"/>
          <w:lang w:val="uk-UA" w:eastAsia="uk-UA"/>
        </w:rPr>
        <w:t>Житомирській міській об’єднаній територіальній громаді</w:t>
      </w:r>
      <w:r w:rsidRPr="004A46E0">
        <w:rPr>
          <w:rStyle w:val="FontStyle22"/>
          <w:sz w:val="28"/>
          <w:szCs w:val="28"/>
          <w:lang w:val="uk-UA" w:eastAsia="uk-UA"/>
        </w:rPr>
        <w:t xml:space="preserve"> створені умови для </w:t>
      </w:r>
      <w:r w:rsidR="002105F2">
        <w:rPr>
          <w:rStyle w:val="FontStyle22"/>
          <w:sz w:val="28"/>
          <w:szCs w:val="28"/>
          <w:lang w:val="uk-UA" w:eastAsia="uk-UA"/>
        </w:rPr>
        <w:t xml:space="preserve">вільного доступу до </w:t>
      </w:r>
      <w:r w:rsidRPr="004A46E0">
        <w:rPr>
          <w:rStyle w:val="FontStyle22"/>
          <w:sz w:val="28"/>
          <w:szCs w:val="28"/>
          <w:lang w:val="uk-UA" w:eastAsia="uk-UA"/>
        </w:rPr>
        <w:t xml:space="preserve">інформації </w:t>
      </w:r>
      <w:r w:rsidR="002105F2" w:rsidRPr="004A46E0">
        <w:rPr>
          <w:rStyle w:val="FontStyle22"/>
          <w:sz w:val="28"/>
          <w:szCs w:val="28"/>
          <w:lang w:val="uk-UA" w:eastAsia="uk-UA"/>
        </w:rPr>
        <w:t xml:space="preserve">громадянам </w:t>
      </w:r>
      <w:r w:rsidR="002105F2">
        <w:rPr>
          <w:rStyle w:val="FontStyle22"/>
          <w:sz w:val="28"/>
          <w:szCs w:val="28"/>
          <w:lang w:val="uk-UA" w:eastAsia="uk-UA"/>
        </w:rPr>
        <w:t>щодо</w:t>
      </w:r>
      <w:r w:rsidRPr="004A46E0">
        <w:rPr>
          <w:rStyle w:val="FontStyle22"/>
          <w:sz w:val="28"/>
          <w:szCs w:val="28"/>
          <w:lang w:val="uk-UA" w:eastAsia="uk-UA"/>
        </w:rPr>
        <w:t xml:space="preserve"> діяльн</w:t>
      </w:r>
      <w:r w:rsidR="002105F2">
        <w:rPr>
          <w:rStyle w:val="FontStyle22"/>
          <w:sz w:val="28"/>
          <w:szCs w:val="28"/>
          <w:lang w:val="uk-UA" w:eastAsia="uk-UA"/>
        </w:rPr>
        <w:t>ості</w:t>
      </w:r>
      <w:r w:rsidRPr="004A46E0">
        <w:rPr>
          <w:rStyle w:val="FontStyle22"/>
          <w:sz w:val="28"/>
          <w:szCs w:val="28"/>
          <w:lang w:val="uk-UA" w:eastAsia="uk-UA"/>
        </w:rPr>
        <w:t xml:space="preserve"> міського голови, посадових осіб та депутатів Житомирської міської ради, виконавчого комітету міської ради. </w:t>
      </w:r>
      <w:r w:rsidR="002105F2">
        <w:rPr>
          <w:rStyle w:val="FontStyle22"/>
          <w:sz w:val="28"/>
          <w:szCs w:val="28"/>
          <w:lang w:val="uk-UA" w:eastAsia="uk-UA"/>
        </w:rPr>
        <w:t xml:space="preserve"> </w:t>
      </w:r>
      <w:r w:rsidRPr="00970459">
        <w:rPr>
          <w:sz w:val="28"/>
          <w:szCs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970459">
        <w:rPr>
          <w:sz w:val="28"/>
          <w:szCs w:val="28"/>
          <w:lang w:val="uk-UA"/>
        </w:rPr>
        <w:t>пр</w:t>
      </w:r>
      <w:r w:rsidR="00D54E80">
        <w:rPr>
          <w:sz w:val="28"/>
          <w:szCs w:val="28"/>
          <w:lang w:val="uk-UA"/>
        </w:rPr>
        <w:t>е</w:t>
      </w:r>
      <w:r w:rsidR="009A61DA">
        <w:rPr>
          <w:sz w:val="28"/>
          <w:szCs w:val="28"/>
          <w:lang w:val="uk-UA"/>
        </w:rPr>
        <w:t>с</w:t>
      </w:r>
      <w:r w:rsidR="00D54E80">
        <w:rPr>
          <w:sz w:val="28"/>
          <w:szCs w:val="28"/>
          <w:lang w:val="uk-UA"/>
        </w:rPr>
        <w:t>к</w:t>
      </w:r>
      <w:r w:rsidRPr="00970459">
        <w:rPr>
          <w:sz w:val="28"/>
          <w:szCs w:val="28"/>
          <w:lang w:val="uk-UA"/>
        </w:rPr>
        <w:t>онференцій</w:t>
      </w:r>
      <w:proofErr w:type="spellEnd"/>
      <w:r w:rsidRPr="00970459">
        <w:rPr>
          <w:sz w:val="28"/>
          <w:szCs w:val="28"/>
          <w:lang w:val="uk-UA"/>
        </w:rPr>
        <w:t>, їх подальше висвітлен</w:t>
      </w:r>
      <w:r w:rsidR="002105F2">
        <w:rPr>
          <w:sz w:val="28"/>
          <w:szCs w:val="28"/>
          <w:lang w:val="uk-UA"/>
        </w:rPr>
        <w:t xml:space="preserve">ня у засобах масової інформації, </w:t>
      </w:r>
      <w:proofErr w:type="spellStart"/>
      <w:r w:rsidR="002105F2">
        <w:rPr>
          <w:sz w:val="28"/>
          <w:szCs w:val="28"/>
          <w:lang w:val="uk-UA"/>
        </w:rPr>
        <w:t>партисипаційні</w:t>
      </w:r>
      <w:proofErr w:type="spellEnd"/>
      <w:r w:rsidR="002105F2">
        <w:rPr>
          <w:sz w:val="28"/>
          <w:szCs w:val="28"/>
          <w:lang w:val="uk-UA"/>
        </w:rPr>
        <w:t xml:space="preserve"> практики, петиції, тощо.</w:t>
      </w:r>
    </w:p>
    <w:p w:rsidR="003B6ACD" w:rsidRPr="00BB5571" w:rsidRDefault="003B6ACD" w:rsidP="003B6ACD">
      <w:pPr>
        <w:pStyle w:val="af0"/>
        <w:shd w:val="clear" w:color="auto" w:fill="F9F9F0"/>
        <w:spacing w:before="0" w:beforeAutospacing="0" w:after="150" w:afterAutospacing="0"/>
        <w:ind w:firstLine="567"/>
        <w:contextualSpacing/>
        <w:jc w:val="both"/>
        <w:rPr>
          <w:sz w:val="28"/>
          <w:szCs w:val="28"/>
          <w:lang w:val="uk-UA"/>
        </w:rPr>
      </w:pPr>
      <w:r>
        <w:rPr>
          <w:sz w:val="28"/>
          <w:szCs w:val="28"/>
          <w:lang w:val="uk-UA"/>
        </w:rPr>
        <w:t xml:space="preserve">Щороку на сайті міської ради </w:t>
      </w:r>
      <w:r w:rsidRPr="00BB5571">
        <w:rPr>
          <w:sz w:val="28"/>
          <w:szCs w:val="28"/>
          <w:lang w:val="uk-UA"/>
        </w:rPr>
        <w:t>у розділі «Новини</w:t>
      </w:r>
      <w:r>
        <w:rPr>
          <w:sz w:val="28"/>
          <w:szCs w:val="28"/>
          <w:lang w:val="uk-UA"/>
        </w:rPr>
        <w:t>» оприлюднюється</w:t>
      </w:r>
      <w:r w:rsidRPr="00BB5571">
        <w:rPr>
          <w:sz w:val="28"/>
          <w:szCs w:val="28"/>
          <w:lang w:val="uk-UA"/>
        </w:rPr>
        <w:t xml:space="preserve"> понад </w:t>
      </w:r>
      <w:r>
        <w:rPr>
          <w:sz w:val="28"/>
          <w:szCs w:val="28"/>
          <w:lang w:val="uk-UA"/>
        </w:rPr>
        <w:t>2500</w:t>
      </w:r>
      <w:r w:rsidRPr="00BB5571">
        <w:rPr>
          <w:sz w:val="28"/>
          <w:szCs w:val="28"/>
          <w:lang w:val="uk-UA"/>
        </w:rPr>
        <w:t xml:space="preserve"> інформаційних та актуальних повідомлень </w:t>
      </w:r>
      <w:r>
        <w:rPr>
          <w:sz w:val="28"/>
          <w:szCs w:val="28"/>
          <w:lang w:val="uk-UA"/>
        </w:rPr>
        <w:t xml:space="preserve"> про </w:t>
      </w:r>
      <w:r w:rsidRPr="00BB5571">
        <w:rPr>
          <w:sz w:val="28"/>
          <w:szCs w:val="28"/>
          <w:lang w:val="uk-UA"/>
        </w:rPr>
        <w:t xml:space="preserve">офіційну інформацію, коментарі </w:t>
      </w:r>
      <w:r>
        <w:rPr>
          <w:sz w:val="28"/>
          <w:szCs w:val="28"/>
          <w:lang w:val="uk-UA"/>
        </w:rPr>
        <w:t xml:space="preserve">міського голови та </w:t>
      </w:r>
      <w:r w:rsidRPr="00BB5571">
        <w:rPr>
          <w:sz w:val="28"/>
          <w:szCs w:val="28"/>
          <w:lang w:val="uk-UA"/>
        </w:rPr>
        <w:t>посадових осіб щодо діяльності міської ради.</w:t>
      </w:r>
      <w:r>
        <w:rPr>
          <w:sz w:val="28"/>
          <w:szCs w:val="28"/>
          <w:lang w:val="uk-UA"/>
        </w:rPr>
        <w:t xml:space="preserve"> Відповідно зростає кількість переглядів </w:t>
      </w:r>
      <w:r w:rsidRPr="00BB5571">
        <w:rPr>
          <w:sz w:val="28"/>
          <w:szCs w:val="28"/>
          <w:lang w:val="uk-UA"/>
        </w:rPr>
        <w:t xml:space="preserve">головної сторінки сайту </w:t>
      </w:r>
      <w:r w:rsidR="00EB0695">
        <w:rPr>
          <w:sz w:val="28"/>
          <w:szCs w:val="28"/>
          <w:lang w:val="uk-UA"/>
        </w:rPr>
        <w:t xml:space="preserve">- це </w:t>
      </w:r>
      <w:r w:rsidRPr="00BB5571">
        <w:rPr>
          <w:sz w:val="28"/>
          <w:szCs w:val="28"/>
          <w:lang w:val="uk-UA"/>
        </w:rPr>
        <w:t>понад 2</w:t>
      </w:r>
      <w:r>
        <w:rPr>
          <w:sz w:val="28"/>
          <w:szCs w:val="28"/>
          <w:lang w:val="uk-UA"/>
        </w:rPr>
        <w:t>50 </w:t>
      </w:r>
      <w:r w:rsidRPr="00BB5571">
        <w:rPr>
          <w:sz w:val="28"/>
          <w:szCs w:val="28"/>
          <w:lang w:val="uk-UA"/>
        </w:rPr>
        <w:t>335</w:t>
      </w:r>
      <w:r>
        <w:rPr>
          <w:sz w:val="28"/>
          <w:szCs w:val="28"/>
          <w:lang w:val="uk-UA"/>
        </w:rPr>
        <w:t xml:space="preserve"> за рік</w:t>
      </w:r>
      <w:r w:rsidRPr="00BB5571">
        <w:rPr>
          <w:sz w:val="28"/>
          <w:szCs w:val="28"/>
          <w:lang w:val="uk-UA"/>
        </w:rPr>
        <w:t>.</w:t>
      </w:r>
    </w:p>
    <w:p w:rsidR="00EB05E3" w:rsidRPr="009A61DA" w:rsidRDefault="00EB05E3" w:rsidP="009A61DA">
      <w:pPr>
        <w:pStyle w:val="af0"/>
        <w:shd w:val="clear" w:color="auto" w:fill="F9F9F0"/>
        <w:spacing w:before="0" w:beforeAutospacing="0" w:after="150" w:afterAutospacing="0"/>
        <w:ind w:firstLine="567"/>
        <w:contextualSpacing/>
        <w:jc w:val="both"/>
        <w:rPr>
          <w:sz w:val="28"/>
          <w:szCs w:val="28"/>
          <w:lang w:val="uk-UA"/>
        </w:rPr>
      </w:pPr>
      <w:r>
        <w:rPr>
          <w:sz w:val="28"/>
          <w:lang w:val="uk-UA"/>
        </w:rPr>
        <w:t xml:space="preserve">Від </w:t>
      </w:r>
      <w:r w:rsidRPr="00CF39BA">
        <w:rPr>
          <w:sz w:val="28"/>
          <w:lang w:val="uk-UA"/>
        </w:rPr>
        <w:t>ефективно</w:t>
      </w:r>
      <w:r w:rsidR="00457F3A">
        <w:rPr>
          <w:sz w:val="28"/>
          <w:lang w:val="uk-UA"/>
        </w:rPr>
        <w:t>ї</w:t>
      </w:r>
      <w:r w:rsidRPr="00CF39BA">
        <w:rPr>
          <w:sz w:val="28"/>
          <w:lang w:val="uk-UA"/>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Разом з тим з кожним скликанням «омолоджується» депутатський корпус. Це депутати віком до 35 років. Для прикладу: у сьомому скликанні Житомирської міської ради було майже 24% молодих депутатів (10 депутатів з 42).</w:t>
      </w:r>
      <w:r>
        <w:rPr>
          <w:sz w:val="28"/>
          <w:lang w:val="uk-UA"/>
        </w:rPr>
        <w:t xml:space="preserve"> </w:t>
      </w:r>
    </w:p>
    <w:p w:rsidR="00EB0695" w:rsidRDefault="00EB0695" w:rsidP="00EB0695">
      <w:pPr>
        <w:jc w:val="right"/>
        <w:rPr>
          <w:sz w:val="28"/>
          <w:lang w:val="uk-UA"/>
        </w:rPr>
      </w:pPr>
      <w:r>
        <w:rPr>
          <w:sz w:val="28"/>
          <w:lang w:val="uk-UA"/>
        </w:rPr>
        <w:lastRenderedPageBreak/>
        <w:t>Продовження додатка 1</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proofErr w:type="spellStart"/>
      <w:r w:rsidRPr="00C35A38">
        <w:rPr>
          <w:rStyle w:val="apple-converted-space"/>
          <w:sz w:val="28"/>
          <w:szCs w:val="28"/>
          <w:shd w:val="clear" w:color="auto" w:fill="FFFFFF"/>
        </w:rPr>
        <w:t>творення</w:t>
      </w:r>
      <w:proofErr w:type="spellEnd"/>
      <w:r w:rsidRPr="00C35A38">
        <w:rPr>
          <w:rStyle w:val="apple-converted-space"/>
          <w:sz w:val="28"/>
          <w:szCs w:val="28"/>
          <w:shd w:val="clear" w:color="auto" w:fill="FFFFFF"/>
        </w:rPr>
        <w:t xml:space="preserve"> </w:t>
      </w:r>
      <w:proofErr w:type="spellStart"/>
      <w:r w:rsidRPr="00C35A38">
        <w:rPr>
          <w:rStyle w:val="apple-converted-space"/>
          <w:sz w:val="28"/>
          <w:szCs w:val="28"/>
          <w:shd w:val="clear" w:color="auto" w:fill="FFFFFF"/>
        </w:rPr>
        <w:t>сприятливих</w:t>
      </w:r>
      <w:proofErr w:type="spellEnd"/>
      <w:r w:rsidRPr="00C35A38">
        <w:rPr>
          <w:rStyle w:val="apple-converted-space"/>
          <w:sz w:val="28"/>
          <w:szCs w:val="28"/>
          <w:shd w:val="clear" w:color="auto" w:fill="FFFFFF"/>
        </w:rPr>
        <w:t xml:space="preserve"> умов розвитку</w:t>
      </w:r>
      <w:r w:rsidRPr="004352D7">
        <w:rPr>
          <w:rStyle w:val="apple-converted-space"/>
          <w:szCs w:val="28"/>
          <w:shd w:val="clear" w:color="auto" w:fill="FFFFFF"/>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основного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F71C18">
      <w:pPr>
        <w:shd w:val="clear" w:color="auto" w:fill="FFFFFF"/>
        <w:ind w:firstLine="567"/>
        <w:contextualSpacing/>
        <w:jc w:val="both"/>
        <w:rPr>
          <w:sz w:val="28"/>
          <w:lang w:val="uk-UA"/>
        </w:rPr>
      </w:pPr>
    </w:p>
    <w:p w:rsidR="00733046" w:rsidRDefault="00733046" w:rsidP="00733046">
      <w:pPr>
        <w:shd w:val="clear" w:color="auto" w:fill="FFFFFF"/>
        <w:ind w:firstLine="567"/>
        <w:contextualSpacing/>
        <w:jc w:val="right"/>
        <w:rPr>
          <w:sz w:val="28"/>
          <w:lang w:val="uk-UA"/>
        </w:rPr>
      </w:pPr>
      <w:r>
        <w:rPr>
          <w:sz w:val="28"/>
          <w:lang w:val="uk-UA"/>
        </w:rPr>
        <w:lastRenderedPageBreak/>
        <w:t>Продовження додатка 1</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3" w:name="_Toc424524482"/>
      <w:bookmarkStart w:id="4"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3"/>
      <w:bookmarkEnd w:id="4"/>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5" w:name="_Toc424524483"/>
      <w:bookmarkStart w:id="6"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5"/>
      <w:r w:rsidR="00E322BF" w:rsidRPr="00553F35">
        <w:rPr>
          <w:rFonts w:ascii="Times New Roman" w:eastAsia="Times New Roman" w:hAnsi="Times New Roman" w:cs="Times New Roman"/>
          <w:color w:val="auto"/>
          <w:lang w:val="uk-UA"/>
        </w:rPr>
        <w:t>ПОКАЗНИКИ РЕЗУЛЬТАТИВНОСТІ</w:t>
      </w:r>
      <w:bookmarkEnd w:id="6"/>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1C592D" w:rsidRDefault="00FE03C1" w:rsidP="00FE03C1">
      <w:pPr>
        <w:pStyle w:val="af0"/>
        <w:shd w:val="clear" w:color="auto" w:fill="F9F9F0"/>
        <w:spacing w:before="0" w:beforeAutospacing="0" w:after="150" w:afterAutospacing="0"/>
        <w:ind w:firstLine="567"/>
        <w:contextualSpacing/>
        <w:jc w:val="both"/>
        <w:rPr>
          <w:sz w:val="28"/>
          <w:szCs w:val="28"/>
          <w:lang w:val="uk-UA"/>
        </w:rPr>
      </w:pPr>
      <w:r w:rsidRPr="00EB05E3">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7" w:name="_Toc498994773"/>
      <w:bookmarkStart w:id="8"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Продовження додатка 1</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7"/>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9"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9"/>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widowControl w:val="0"/>
        <w:ind w:firstLine="708"/>
        <w:jc w:val="right"/>
        <w:rPr>
          <w:sz w:val="28"/>
          <w:lang w:val="uk-UA"/>
        </w:rPr>
      </w:pPr>
      <w:r w:rsidRPr="00CF39BA">
        <w:rPr>
          <w:sz w:val="28"/>
          <w:lang w:val="uk-UA"/>
        </w:rPr>
        <w:t xml:space="preserve">Таблиця </w:t>
      </w:r>
      <w:r w:rsidR="005D100D" w:rsidRPr="00CF39BA">
        <w:rPr>
          <w:sz w:val="28"/>
          <w:lang w:val="uk-UA"/>
        </w:rPr>
        <w:t>6</w:t>
      </w:r>
      <w:r w:rsidRPr="00CF39BA">
        <w:rPr>
          <w:sz w:val="28"/>
          <w:lang w:val="uk-UA"/>
        </w:rPr>
        <w:t>.1.</w:t>
      </w: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0"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0"/>
      <w:tr w:rsidR="00083A34" w:rsidRPr="006C6599" w:rsidTr="006C6599">
        <w:trPr>
          <w:trHeight w:val="78"/>
        </w:trPr>
        <w:tc>
          <w:tcPr>
            <w:tcW w:w="2660" w:type="dxa"/>
          </w:tcPr>
          <w:p w:rsidR="00083A34" w:rsidRPr="00CF39BA" w:rsidRDefault="00083A34"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sidR="008E2F33">
              <w:rPr>
                <w:b/>
                <w:sz w:val="23"/>
                <w:szCs w:val="23"/>
                <w:lang w:val="en-US"/>
              </w:rPr>
              <w:t>798</w:t>
            </w:r>
            <w:r w:rsidRPr="007E7C77">
              <w:rPr>
                <w:b/>
                <w:sz w:val="23"/>
                <w:szCs w:val="23"/>
                <w:lang w:val="uk-UA"/>
              </w:rPr>
              <w:t>,0</w:t>
            </w:r>
          </w:p>
        </w:tc>
        <w:tc>
          <w:tcPr>
            <w:tcW w:w="984"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0</w:t>
            </w:r>
            <w:r>
              <w:rPr>
                <w:b/>
                <w:sz w:val="23"/>
                <w:szCs w:val="23"/>
                <w:lang w:val="uk-UA"/>
              </w:rPr>
              <w:t>7</w:t>
            </w:r>
            <w:r w:rsidRPr="007E7C77">
              <w:rPr>
                <w:b/>
                <w:sz w:val="23"/>
                <w:szCs w:val="23"/>
                <w:lang w:val="uk-UA"/>
              </w:rPr>
              <w:t>,</w:t>
            </w:r>
            <w:r>
              <w:rPr>
                <w:b/>
                <w:sz w:val="23"/>
                <w:szCs w:val="23"/>
                <w:lang w:val="uk-UA"/>
              </w:rPr>
              <w:t>7</w:t>
            </w:r>
          </w:p>
        </w:tc>
        <w:tc>
          <w:tcPr>
            <w:tcW w:w="1051"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1</w:t>
            </w:r>
            <w:r>
              <w:rPr>
                <w:b/>
                <w:sz w:val="23"/>
                <w:szCs w:val="23"/>
                <w:lang w:val="uk-UA"/>
              </w:rPr>
              <w:t>7</w:t>
            </w:r>
            <w:r w:rsidRPr="007E7C77">
              <w:rPr>
                <w:b/>
                <w:sz w:val="23"/>
                <w:szCs w:val="23"/>
                <w:lang w:val="uk-UA"/>
              </w:rPr>
              <w:t>,</w:t>
            </w:r>
            <w:r>
              <w:rPr>
                <w:b/>
                <w:sz w:val="23"/>
                <w:szCs w:val="23"/>
                <w:lang w:val="uk-UA"/>
              </w:rPr>
              <w:t>9</w:t>
            </w:r>
          </w:p>
        </w:tc>
        <w:tc>
          <w:tcPr>
            <w:tcW w:w="1040"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3</w:t>
            </w:r>
            <w:r>
              <w:rPr>
                <w:b/>
                <w:sz w:val="23"/>
                <w:szCs w:val="23"/>
                <w:lang w:val="uk-UA"/>
              </w:rPr>
              <w:t>3</w:t>
            </w:r>
            <w:r w:rsidRPr="007E7C77">
              <w:rPr>
                <w:b/>
                <w:sz w:val="23"/>
                <w:szCs w:val="23"/>
                <w:lang w:val="uk-UA"/>
              </w:rPr>
              <w:t>,</w:t>
            </w:r>
            <w:r>
              <w:rPr>
                <w:b/>
                <w:sz w:val="23"/>
                <w:szCs w:val="23"/>
                <w:lang w:val="uk-UA"/>
              </w:rPr>
              <w:t>7</w:t>
            </w:r>
          </w:p>
        </w:tc>
        <w:tc>
          <w:tcPr>
            <w:tcW w:w="1040"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4</w:t>
            </w:r>
            <w:r>
              <w:rPr>
                <w:b/>
                <w:sz w:val="23"/>
                <w:szCs w:val="23"/>
                <w:lang w:val="uk-UA"/>
              </w:rPr>
              <w:t>5</w:t>
            </w:r>
            <w:r w:rsidRPr="007E7C77">
              <w:rPr>
                <w:b/>
                <w:sz w:val="23"/>
                <w:szCs w:val="23"/>
                <w:lang w:val="uk-UA"/>
              </w:rPr>
              <w:t>,0</w:t>
            </w:r>
          </w:p>
        </w:tc>
        <w:tc>
          <w:tcPr>
            <w:tcW w:w="1462" w:type="dxa"/>
          </w:tcPr>
          <w:p w:rsidR="00083A34" w:rsidRPr="007E7C77" w:rsidRDefault="00083A34" w:rsidP="008E2F33">
            <w:pPr>
              <w:jc w:val="center"/>
              <w:rPr>
                <w:b/>
                <w:sz w:val="23"/>
                <w:szCs w:val="23"/>
                <w:highlight w:val="yellow"/>
                <w:lang w:val="uk-UA"/>
              </w:rPr>
            </w:pPr>
            <w:r w:rsidRPr="0069181F">
              <w:rPr>
                <w:b/>
                <w:sz w:val="23"/>
                <w:szCs w:val="23"/>
                <w:lang w:val="uk-UA"/>
              </w:rPr>
              <w:t>1</w:t>
            </w:r>
            <w:r>
              <w:rPr>
                <w:b/>
                <w:sz w:val="23"/>
                <w:szCs w:val="23"/>
                <w:lang w:val="uk-UA"/>
              </w:rPr>
              <w:t>9</w:t>
            </w:r>
            <w:r w:rsidRPr="0069181F">
              <w:rPr>
                <w:b/>
                <w:sz w:val="23"/>
                <w:szCs w:val="23"/>
                <w:lang w:val="uk-UA"/>
              </w:rPr>
              <w:t> 1</w:t>
            </w:r>
            <w:r w:rsidR="008E2F33">
              <w:rPr>
                <w:b/>
                <w:sz w:val="23"/>
                <w:szCs w:val="23"/>
                <w:lang w:val="en-US"/>
              </w:rPr>
              <w:t>0</w:t>
            </w:r>
            <w:r>
              <w:rPr>
                <w:b/>
                <w:sz w:val="23"/>
                <w:szCs w:val="23"/>
                <w:lang w:val="uk-UA"/>
              </w:rPr>
              <w:t>2</w:t>
            </w:r>
            <w:r w:rsidRPr="0069181F">
              <w:rPr>
                <w:b/>
                <w:sz w:val="23"/>
                <w:szCs w:val="23"/>
                <w:lang w:val="uk-UA"/>
              </w:rPr>
              <w:t>,</w:t>
            </w:r>
            <w:r>
              <w:rPr>
                <w:b/>
                <w:sz w:val="23"/>
                <w:szCs w:val="23"/>
                <w:lang w:val="uk-UA"/>
              </w:rPr>
              <w:t>3</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8E2F33" w:rsidRPr="006C6599" w:rsidTr="006C6599">
        <w:tc>
          <w:tcPr>
            <w:tcW w:w="2660" w:type="dxa"/>
          </w:tcPr>
          <w:p w:rsidR="008E2F33" w:rsidRPr="00CF39BA" w:rsidRDefault="008E2F33"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8E2F33" w:rsidRPr="007E7C77" w:rsidRDefault="008E2F33" w:rsidP="003F0AE0">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en-US"/>
              </w:rPr>
              <w:t>798</w:t>
            </w:r>
            <w:r w:rsidRPr="007E7C77">
              <w:rPr>
                <w:b/>
                <w:sz w:val="23"/>
                <w:szCs w:val="23"/>
                <w:lang w:val="uk-UA"/>
              </w:rPr>
              <w:t>,0</w:t>
            </w:r>
          </w:p>
        </w:tc>
        <w:tc>
          <w:tcPr>
            <w:tcW w:w="984" w:type="dxa"/>
          </w:tcPr>
          <w:p w:rsidR="008E2F33" w:rsidRPr="007E7C77" w:rsidRDefault="008E2F33" w:rsidP="003F0AE0">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0</w:t>
            </w:r>
            <w:r>
              <w:rPr>
                <w:b/>
                <w:sz w:val="23"/>
                <w:szCs w:val="23"/>
                <w:lang w:val="uk-UA"/>
              </w:rPr>
              <w:t>7</w:t>
            </w:r>
            <w:r w:rsidRPr="007E7C77">
              <w:rPr>
                <w:b/>
                <w:sz w:val="23"/>
                <w:szCs w:val="23"/>
                <w:lang w:val="uk-UA"/>
              </w:rPr>
              <w:t>,</w:t>
            </w:r>
            <w:r>
              <w:rPr>
                <w:b/>
                <w:sz w:val="23"/>
                <w:szCs w:val="23"/>
                <w:lang w:val="uk-UA"/>
              </w:rPr>
              <w:t>7</w:t>
            </w:r>
          </w:p>
        </w:tc>
        <w:tc>
          <w:tcPr>
            <w:tcW w:w="1051" w:type="dxa"/>
          </w:tcPr>
          <w:p w:rsidR="008E2F33" w:rsidRPr="007E7C77" w:rsidRDefault="008E2F33" w:rsidP="003F0AE0">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1</w:t>
            </w:r>
            <w:r>
              <w:rPr>
                <w:b/>
                <w:sz w:val="23"/>
                <w:szCs w:val="23"/>
                <w:lang w:val="uk-UA"/>
              </w:rPr>
              <w:t>7</w:t>
            </w:r>
            <w:r w:rsidRPr="007E7C77">
              <w:rPr>
                <w:b/>
                <w:sz w:val="23"/>
                <w:szCs w:val="23"/>
                <w:lang w:val="uk-UA"/>
              </w:rPr>
              <w:t>,</w:t>
            </w:r>
            <w:r>
              <w:rPr>
                <w:b/>
                <w:sz w:val="23"/>
                <w:szCs w:val="23"/>
                <w:lang w:val="uk-UA"/>
              </w:rPr>
              <w:t>9</w:t>
            </w:r>
          </w:p>
        </w:tc>
        <w:tc>
          <w:tcPr>
            <w:tcW w:w="1040" w:type="dxa"/>
          </w:tcPr>
          <w:p w:rsidR="008E2F33" w:rsidRPr="007E7C77" w:rsidRDefault="008E2F33" w:rsidP="003F0AE0">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3</w:t>
            </w:r>
            <w:r>
              <w:rPr>
                <w:b/>
                <w:sz w:val="23"/>
                <w:szCs w:val="23"/>
                <w:lang w:val="uk-UA"/>
              </w:rPr>
              <w:t>3</w:t>
            </w:r>
            <w:r w:rsidRPr="007E7C77">
              <w:rPr>
                <w:b/>
                <w:sz w:val="23"/>
                <w:szCs w:val="23"/>
                <w:lang w:val="uk-UA"/>
              </w:rPr>
              <w:t>,</w:t>
            </w:r>
            <w:r>
              <w:rPr>
                <w:b/>
                <w:sz w:val="23"/>
                <w:szCs w:val="23"/>
                <w:lang w:val="uk-UA"/>
              </w:rPr>
              <w:t>7</w:t>
            </w:r>
          </w:p>
        </w:tc>
        <w:tc>
          <w:tcPr>
            <w:tcW w:w="1040" w:type="dxa"/>
          </w:tcPr>
          <w:p w:rsidR="008E2F33" w:rsidRPr="007E7C77" w:rsidRDefault="008E2F33" w:rsidP="003F0AE0">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4</w:t>
            </w:r>
            <w:r>
              <w:rPr>
                <w:b/>
                <w:sz w:val="23"/>
                <w:szCs w:val="23"/>
                <w:lang w:val="uk-UA"/>
              </w:rPr>
              <w:t>5</w:t>
            </w:r>
            <w:r w:rsidRPr="007E7C77">
              <w:rPr>
                <w:b/>
                <w:sz w:val="23"/>
                <w:szCs w:val="23"/>
                <w:lang w:val="uk-UA"/>
              </w:rPr>
              <w:t>,0</w:t>
            </w:r>
          </w:p>
        </w:tc>
        <w:tc>
          <w:tcPr>
            <w:tcW w:w="1462" w:type="dxa"/>
          </w:tcPr>
          <w:p w:rsidR="008E2F33" w:rsidRPr="007E7C77" w:rsidRDefault="008E2F33" w:rsidP="008E2F33">
            <w:pPr>
              <w:jc w:val="center"/>
              <w:rPr>
                <w:b/>
                <w:sz w:val="23"/>
                <w:szCs w:val="23"/>
                <w:highlight w:val="yellow"/>
                <w:lang w:val="uk-UA"/>
              </w:rPr>
            </w:pPr>
            <w:r w:rsidRPr="0069181F">
              <w:rPr>
                <w:b/>
                <w:sz w:val="23"/>
                <w:szCs w:val="23"/>
                <w:lang w:val="uk-UA"/>
              </w:rPr>
              <w:t>1</w:t>
            </w:r>
            <w:r>
              <w:rPr>
                <w:b/>
                <w:sz w:val="23"/>
                <w:szCs w:val="23"/>
                <w:lang w:val="uk-UA"/>
              </w:rPr>
              <w:t>9</w:t>
            </w:r>
            <w:r w:rsidRPr="0069181F">
              <w:rPr>
                <w:b/>
                <w:sz w:val="23"/>
                <w:szCs w:val="23"/>
                <w:lang w:val="uk-UA"/>
              </w:rPr>
              <w:t> 1</w:t>
            </w:r>
            <w:r>
              <w:rPr>
                <w:b/>
                <w:sz w:val="23"/>
                <w:szCs w:val="23"/>
                <w:lang w:val="en-US"/>
              </w:rPr>
              <w:t>0</w:t>
            </w:r>
            <w:r>
              <w:rPr>
                <w:b/>
                <w:sz w:val="23"/>
                <w:szCs w:val="23"/>
                <w:lang w:val="uk-UA"/>
              </w:rPr>
              <w:t>2</w:t>
            </w:r>
            <w:r w:rsidRPr="0069181F">
              <w:rPr>
                <w:b/>
                <w:sz w:val="23"/>
                <w:szCs w:val="23"/>
                <w:lang w:val="uk-UA"/>
              </w:rPr>
              <w:t>,</w:t>
            </w:r>
            <w:r>
              <w:rPr>
                <w:b/>
                <w:sz w:val="23"/>
                <w:szCs w:val="23"/>
                <w:lang w:val="uk-UA"/>
              </w:rPr>
              <w:t>3</w:t>
            </w:r>
          </w:p>
        </w:tc>
      </w:tr>
      <w:tr w:rsidR="00EE1C1E" w:rsidRPr="00CF39BA"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EE1C1E" w:rsidRPr="00E40366" w:rsidRDefault="00EE1C1E" w:rsidP="00E40366">
            <w:pPr>
              <w:jc w:val="center"/>
              <w:rPr>
                <w:lang w:val="uk-UA"/>
              </w:rPr>
            </w:pPr>
            <w:r w:rsidRPr="00E40366">
              <w:rPr>
                <w:sz w:val="22"/>
                <w:szCs w:val="22"/>
                <w:lang w:val="uk-UA"/>
              </w:rPr>
              <w:t>0,00</w:t>
            </w:r>
          </w:p>
        </w:tc>
        <w:tc>
          <w:tcPr>
            <w:tcW w:w="984" w:type="dxa"/>
          </w:tcPr>
          <w:p w:rsidR="00EE1C1E" w:rsidRPr="00E40366" w:rsidRDefault="00EE1C1E" w:rsidP="00E40366">
            <w:pPr>
              <w:jc w:val="center"/>
              <w:rPr>
                <w:lang w:val="uk-UA"/>
              </w:rPr>
            </w:pPr>
            <w:r w:rsidRPr="00E40366">
              <w:rPr>
                <w:sz w:val="22"/>
                <w:szCs w:val="22"/>
                <w:lang w:val="uk-UA"/>
              </w:rPr>
              <w:t>0,00</w:t>
            </w:r>
          </w:p>
        </w:tc>
        <w:tc>
          <w:tcPr>
            <w:tcW w:w="1051"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462" w:type="dxa"/>
          </w:tcPr>
          <w:p w:rsidR="00EE1C1E" w:rsidRPr="00E40366" w:rsidRDefault="00EE1C1E" w:rsidP="00E2770F">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1"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8"/>
      <w:bookmarkEnd w:id="11"/>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2" w:name="_Toc424524486"/>
      <w:bookmarkStart w:id="13"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2"/>
      <w:bookmarkEnd w:id="13"/>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2445C0" w:rsidRDefault="002445C0" w:rsidP="002445C0">
      <w:pPr>
        <w:jc w:val="right"/>
        <w:rPr>
          <w:sz w:val="28"/>
          <w:lang w:val="uk-UA"/>
        </w:rPr>
      </w:pPr>
      <w:r>
        <w:rPr>
          <w:sz w:val="28"/>
          <w:lang w:val="uk-UA"/>
        </w:rPr>
        <w:lastRenderedPageBreak/>
        <w:t>Продовження додатка 1</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 xml:space="preserve">управлінням по </w:t>
      </w:r>
      <w:proofErr w:type="spellStart"/>
      <w:r w:rsidR="0050007F">
        <w:rPr>
          <w:kern w:val="1"/>
          <w:sz w:val="28"/>
          <w:lang w:val="uk-UA"/>
        </w:rPr>
        <w:t>зв</w:t>
      </w:r>
      <w:proofErr w:type="spellEnd"/>
      <w:r w:rsidR="0050007F">
        <w:rPr>
          <w:kern w:val="1"/>
          <w:sz w:val="28"/>
          <w:lang w:val="en-US"/>
        </w:rPr>
        <w:t>’</w:t>
      </w:r>
      <w:proofErr w:type="spellStart"/>
      <w:r w:rsidR="0050007F">
        <w:rPr>
          <w:kern w:val="1"/>
          <w:sz w:val="28"/>
          <w:lang w:val="uk-UA"/>
        </w:rPr>
        <w:t>язках</w:t>
      </w:r>
      <w:proofErr w:type="spellEnd"/>
      <w:r w:rsidR="0050007F">
        <w:rPr>
          <w:kern w:val="1"/>
          <w:sz w:val="28"/>
          <w:lang w:val="uk-UA"/>
        </w:rPr>
        <w:t xml:space="preserve">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Pr>
          <w:kern w:val="1"/>
          <w:sz w:val="28"/>
          <w:lang w:val="en-US"/>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4C44B7" w:rsidTr="00A2152F">
        <w:tc>
          <w:tcPr>
            <w:tcW w:w="4927" w:type="dxa"/>
          </w:tcPr>
          <w:p w:rsidR="004C44B7" w:rsidRPr="004C44B7" w:rsidRDefault="004C44B7" w:rsidP="00A2152F">
            <w:pPr>
              <w:rPr>
                <w:rFonts w:eastAsia="Calibri"/>
                <w:sz w:val="28"/>
                <w:lang w:val="uk-UA"/>
              </w:rPr>
            </w:pPr>
            <w:r w:rsidRPr="004C44B7">
              <w:rPr>
                <w:rFonts w:eastAsia="Calibri"/>
                <w:sz w:val="28"/>
                <w:lang w:val="uk-UA"/>
              </w:rPr>
              <w:t>Начальник управління по зв’язках                                                                                                    з громадськістю міської ради</w:t>
            </w:r>
          </w:p>
          <w:p w:rsidR="004C44B7" w:rsidRPr="004C44B7" w:rsidRDefault="004C44B7" w:rsidP="00A2152F">
            <w:pPr>
              <w:rPr>
                <w:color w:val="000000"/>
                <w:sz w:val="28"/>
                <w:lang w:val="uk-UA"/>
              </w:rPr>
            </w:pPr>
          </w:p>
        </w:tc>
        <w:tc>
          <w:tcPr>
            <w:tcW w:w="4927" w:type="dxa"/>
          </w:tcPr>
          <w:p w:rsidR="004C44B7" w:rsidRPr="004C44B7" w:rsidRDefault="004C44B7" w:rsidP="004E4A81">
            <w:pPr>
              <w:ind w:left="1877"/>
              <w:rPr>
                <w:color w:val="000000"/>
                <w:sz w:val="28"/>
                <w:lang w:val="uk-UA"/>
              </w:rPr>
            </w:pPr>
            <w:r w:rsidRPr="004C44B7">
              <w:rPr>
                <w:rFonts w:eastAsia="Calibri"/>
                <w:sz w:val="28"/>
                <w:lang w:val="uk-UA"/>
              </w:rPr>
              <w:t xml:space="preserve">О.В. Стежко  </w:t>
            </w:r>
          </w:p>
        </w:tc>
      </w:tr>
      <w:tr w:rsidR="004C44B7" w:rsidRPr="004C44B7" w:rsidTr="00A2152F">
        <w:tc>
          <w:tcPr>
            <w:tcW w:w="4927" w:type="dxa"/>
          </w:tcPr>
          <w:p w:rsidR="004C44B7" w:rsidRPr="004C44B7" w:rsidRDefault="004C44B7" w:rsidP="00A2152F">
            <w:pPr>
              <w:tabs>
                <w:tab w:val="center" w:pos="4819"/>
                <w:tab w:val="right" w:pos="9639"/>
              </w:tabs>
              <w:rPr>
                <w:rFonts w:eastAsia="Calibri"/>
                <w:sz w:val="28"/>
                <w:lang w:val="uk-UA"/>
              </w:rPr>
            </w:pPr>
            <w:r w:rsidRPr="004C44B7">
              <w:rPr>
                <w:rFonts w:eastAsia="Calibri"/>
                <w:sz w:val="28"/>
                <w:lang w:val="uk-UA"/>
              </w:rPr>
              <w:t xml:space="preserve">Начальник відділу організаційного </w:t>
            </w:r>
          </w:p>
          <w:p w:rsidR="004C44B7" w:rsidRPr="004C44B7" w:rsidRDefault="004C44B7" w:rsidP="00A2152F">
            <w:pPr>
              <w:tabs>
                <w:tab w:val="center" w:pos="4819"/>
                <w:tab w:val="right" w:pos="9639"/>
              </w:tabs>
              <w:rPr>
                <w:rFonts w:eastAsia="Calibri"/>
                <w:sz w:val="28"/>
                <w:lang w:val="uk-UA"/>
              </w:rPr>
            </w:pPr>
            <w:r w:rsidRPr="004C44B7">
              <w:rPr>
                <w:rFonts w:eastAsia="Calibri"/>
                <w:sz w:val="28"/>
                <w:lang w:val="uk-UA"/>
              </w:rPr>
              <w:t xml:space="preserve">забезпечення депутатської діяльності                                                  </w:t>
            </w:r>
          </w:p>
          <w:p w:rsidR="004C44B7" w:rsidRPr="004C44B7" w:rsidRDefault="004C44B7" w:rsidP="00A2152F">
            <w:pPr>
              <w:rPr>
                <w:rFonts w:eastAsia="Calibri"/>
                <w:sz w:val="28"/>
                <w:lang w:val="uk-UA"/>
              </w:rPr>
            </w:pPr>
            <w:r w:rsidRPr="004C44B7">
              <w:rPr>
                <w:rFonts w:eastAsia="Calibri"/>
                <w:sz w:val="28"/>
                <w:lang w:val="uk-UA"/>
              </w:rPr>
              <w:t xml:space="preserve">міської ради                           </w:t>
            </w:r>
          </w:p>
          <w:p w:rsidR="004C44B7" w:rsidRPr="004C44B7" w:rsidRDefault="004C44B7" w:rsidP="00A2152F">
            <w:pPr>
              <w:rPr>
                <w:color w:val="000000"/>
                <w:sz w:val="28"/>
                <w:lang w:val="uk-UA"/>
              </w:rPr>
            </w:pPr>
            <w:r w:rsidRPr="004C44B7">
              <w:rPr>
                <w:rFonts w:eastAsia="Calibri"/>
                <w:sz w:val="28"/>
                <w:lang w:val="uk-UA"/>
              </w:rPr>
              <w:t xml:space="preserve">                                                                  </w:t>
            </w:r>
          </w:p>
        </w:tc>
        <w:tc>
          <w:tcPr>
            <w:tcW w:w="4927" w:type="dxa"/>
          </w:tcPr>
          <w:p w:rsidR="004C44B7" w:rsidRPr="004C44B7" w:rsidRDefault="004C44B7" w:rsidP="004E4A81">
            <w:pPr>
              <w:tabs>
                <w:tab w:val="center" w:pos="4819"/>
                <w:tab w:val="right" w:pos="9639"/>
              </w:tabs>
              <w:ind w:left="1877"/>
              <w:rPr>
                <w:rFonts w:eastAsia="Calibri"/>
                <w:sz w:val="28"/>
                <w:lang w:val="uk-UA"/>
              </w:rPr>
            </w:pPr>
            <w:r w:rsidRPr="004C44B7">
              <w:rPr>
                <w:rFonts w:eastAsia="Calibri"/>
                <w:sz w:val="28"/>
                <w:lang w:val="uk-UA"/>
              </w:rPr>
              <w:t>Г.В. Семенко</w:t>
            </w:r>
          </w:p>
          <w:p w:rsidR="004C44B7" w:rsidRPr="004C44B7" w:rsidRDefault="004C44B7" w:rsidP="004E4A81">
            <w:pPr>
              <w:ind w:left="1877"/>
              <w:rPr>
                <w:color w:val="000000"/>
                <w:sz w:val="28"/>
                <w:lang w:val="uk-UA"/>
              </w:rPr>
            </w:pPr>
          </w:p>
        </w:tc>
      </w:tr>
      <w:tr w:rsidR="004C44B7" w:rsidRPr="004C44B7" w:rsidTr="00A2152F">
        <w:tc>
          <w:tcPr>
            <w:tcW w:w="4927" w:type="dxa"/>
          </w:tcPr>
          <w:p w:rsidR="004C44B7" w:rsidRPr="004C44B7" w:rsidRDefault="004C44B7" w:rsidP="00A2152F">
            <w:pPr>
              <w:tabs>
                <w:tab w:val="center" w:pos="4819"/>
                <w:tab w:val="right" w:pos="9639"/>
              </w:tabs>
              <w:rPr>
                <w:rFonts w:eastAsia="Calibri"/>
                <w:sz w:val="28"/>
                <w:lang w:val="uk-UA"/>
              </w:rPr>
            </w:pPr>
            <w:r w:rsidRPr="004C44B7">
              <w:rPr>
                <w:rFonts w:eastAsia="Calibri"/>
                <w:sz w:val="28"/>
                <w:lang w:val="uk-UA"/>
              </w:rPr>
              <w:t>Начальник управління звернень</w:t>
            </w:r>
          </w:p>
          <w:p w:rsidR="004C44B7" w:rsidRPr="004C44B7" w:rsidRDefault="004C44B7" w:rsidP="00A2152F">
            <w:pPr>
              <w:rPr>
                <w:rFonts w:eastAsia="Calibri"/>
                <w:sz w:val="28"/>
                <w:lang w:val="uk-UA"/>
              </w:rPr>
            </w:pPr>
            <w:r w:rsidRPr="004C44B7">
              <w:rPr>
                <w:rFonts w:eastAsia="Calibri"/>
                <w:sz w:val="28"/>
                <w:lang w:val="uk-UA"/>
              </w:rPr>
              <w:t xml:space="preserve">та діловодства міської ради        </w:t>
            </w:r>
          </w:p>
          <w:p w:rsidR="004C44B7" w:rsidRPr="004C44B7" w:rsidRDefault="004C44B7" w:rsidP="00A2152F">
            <w:pPr>
              <w:rPr>
                <w:color w:val="000000"/>
                <w:sz w:val="28"/>
                <w:lang w:val="uk-UA"/>
              </w:rPr>
            </w:pPr>
            <w:r w:rsidRPr="004C44B7">
              <w:rPr>
                <w:rFonts w:eastAsia="Calibri"/>
                <w:sz w:val="28"/>
                <w:lang w:val="uk-UA"/>
              </w:rPr>
              <w:t xml:space="preserve">                                                           </w:t>
            </w:r>
          </w:p>
        </w:tc>
        <w:tc>
          <w:tcPr>
            <w:tcW w:w="4927" w:type="dxa"/>
          </w:tcPr>
          <w:p w:rsidR="004C44B7" w:rsidRPr="004C44B7" w:rsidRDefault="004C44B7" w:rsidP="004E4A81">
            <w:pPr>
              <w:tabs>
                <w:tab w:val="center" w:pos="4819"/>
                <w:tab w:val="right" w:pos="9639"/>
              </w:tabs>
              <w:ind w:left="1877"/>
              <w:rPr>
                <w:rFonts w:eastAsia="Calibri"/>
                <w:sz w:val="28"/>
                <w:lang w:val="uk-UA"/>
              </w:rPr>
            </w:pPr>
            <w:r w:rsidRPr="004C44B7">
              <w:rPr>
                <w:rFonts w:eastAsia="Calibri"/>
                <w:sz w:val="28"/>
                <w:lang w:val="uk-UA"/>
              </w:rPr>
              <w:t>В.В. Скороход</w:t>
            </w:r>
          </w:p>
          <w:p w:rsidR="004C44B7" w:rsidRPr="004C44B7" w:rsidRDefault="004C44B7" w:rsidP="004E4A81">
            <w:pPr>
              <w:ind w:left="1877"/>
              <w:rPr>
                <w:color w:val="000000"/>
                <w:sz w:val="28"/>
                <w:lang w:val="uk-UA"/>
              </w:rPr>
            </w:pPr>
          </w:p>
        </w:tc>
      </w:tr>
    </w:tbl>
    <w:p w:rsidR="004D173E" w:rsidRDefault="004D173E"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lastRenderedPageBreak/>
        <w:t xml:space="preserve">Додаток </w:t>
      </w:r>
      <w:r>
        <w:rPr>
          <w:sz w:val="28"/>
          <w:lang w:val="uk-UA"/>
        </w:rPr>
        <w:t>2</w:t>
      </w:r>
      <w:r w:rsidRPr="001C20B7">
        <w:rPr>
          <w:sz w:val="28"/>
          <w:lang w:val="uk-UA"/>
        </w:rPr>
        <w:t xml:space="preserve">                                                                                                                                                            до рішення міської ради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p w:rsidR="004D173E" w:rsidRDefault="004D173E" w:rsidP="001C592D">
      <w:pPr>
        <w:pStyle w:val="Default"/>
        <w:jc w:val="center"/>
        <w:rPr>
          <w:b/>
          <w:bCs/>
          <w:color w:val="auto"/>
          <w:sz w:val="28"/>
          <w:szCs w:val="28"/>
          <w:lang w:val="uk-UA" w:eastAsia="cs-CZ"/>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76292" w:rsidRDefault="00676292"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4C44B7" w:rsidTr="004C44B7">
        <w:tc>
          <w:tcPr>
            <w:tcW w:w="4927" w:type="dxa"/>
          </w:tcPr>
          <w:p w:rsidR="004C44B7" w:rsidRPr="004C44B7" w:rsidRDefault="004C44B7" w:rsidP="004C44B7">
            <w:pPr>
              <w:rPr>
                <w:rFonts w:eastAsia="Calibri"/>
                <w:sz w:val="28"/>
                <w:lang w:val="uk-UA"/>
              </w:rPr>
            </w:pPr>
            <w:r w:rsidRPr="004C44B7">
              <w:rPr>
                <w:rFonts w:eastAsia="Calibri"/>
                <w:sz w:val="28"/>
                <w:lang w:val="uk-UA"/>
              </w:rPr>
              <w:t>Начальник управління по зв’язках                                                                                                    з громадськістю міської ради</w:t>
            </w:r>
          </w:p>
          <w:p w:rsidR="004C44B7" w:rsidRPr="004C44B7" w:rsidRDefault="004C44B7" w:rsidP="004C44B7">
            <w:pPr>
              <w:rPr>
                <w:color w:val="000000"/>
                <w:sz w:val="28"/>
                <w:lang w:val="uk-UA"/>
              </w:rPr>
            </w:pPr>
          </w:p>
        </w:tc>
        <w:tc>
          <w:tcPr>
            <w:tcW w:w="4927" w:type="dxa"/>
          </w:tcPr>
          <w:p w:rsidR="004C44B7" w:rsidRDefault="004C44B7" w:rsidP="004C44B7">
            <w:pPr>
              <w:ind w:left="1877"/>
              <w:rPr>
                <w:rFonts w:eastAsia="Calibri"/>
                <w:sz w:val="28"/>
                <w:lang w:val="uk-UA"/>
              </w:rPr>
            </w:pPr>
          </w:p>
          <w:p w:rsidR="004C44B7" w:rsidRPr="004C44B7" w:rsidRDefault="004C44B7" w:rsidP="004C44B7">
            <w:pPr>
              <w:ind w:left="1877"/>
              <w:rPr>
                <w:color w:val="000000"/>
                <w:sz w:val="28"/>
                <w:lang w:val="uk-UA"/>
              </w:rPr>
            </w:pPr>
            <w:r w:rsidRPr="004C44B7">
              <w:rPr>
                <w:rFonts w:eastAsia="Calibri"/>
                <w:sz w:val="28"/>
                <w:lang w:val="uk-UA"/>
              </w:rPr>
              <w:t xml:space="preserve">О.В. Стежко  </w:t>
            </w:r>
          </w:p>
        </w:tc>
      </w:tr>
      <w:tr w:rsidR="004C44B7" w:rsidRPr="004C44B7" w:rsidTr="004C44B7">
        <w:tc>
          <w:tcPr>
            <w:tcW w:w="4927" w:type="dxa"/>
          </w:tcPr>
          <w:p w:rsidR="004C44B7" w:rsidRPr="004C44B7" w:rsidRDefault="004C44B7" w:rsidP="004C44B7">
            <w:pPr>
              <w:tabs>
                <w:tab w:val="center" w:pos="4819"/>
                <w:tab w:val="right" w:pos="9639"/>
              </w:tabs>
              <w:rPr>
                <w:rFonts w:eastAsia="Calibri"/>
                <w:sz w:val="28"/>
                <w:lang w:val="uk-UA"/>
              </w:rPr>
            </w:pPr>
            <w:r w:rsidRPr="004C44B7">
              <w:rPr>
                <w:rFonts w:eastAsia="Calibri"/>
                <w:sz w:val="28"/>
                <w:lang w:val="uk-UA"/>
              </w:rPr>
              <w:t xml:space="preserve">Начальник відділу організаційного </w:t>
            </w:r>
          </w:p>
          <w:p w:rsidR="004C44B7" w:rsidRPr="004C44B7" w:rsidRDefault="004C44B7" w:rsidP="004C44B7">
            <w:pPr>
              <w:tabs>
                <w:tab w:val="center" w:pos="4819"/>
                <w:tab w:val="right" w:pos="9639"/>
              </w:tabs>
              <w:rPr>
                <w:rFonts w:eastAsia="Calibri"/>
                <w:sz w:val="28"/>
                <w:lang w:val="uk-UA"/>
              </w:rPr>
            </w:pPr>
            <w:r w:rsidRPr="004C44B7">
              <w:rPr>
                <w:rFonts w:eastAsia="Calibri"/>
                <w:sz w:val="28"/>
                <w:lang w:val="uk-UA"/>
              </w:rPr>
              <w:t xml:space="preserve">забезпечення депутатської діяльності                                                  </w:t>
            </w:r>
          </w:p>
          <w:p w:rsidR="004C44B7" w:rsidRPr="004C44B7" w:rsidRDefault="004C44B7" w:rsidP="004C44B7">
            <w:pPr>
              <w:rPr>
                <w:rFonts w:eastAsia="Calibri"/>
                <w:sz w:val="28"/>
                <w:lang w:val="uk-UA"/>
              </w:rPr>
            </w:pPr>
            <w:r w:rsidRPr="004C44B7">
              <w:rPr>
                <w:rFonts w:eastAsia="Calibri"/>
                <w:sz w:val="28"/>
                <w:lang w:val="uk-UA"/>
              </w:rPr>
              <w:t xml:space="preserve">міської ради                           </w:t>
            </w:r>
          </w:p>
          <w:p w:rsidR="004C44B7" w:rsidRPr="004C44B7" w:rsidRDefault="004C44B7" w:rsidP="004C44B7">
            <w:pPr>
              <w:rPr>
                <w:color w:val="000000"/>
                <w:sz w:val="28"/>
                <w:lang w:val="uk-UA"/>
              </w:rPr>
            </w:pPr>
            <w:r w:rsidRPr="004C44B7">
              <w:rPr>
                <w:rFonts w:eastAsia="Calibri"/>
                <w:sz w:val="28"/>
                <w:lang w:val="uk-UA"/>
              </w:rPr>
              <w:t xml:space="preserve">                                                                  </w:t>
            </w:r>
          </w:p>
        </w:tc>
        <w:tc>
          <w:tcPr>
            <w:tcW w:w="4927" w:type="dxa"/>
          </w:tcPr>
          <w:p w:rsidR="004C44B7" w:rsidRDefault="004C44B7" w:rsidP="004C44B7">
            <w:pPr>
              <w:tabs>
                <w:tab w:val="center" w:pos="4819"/>
                <w:tab w:val="right" w:pos="9639"/>
              </w:tabs>
              <w:ind w:left="1877"/>
              <w:rPr>
                <w:rFonts w:eastAsia="Calibri"/>
                <w:sz w:val="28"/>
                <w:lang w:val="uk-UA"/>
              </w:rPr>
            </w:pPr>
          </w:p>
          <w:p w:rsidR="004C44B7" w:rsidRDefault="004C44B7" w:rsidP="004C44B7">
            <w:pPr>
              <w:tabs>
                <w:tab w:val="center" w:pos="4819"/>
                <w:tab w:val="right" w:pos="9639"/>
              </w:tabs>
              <w:ind w:left="1877"/>
              <w:rPr>
                <w:rFonts w:eastAsia="Calibri"/>
                <w:sz w:val="28"/>
                <w:lang w:val="uk-UA"/>
              </w:rPr>
            </w:pPr>
          </w:p>
          <w:p w:rsidR="004C44B7" w:rsidRPr="004C44B7" w:rsidRDefault="004C44B7" w:rsidP="004C44B7">
            <w:pPr>
              <w:tabs>
                <w:tab w:val="center" w:pos="4819"/>
                <w:tab w:val="right" w:pos="9639"/>
              </w:tabs>
              <w:ind w:left="1877"/>
              <w:rPr>
                <w:rFonts w:eastAsia="Calibri"/>
                <w:sz w:val="28"/>
                <w:lang w:val="uk-UA"/>
              </w:rPr>
            </w:pPr>
            <w:r w:rsidRPr="004C44B7">
              <w:rPr>
                <w:rFonts w:eastAsia="Calibri"/>
                <w:sz w:val="28"/>
                <w:lang w:val="uk-UA"/>
              </w:rPr>
              <w:t>Г.В. Семенко</w:t>
            </w:r>
          </w:p>
          <w:p w:rsidR="004C44B7" w:rsidRPr="004C44B7" w:rsidRDefault="004C44B7" w:rsidP="004C44B7">
            <w:pPr>
              <w:ind w:left="1877"/>
              <w:rPr>
                <w:color w:val="000000"/>
                <w:sz w:val="28"/>
                <w:lang w:val="uk-UA"/>
              </w:rPr>
            </w:pPr>
          </w:p>
        </w:tc>
      </w:tr>
      <w:tr w:rsidR="004C44B7" w:rsidRPr="004C44B7" w:rsidTr="004C44B7">
        <w:tc>
          <w:tcPr>
            <w:tcW w:w="4927" w:type="dxa"/>
          </w:tcPr>
          <w:p w:rsidR="004C44B7" w:rsidRPr="004C44B7" w:rsidRDefault="004C44B7" w:rsidP="004C44B7">
            <w:pPr>
              <w:tabs>
                <w:tab w:val="center" w:pos="4819"/>
                <w:tab w:val="right" w:pos="9639"/>
              </w:tabs>
              <w:rPr>
                <w:rFonts w:eastAsia="Calibri"/>
                <w:sz w:val="28"/>
                <w:lang w:val="uk-UA"/>
              </w:rPr>
            </w:pPr>
            <w:r w:rsidRPr="004C44B7">
              <w:rPr>
                <w:rFonts w:eastAsia="Calibri"/>
                <w:sz w:val="28"/>
                <w:lang w:val="uk-UA"/>
              </w:rPr>
              <w:t>Начальник управління звернень</w:t>
            </w:r>
          </w:p>
          <w:p w:rsidR="004C44B7" w:rsidRPr="004C44B7" w:rsidRDefault="004C44B7" w:rsidP="004C44B7">
            <w:pPr>
              <w:rPr>
                <w:rFonts w:eastAsia="Calibri"/>
                <w:sz w:val="28"/>
                <w:lang w:val="uk-UA"/>
              </w:rPr>
            </w:pPr>
            <w:r w:rsidRPr="004C44B7">
              <w:rPr>
                <w:rFonts w:eastAsia="Calibri"/>
                <w:sz w:val="28"/>
                <w:lang w:val="uk-UA"/>
              </w:rPr>
              <w:t xml:space="preserve">та діловодства міської ради        </w:t>
            </w:r>
          </w:p>
          <w:p w:rsidR="004C44B7" w:rsidRPr="004C44B7" w:rsidRDefault="004C44B7" w:rsidP="004C44B7">
            <w:pPr>
              <w:rPr>
                <w:color w:val="000000"/>
                <w:sz w:val="28"/>
                <w:lang w:val="uk-UA"/>
              </w:rPr>
            </w:pPr>
            <w:r w:rsidRPr="004C44B7">
              <w:rPr>
                <w:rFonts w:eastAsia="Calibri"/>
                <w:sz w:val="28"/>
                <w:lang w:val="uk-UA"/>
              </w:rPr>
              <w:t xml:space="preserve">                                                           </w:t>
            </w:r>
          </w:p>
        </w:tc>
        <w:tc>
          <w:tcPr>
            <w:tcW w:w="4927" w:type="dxa"/>
          </w:tcPr>
          <w:p w:rsidR="004C44B7" w:rsidRDefault="004C44B7" w:rsidP="004C44B7">
            <w:pPr>
              <w:tabs>
                <w:tab w:val="center" w:pos="4819"/>
                <w:tab w:val="right" w:pos="9639"/>
              </w:tabs>
              <w:ind w:left="1877"/>
              <w:rPr>
                <w:rFonts w:eastAsia="Calibri"/>
                <w:sz w:val="28"/>
                <w:lang w:val="uk-UA"/>
              </w:rPr>
            </w:pPr>
          </w:p>
          <w:p w:rsidR="004C44B7" w:rsidRPr="004C44B7" w:rsidRDefault="004C44B7" w:rsidP="004C44B7">
            <w:pPr>
              <w:tabs>
                <w:tab w:val="center" w:pos="4819"/>
                <w:tab w:val="right" w:pos="9639"/>
              </w:tabs>
              <w:ind w:left="1877"/>
              <w:rPr>
                <w:rFonts w:eastAsia="Calibri"/>
                <w:sz w:val="28"/>
                <w:lang w:val="uk-UA"/>
              </w:rPr>
            </w:pPr>
            <w:r w:rsidRPr="004C44B7">
              <w:rPr>
                <w:rFonts w:eastAsia="Calibri"/>
                <w:sz w:val="28"/>
                <w:lang w:val="uk-UA"/>
              </w:rPr>
              <w:t>В.В. Скороход</w:t>
            </w:r>
          </w:p>
          <w:p w:rsidR="004C44B7" w:rsidRPr="004C44B7" w:rsidRDefault="004C44B7" w:rsidP="004C44B7">
            <w:pPr>
              <w:ind w:left="1877"/>
              <w:rPr>
                <w:color w:val="000000"/>
                <w:sz w:val="28"/>
                <w:lang w:val="uk-UA"/>
              </w:rPr>
            </w:pPr>
          </w:p>
        </w:tc>
      </w:tr>
    </w:tbl>
    <w:p w:rsidR="006C2A06" w:rsidRPr="007F3BA6" w:rsidRDefault="006C2A06" w:rsidP="00D13BF3">
      <w:pPr>
        <w:tabs>
          <w:tab w:val="center" w:pos="4819"/>
          <w:tab w:val="right" w:pos="9639"/>
        </w:tabs>
        <w:ind w:left="284"/>
        <w:rPr>
          <w:rFonts w:eastAsia="Calibri"/>
          <w:lang w:val="uk-UA"/>
        </w:rPr>
      </w:pPr>
    </w:p>
    <w:sectPr w:rsidR="006C2A06" w:rsidRPr="007F3BA6" w:rsidSect="00F445BB">
      <w:footerReference w:type="default" r:id="rId8"/>
      <w:headerReference w:type="first" r:id="rId9"/>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692" w:rsidRDefault="00D10692" w:rsidP="00F13C4D">
      <w:r>
        <w:separator/>
      </w:r>
    </w:p>
  </w:endnote>
  <w:endnote w:type="continuationSeparator" w:id="0">
    <w:p w:rsidR="00D10692" w:rsidRDefault="00D10692"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92D" w:rsidRDefault="001C592D">
    <w:pPr>
      <w:pStyle w:val="a5"/>
      <w:jc w:val="center"/>
    </w:pPr>
  </w:p>
  <w:p w:rsidR="001C592D" w:rsidRDefault="001C592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692" w:rsidRDefault="00D10692" w:rsidP="00F13C4D">
      <w:r>
        <w:separator/>
      </w:r>
    </w:p>
  </w:footnote>
  <w:footnote w:type="continuationSeparator" w:id="0">
    <w:p w:rsidR="00D10692" w:rsidRDefault="00D10692"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92D" w:rsidRDefault="001C592D">
    <w:pPr>
      <w:pStyle w:val="a3"/>
      <w:jc w:val="center"/>
    </w:pPr>
  </w:p>
  <w:p w:rsidR="001C592D" w:rsidRDefault="001C592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2">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6">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6"/>
  </w:num>
  <w:num w:numId="2">
    <w:abstractNumId w:val="8"/>
  </w:num>
  <w:num w:numId="3">
    <w:abstractNumId w:val="2"/>
  </w:num>
  <w:num w:numId="4">
    <w:abstractNumId w:val="7"/>
  </w:num>
  <w:num w:numId="5">
    <w:abstractNumId w:val="9"/>
  </w:num>
  <w:num w:numId="6">
    <w:abstractNumId w:val="6"/>
  </w:num>
  <w:num w:numId="7">
    <w:abstractNumId w:val="5"/>
  </w:num>
  <w:num w:numId="8">
    <w:abstractNumId w:val="13"/>
  </w:num>
  <w:num w:numId="9">
    <w:abstractNumId w:val="11"/>
  </w:num>
  <w:num w:numId="10">
    <w:abstractNumId w:val="1"/>
  </w:num>
  <w:num w:numId="11">
    <w:abstractNumId w:val="12"/>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4"/>
  </w:num>
  <w:num w:numId="15">
    <w:abstractNumId w:val="3"/>
  </w:num>
  <w:num w:numId="16">
    <w:abstractNumId w:val="10"/>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20"/>
  <w:displayHorizontalDrawingGridEvery w:val="2"/>
  <w:characterSpacingControl w:val="doNotCompress"/>
  <w:hdrShapeDefaults>
    <o:shapedefaults v:ext="edit" spidmax="51202"/>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51AF4"/>
    <w:rsid w:val="000570F9"/>
    <w:rsid w:val="0006129D"/>
    <w:rsid w:val="00063E01"/>
    <w:rsid w:val="00064FA6"/>
    <w:rsid w:val="00065024"/>
    <w:rsid w:val="000801C5"/>
    <w:rsid w:val="00083A34"/>
    <w:rsid w:val="00085632"/>
    <w:rsid w:val="00085D26"/>
    <w:rsid w:val="00096E66"/>
    <w:rsid w:val="0009745C"/>
    <w:rsid w:val="000A791D"/>
    <w:rsid w:val="000B018E"/>
    <w:rsid w:val="000B2751"/>
    <w:rsid w:val="000B59A3"/>
    <w:rsid w:val="000D39A7"/>
    <w:rsid w:val="000E59D6"/>
    <w:rsid w:val="000E73C4"/>
    <w:rsid w:val="000F03E4"/>
    <w:rsid w:val="000F2C3D"/>
    <w:rsid w:val="000F71C5"/>
    <w:rsid w:val="00102436"/>
    <w:rsid w:val="00104200"/>
    <w:rsid w:val="00112D25"/>
    <w:rsid w:val="001161BF"/>
    <w:rsid w:val="0011656A"/>
    <w:rsid w:val="00121B32"/>
    <w:rsid w:val="00130A76"/>
    <w:rsid w:val="00130BC8"/>
    <w:rsid w:val="001342A4"/>
    <w:rsid w:val="00136778"/>
    <w:rsid w:val="001418ED"/>
    <w:rsid w:val="00143D2D"/>
    <w:rsid w:val="00154D9C"/>
    <w:rsid w:val="00157A82"/>
    <w:rsid w:val="001627D4"/>
    <w:rsid w:val="00171967"/>
    <w:rsid w:val="00172581"/>
    <w:rsid w:val="00177AE6"/>
    <w:rsid w:val="00181538"/>
    <w:rsid w:val="00185418"/>
    <w:rsid w:val="00187804"/>
    <w:rsid w:val="00190D64"/>
    <w:rsid w:val="0019464A"/>
    <w:rsid w:val="001959C7"/>
    <w:rsid w:val="001A2087"/>
    <w:rsid w:val="001A29D2"/>
    <w:rsid w:val="001C2F65"/>
    <w:rsid w:val="001C592D"/>
    <w:rsid w:val="001D59FF"/>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FC0"/>
    <w:rsid w:val="002445C0"/>
    <w:rsid w:val="00244D09"/>
    <w:rsid w:val="00244E92"/>
    <w:rsid w:val="002457A1"/>
    <w:rsid w:val="00247EAA"/>
    <w:rsid w:val="00257043"/>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E64"/>
    <w:rsid w:val="002A4790"/>
    <w:rsid w:val="002A6944"/>
    <w:rsid w:val="002B01D7"/>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7628A"/>
    <w:rsid w:val="00376969"/>
    <w:rsid w:val="003776C3"/>
    <w:rsid w:val="003806E9"/>
    <w:rsid w:val="00381E58"/>
    <w:rsid w:val="00397190"/>
    <w:rsid w:val="003A12E1"/>
    <w:rsid w:val="003A2925"/>
    <w:rsid w:val="003A618C"/>
    <w:rsid w:val="003B0A00"/>
    <w:rsid w:val="003B3606"/>
    <w:rsid w:val="003B6524"/>
    <w:rsid w:val="003B6ACD"/>
    <w:rsid w:val="003C1B44"/>
    <w:rsid w:val="003C264A"/>
    <w:rsid w:val="003C7D34"/>
    <w:rsid w:val="003D06FB"/>
    <w:rsid w:val="003D4F1A"/>
    <w:rsid w:val="003D5BC4"/>
    <w:rsid w:val="003E552D"/>
    <w:rsid w:val="003F4ED1"/>
    <w:rsid w:val="004054FD"/>
    <w:rsid w:val="00411566"/>
    <w:rsid w:val="004116C9"/>
    <w:rsid w:val="004302C6"/>
    <w:rsid w:val="00433436"/>
    <w:rsid w:val="004401FC"/>
    <w:rsid w:val="004431EF"/>
    <w:rsid w:val="00447212"/>
    <w:rsid w:val="0045284A"/>
    <w:rsid w:val="00457F3A"/>
    <w:rsid w:val="00461D4D"/>
    <w:rsid w:val="00464CF7"/>
    <w:rsid w:val="0046588C"/>
    <w:rsid w:val="00474696"/>
    <w:rsid w:val="00482E8B"/>
    <w:rsid w:val="00495F73"/>
    <w:rsid w:val="00496D9D"/>
    <w:rsid w:val="004A46E0"/>
    <w:rsid w:val="004A49AA"/>
    <w:rsid w:val="004B1BF5"/>
    <w:rsid w:val="004B2140"/>
    <w:rsid w:val="004B2776"/>
    <w:rsid w:val="004B2ED8"/>
    <w:rsid w:val="004C1441"/>
    <w:rsid w:val="004C44B7"/>
    <w:rsid w:val="004C7C63"/>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FC4"/>
    <w:rsid w:val="005C25BF"/>
    <w:rsid w:val="005C3FAA"/>
    <w:rsid w:val="005D0DA3"/>
    <w:rsid w:val="005D100D"/>
    <w:rsid w:val="005E35D0"/>
    <w:rsid w:val="005E7836"/>
    <w:rsid w:val="005E7BC7"/>
    <w:rsid w:val="005F6C17"/>
    <w:rsid w:val="005F6F57"/>
    <w:rsid w:val="006067A9"/>
    <w:rsid w:val="00607ABF"/>
    <w:rsid w:val="00611F8A"/>
    <w:rsid w:val="00623320"/>
    <w:rsid w:val="00630F76"/>
    <w:rsid w:val="00631AD0"/>
    <w:rsid w:val="00631FC7"/>
    <w:rsid w:val="00635A7D"/>
    <w:rsid w:val="00646D5E"/>
    <w:rsid w:val="0065278F"/>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A06"/>
    <w:rsid w:val="006C5F75"/>
    <w:rsid w:val="006C6599"/>
    <w:rsid w:val="006C7797"/>
    <w:rsid w:val="006C7AB6"/>
    <w:rsid w:val="006D094B"/>
    <w:rsid w:val="006D544A"/>
    <w:rsid w:val="006E1514"/>
    <w:rsid w:val="006E334B"/>
    <w:rsid w:val="006F2A7F"/>
    <w:rsid w:val="006F4D25"/>
    <w:rsid w:val="007003B1"/>
    <w:rsid w:val="00700F41"/>
    <w:rsid w:val="007033EE"/>
    <w:rsid w:val="00704950"/>
    <w:rsid w:val="00704C1B"/>
    <w:rsid w:val="00712E65"/>
    <w:rsid w:val="00727EA3"/>
    <w:rsid w:val="00733046"/>
    <w:rsid w:val="007352C7"/>
    <w:rsid w:val="00736B8D"/>
    <w:rsid w:val="00740FB3"/>
    <w:rsid w:val="007416BF"/>
    <w:rsid w:val="00746330"/>
    <w:rsid w:val="007501BA"/>
    <w:rsid w:val="00754B1A"/>
    <w:rsid w:val="007628EA"/>
    <w:rsid w:val="00764ACD"/>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6A65"/>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12F7"/>
    <w:rsid w:val="00832382"/>
    <w:rsid w:val="0083299D"/>
    <w:rsid w:val="00840A8B"/>
    <w:rsid w:val="00844C51"/>
    <w:rsid w:val="0084574B"/>
    <w:rsid w:val="00847D24"/>
    <w:rsid w:val="00851FFE"/>
    <w:rsid w:val="00854946"/>
    <w:rsid w:val="00863013"/>
    <w:rsid w:val="008718AF"/>
    <w:rsid w:val="00876348"/>
    <w:rsid w:val="008814B2"/>
    <w:rsid w:val="0088217B"/>
    <w:rsid w:val="00887A76"/>
    <w:rsid w:val="00887C25"/>
    <w:rsid w:val="00892B8D"/>
    <w:rsid w:val="00893115"/>
    <w:rsid w:val="00897AAB"/>
    <w:rsid w:val="008A305A"/>
    <w:rsid w:val="008A644C"/>
    <w:rsid w:val="008B3B67"/>
    <w:rsid w:val="008B3C3C"/>
    <w:rsid w:val="008B5FFF"/>
    <w:rsid w:val="008C08ED"/>
    <w:rsid w:val="008C348C"/>
    <w:rsid w:val="008C3DF6"/>
    <w:rsid w:val="008D21E4"/>
    <w:rsid w:val="008D47C0"/>
    <w:rsid w:val="008D4DCA"/>
    <w:rsid w:val="008D4EAD"/>
    <w:rsid w:val="008D6BD1"/>
    <w:rsid w:val="008E2F33"/>
    <w:rsid w:val="008E47BA"/>
    <w:rsid w:val="008E63AB"/>
    <w:rsid w:val="008E75DC"/>
    <w:rsid w:val="008F0543"/>
    <w:rsid w:val="008F4C5A"/>
    <w:rsid w:val="008F59FE"/>
    <w:rsid w:val="008F7738"/>
    <w:rsid w:val="009022AA"/>
    <w:rsid w:val="00902F82"/>
    <w:rsid w:val="00903860"/>
    <w:rsid w:val="00904985"/>
    <w:rsid w:val="00907537"/>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40B5"/>
    <w:rsid w:val="00A06A12"/>
    <w:rsid w:val="00A074C8"/>
    <w:rsid w:val="00A22275"/>
    <w:rsid w:val="00A237F9"/>
    <w:rsid w:val="00A266F9"/>
    <w:rsid w:val="00A36B6C"/>
    <w:rsid w:val="00A4195D"/>
    <w:rsid w:val="00A46FEE"/>
    <w:rsid w:val="00A56A07"/>
    <w:rsid w:val="00A57933"/>
    <w:rsid w:val="00A616E4"/>
    <w:rsid w:val="00A73F65"/>
    <w:rsid w:val="00A76958"/>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431CA"/>
    <w:rsid w:val="00B45204"/>
    <w:rsid w:val="00B45D90"/>
    <w:rsid w:val="00B4683B"/>
    <w:rsid w:val="00B55560"/>
    <w:rsid w:val="00B62EFA"/>
    <w:rsid w:val="00B64A29"/>
    <w:rsid w:val="00B655BA"/>
    <w:rsid w:val="00B702AB"/>
    <w:rsid w:val="00B703F5"/>
    <w:rsid w:val="00B70725"/>
    <w:rsid w:val="00B73CE4"/>
    <w:rsid w:val="00B75F57"/>
    <w:rsid w:val="00B76F48"/>
    <w:rsid w:val="00B80DB3"/>
    <w:rsid w:val="00B82214"/>
    <w:rsid w:val="00B905F7"/>
    <w:rsid w:val="00BA388E"/>
    <w:rsid w:val="00BA52B0"/>
    <w:rsid w:val="00BB003E"/>
    <w:rsid w:val="00BB0AFA"/>
    <w:rsid w:val="00BB22EF"/>
    <w:rsid w:val="00BB2778"/>
    <w:rsid w:val="00BB3955"/>
    <w:rsid w:val="00BB470B"/>
    <w:rsid w:val="00BB63B5"/>
    <w:rsid w:val="00BC04A2"/>
    <w:rsid w:val="00BC06CF"/>
    <w:rsid w:val="00BC3081"/>
    <w:rsid w:val="00BC4811"/>
    <w:rsid w:val="00BC6C0F"/>
    <w:rsid w:val="00BC717A"/>
    <w:rsid w:val="00BD0415"/>
    <w:rsid w:val="00BD1BEF"/>
    <w:rsid w:val="00BE0538"/>
    <w:rsid w:val="00BE195A"/>
    <w:rsid w:val="00BE3D16"/>
    <w:rsid w:val="00BE7F4F"/>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3D8B"/>
    <w:rsid w:val="00C975E9"/>
    <w:rsid w:val="00CA3530"/>
    <w:rsid w:val="00CA4D3C"/>
    <w:rsid w:val="00CA6CB1"/>
    <w:rsid w:val="00CA7DE0"/>
    <w:rsid w:val="00CB3716"/>
    <w:rsid w:val="00CB6BED"/>
    <w:rsid w:val="00CC024C"/>
    <w:rsid w:val="00CC6AD9"/>
    <w:rsid w:val="00CC78F0"/>
    <w:rsid w:val="00CD64CB"/>
    <w:rsid w:val="00CE0FC6"/>
    <w:rsid w:val="00CE2E16"/>
    <w:rsid w:val="00CE2F59"/>
    <w:rsid w:val="00CE63C0"/>
    <w:rsid w:val="00CF27AE"/>
    <w:rsid w:val="00CF39BA"/>
    <w:rsid w:val="00CF54BF"/>
    <w:rsid w:val="00D0465F"/>
    <w:rsid w:val="00D10692"/>
    <w:rsid w:val="00D120BC"/>
    <w:rsid w:val="00D12FEB"/>
    <w:rsid w:val="00D13202"/>
    <w:rsid w:val="00D13BF3"/>
    <w:rsid w:val="00D16D83"/>
    <w:rsid w:val="00D1768C"/>
    <w:rsid w:val="00D2177B"/>
    <w:rsid w:val="00D2486A"/>
    <w:rsid w:val="00D30CED"/>
    <w:rsid w:val="00D30FA9"/>
    <w:rsid w:val="00D3122B"/>
    <w:rsid w:val="00D36538"/>
    <w:rsid w:val="00D376D8"/>
    <w:rsid w:val="00D37E98"/>
    <w:rsid w:val="00D54E80"/>
    <w:rsid w:val="00D57EFC"/>
    <w:rsid w:val="00D62E39"/>
    <w:rsid w:val="00D6536B"/>
    <w:rsid w:val="00D71B57"/>
    <w:rsid w:val="00D71E77"/>
    <w:rsid w:val="00D74988"/>
    <w:rsid w:val="00D800A2"/>
    <w:rsid w:val="00D82115"/>
    <w:rsid w:val="00D872CB"/>
    <w:rsid w:val="00D91BAD"/>
    <w:rsid w:val="00D9619A"/>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596F"/>
    <w:rsid w:val="00E8063E"/>
    <w:rsid w:val="00E84E4D"/>
    <w:rsid w:val="00E902ED"/>
    <w:rsid w:val="00EA2988"/>
    <w:rsid w:val="00EA401A"/>
    <w:rsid w:val="00EA522E"/>
    <w:rsid w:val="00EA53F9"/>
    <w:rsid w:val="00EA6AFF"/>
    <w:rsid w:val="00EA7266"/>
    <w:rsid w:val="00EB05E3"/>
    <w:rsid w:val="00EB0695"/>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E03C1"/>
    <w:rsid w:val="00FE1A8C"/>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semiHidden/>
    <w:unhideWhenUsed/>
    <w:rsid w:val="00970459"/>
    <w:rPr>
      <w:sz w:val="20"/>
      <w:szCs w:val="20"/>
    </w:rPr>
  </w:style>
  <w:style w:type="character" w:customStyle="1" w:styleId="af7">
    <w:name w:val="Текст примечания Знак"/>
    <w:basedOn w:val="a0"/>
    <w:link w:val="af6"/>
    <w:uiPriority w:val="99"/>
    <w:semiHidden/>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rsid w:val="0087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qFormat/>
    <w:rsid w:val="00902F82"/>
    <w:pPr>
      <w:spacing w:after="0"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4">
    <w:name w:val="annotation reference"/>
    <w:basedOn w:val="a0"/>
    <w:uiPriority w:val="99"/>
    <w:semiHidden/>
    <w:unhideWhenUsed/>
    <w:rsid w:val="00970459"/>
    <w:rPr>
      <w:sz w:val="16"/>
      <w:szCs w:val="16"/>
    </w:rPr>
  </w:style>
  <w:style w:type="paragraph" w:styleId="af5">
    <w:name w:val="annotation text"/>
    <w:basedOn w:val="a"/>
    <w:link w:val="af6"/>
    <w:uiPriority w:val="99"/>
    <w:semiHidden/>
    <w:unhideWhenUsed/>
    <w:rsid w:val="00970459"/>
    <w:rPr>
      <w:sz w:val="20"/>
      <w:szCs w:val="20"/>
    </w:rPr>
  </w:style>
  <w:style w:type="character" w:customStyle="1" w:styleId="af6">
    <w:name w:val="Текст примечания Знак"/>
    <w:basedOn w:val="a0"/>
    <w:link w:val="af5"/>
    <w:uiPriority w:val="99"/>
    <w:semiHidden/>
    <w:rsid w:val="00970459"/>
    <w:rPr>
      <w:rFonts w:ascii="Times New Roman" w:eastAsia="Times New Roman" w:hAnsi="Times New Roman" w:cs="Times New Roman"/>
      <w:iCs/>
      <w:sz w:val="20"/>
      <w:szCs w:val="20"/>
      <w:lang w:eastAsia="ru-RU"/>
    </w:rPr>
  </w:style>
  <w:style w:type="paragraph" w:styleId="af7">
    <w:name w:val="annotation subject"/>
    <w:basedOn w:val="af5"/>
    <w:next w:val="af5"/>
    <w:link w:val="af8"/>
    <w:uiPriority w:val="99"/>
    <w:semiHidden/>
    <w:unhideWhenUsed/>
    <w:rsid w:val="00970459"/>
    <w:rPr>
      <w:b/>
      <w:bCs/>
    </w:rPr>
  </w:style>
  <w:style w:type="character" w:customStyle="1" w:styleId="af8">
    <w:name w:val="Тема примечания Знак"/>
    <w:basedOn w:val="af6"/>
    <w:link w:val="af7"/>
    <w:uiPriority w:val="99"/>
    <w:semiHidden/>
    <w:rsid w:val="00970459"/>
    <w:rPr>
      <w:rFonts w:ascii="Times New Roman" w:eastAsia="Times New Roman" w:hAnsi="Times New Roman" w:cs="Times New Roman"/>
      <w:b/>
      <w:bCs/>
      <w:iCs/>
      <w:sz w:val="20"/>
      <w:szCs w:val="20"/>
      <w:lang w:eastAsia="ru-RU"/>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F033E-F984-46D0-8724-41426F270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9</Pages>
  <Words>2639</Words>
  <Characters>15044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11</cp:revision>
  <cp:lastPrinted>2020-12-04T14:20:00Z</cp:lastPrinted>
  <dcterms:created xsi:type="dcterms:W3CDTF">2020-11-16T08:29:00Z</dcterms:created>
  <dcterms:modified xsi:type="dcterms:W3CDTF">2020-12-04T14:20:00Z</dcterms:modified>
</cp:coreProperties>
</file>