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9F386C" w:rsidRPr="00D051AE">
        <w:rPr>
          <w:szCs w:val="28"/>
          <w:lang w:val="uk-UA"/>
        </w:rPr>
        <w:t xml:space="preserve">Додаток </w:t>
      </w:r>
      <w:bookmarkStart w:id="0" w:name="_GoBack"/>
      <w:bookmarkEnd w:id="0"/>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E31E24">
        <w:rPr>
          <w:szCs w:val="28"/>
          <w:lang w:val="uk-UA"/>
        </w:rPr>
        <w:t xml:space="preserve">               </w:t>
      </w:r>
      <w:r w:rsidR="008B2E2C">
        <w:rPr>
          <w:szCs w:val="28"/>
          <w:lang w:val="uk-UA"/>
        </w:rPr>
        <w:t xml:space="preserve">              </w:t>
      </w:r>
      <w:r w:rsidR="00E31E24">
        <w:rPr>
          <w:szCs w:val="28"/>
          <w:lang w:val="uk-UA"/>
        </w:rPr>
        <w:t xml:space="preserve"> </w:t>
      </w:r>
      <w:r w:rsidR="009F386C" w:rsidRPr="00D051AE">
        <w:rPr>
          <w:szCs w:val="28"/>
          <w:lang w:val="uk-UA"/>
        </w:rPr>
        <w:t xml:space="preserve">до </w:t>
      </w:r>
      <w:proofErr w:type="spellStart"/>
      <w:r w:rsidR="008B2E2C">
        <w:rPr>
          <w:szCs w:val="28"/>
          <w:lang w:val="uk-UA"/>
        </w:rPr>
        <w:t>проєкту</w:t>
      </w:r>
      <w:proofErr w:type="spellEnd"/>
      <w:r w:rsidR="008B2E2C">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877EFD">
        <w:rPr>
          <w:sz w:val="24"/>
          <w:lang w:val="uk-UA"/>
        </w:rPr>
        <w:t xml:space="preserve">     </w:t>
      </w:r>
      <w:r w:rsidR="00811543">
        <w:rPr>
          <w:sz w:val="24"/>
          <w:lang w:val="uk-UA"/>
        </w:rPr>
        <w:t xml:space="preserve">    </w:t>
      </w:r>
      <w:r w:rsidR="00877EFD">
        <w:rPr>
          <w:sz w:val="24"/>
          <w:lang w:val="uk-UA"/>
        </w:rPr>
        <w:t xml:space="preserve"> </w:t>
      </w:r>
      <w:r w:rsidR="00811543">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B2E2C"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8B2E2C"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8B2E2C"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5C057F" w:rsidRDefault="005B7A0E" w:rsidP="002413E1">
            <w:pPr>
              <w:suppressAutoHyphens w:val="0"/>
              <w:ind w:firstLine="2"/>
              <w:jc w:val="both"/>
              <w:rPr>
                <w:szCs w:val="28"/>
                <w:lang w:val="uk-UA" w:eastAsia="ru-RU"/>
              </w:rPr>
            </w:pPr>
            <w:r>
              <w:rPr>
                <w:szCs w:val="28"/>
                <w:lang w:val="uk-UA" w:eastAsia="ru-RU"/>
              </w:rPr>
              <w:t>4952511,5</w:t>
            </w:r>
            <w:r w:rsidR="00CC6EB2" w:rsidRPr="005C057F">
              <w:rPr>
                <w:szCs w:val="28"/>
                <w:lang w:val="uk-UA" w:eastAsia="ru-RU"/>
              </w:rPr>
              <w:t xml:space="preserve"> </w:t>
            </w:r>
            <w:r w:rsidR="002413E1" w:rsidRPr="005C057F">
              <w:rPr>
                <w:szCs w:val="28"/>
                <w:lang w:val="uk-UA" w:eastAsia="ru-RU"/>
              </w:rPr>
              <w:t>тис. грн</w:t>
            </w: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2413E1" w:rsidP="002413E1">
            <w:pPr>
              <w:suppressAutoHyphens w:val="0"/>
              <w:ind w:firstLine="2"/>
              <w:jc w:val="both"/>
              <w:rPr>
                <w:szCs w:val="28"/>
                <w:lang w:val="uk-UA" w:eastAsia="ru-RU"/>
              </w:rPr>
            </w:pPr>
          </w:p>
          <w:p w:rsidR="002413E1" w:rsidRPr="005C057F" w:rsidRDefault="005B7A0E" w:rsidP="002413E1">
            <w:pPr>
              <w:suppressAutoHyphens w:val="0"/>
              <w:ind w:firstLine="2"/>
              <w:jc w:val="both"/>
              <w:rPr>
                <w:szCs w:val="28"/>
                <w:lang w:val="uk-UA" w:eastAsia="ru-RU"/>
              </w:rPr>
            </w:pPr>
            <w:r>
              <w:rPr>
                <w:szCs w:val="28"/>
                <w:lang w:val="uk-UA" w:eastAsia="ru-RU"/>
              </w:rPr>
              <w:t>1177186,5</w:t>
            </w:r>
            <w:r w:rsidR="002413E1" w:rsidRPr="005C057F">
              <w:rPr>
                <w:szCs w:val="28"/>
                <w:lang w:val="uk-UA" w:eastAsia="ru-RU"/>
              </w:rPr>
              <w:t xml:space="preserve"> тис. грн</w:t>
            </w:r>
          </w:p>
          <w:p w:rsidR="00A272BF" w:rsidRPr="005C057F" w:rsidRDefault="00A272BF" w:rsidP="002413E1">
            <w:pPr>
              <w:suppressAutoHyphens w:val="0"/>
              <w:ind w:firstLine="2"/>
              <w:jc w:val="both"/>
              <w:rPr>
                <w:szCs w:val="28"/>
                <w:lang w:val="uk-UA" w:eastAsia="ru-RU"/>
              </w:rPr>
            </w:pPr>
          </w:p>
          <w:p w:rsidR="002413E1" w:rsidRPr="00A761A5" w:rsidRDefault="005C057F" w:rsidP="002413E1">
            <w:pPr>
              <w:suppressAutoHyphens w:val="0"/>
              <w:ind w:firstLine="2"/>
              <w:jc w:val="both"/>
              <w:rPr>
                <w:szCs w:val="28"/>
                <w:lang w:val="uk-UA" w:eastAsia="ru-RU"/>
              </w:rPr>
            </w:pPr>
            <w:r w:rsidRPr="005C057F">
              <w:rPr>
                <w:szCs w:val="28"/>
                <w:lang w:val="uk-UA" w:eastAsia="ru-RU"/>
              </w:rPr>
              <w:t>3775325</w:t>
            </w:r>
            <w:r w:rsidR="007A47C2" w:rsidRPr="005C057F">
              <w:rPr>
                <w:szCs w:val="28"/>
                <w:lang w:val="uk-UA" w:eastAsia="ru-RU"/>
              </w:rPr>
              <w:t>,0</w:t>
            </w:r>
            <w:r w:rsidR="002413E1" w:rsidRPr="005C057F">
              <w:rPr>
                <w:szCs w:val="28"/>
                <w:lang w:val="uk-UA" w:eastAsia="ru-RU"/>
              </w:rPr>
              <w:t xml:space="preserve"> тис. грн</w:t>
            </w:r>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8B2E2C"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lastRenderedPageBreak/>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2413E1" w:rsidP="00D23A25">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lastRenderedPageBreak/>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w:t>
      </w:r>
      <w:r w:rsidRPr="00D051AE">
        <w:rPr>
          <w:rFonts w:eastAsiaTheme="minorHAnsi"/>
          <w:color w:val="000000"/>
          <w:szCs w:val="28"/>
          <w:lang w:val="uk-UA" w:eastAsia="en-US"/>
        </w:rPr>
        <w:lastRenderedPageBreak/>
        <w:t xml:space="preserve">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транспортного забезпечення. Наразі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lastRenderedPageBreak/>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w:t>
      </w:r>
      <w:r w:rsidR="00F528DD" w:rsidRPr="00F528DD">
        <w:rPr>
          <w:szCs w:val="28"/>
          <w:lang w:eastAsia="ru-RU"/>
        </w:rPr>
        <w:t xml:space="preserve"> </w:t>
      </w:r>
      <w:r w:rsidR="00F528DD">
        <w:rPr>
          <w:szCs w:val="28"/>
          <w:lang w:val="uk-UA" w:eastAsia="ru-RU"/>
        </w:rPr>
        <w:t>та</w:t>
      </w:r>
      <w:r w:rsidRPr="00D051AE">
        <w:rPr>
          <w:szCs w:val="28"/>
          <w:lang w:val="uk-UA" w:eastAsia="ru-RU"/>
        </w:rPr>
        <w:t xml:space="preserve"> державного бюджетів</w:t>
      </w:r>
      <w:r w:rsidR="00F528DD">
        <w:rPr>
          <w:szCs w:val="28"/>
          <w:lang w:val="uk-UA" w:eastAsia="ru-RU"/>
        </w:rPr>
        <w:t xml:space="preserve">, </w:t>
      </w:r>
      <w:r w:rsidRPr="00D051AE">
        <w:rPr>
          <w:szCs w:val="28"/>
          <w:lang w:val="uk-UA" w:eastAsia="ru-RU"/>
        </w:rPr>
        <w:t xml:space="preserve">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418"/>
        <w:gridCol w:w="1276"/>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B97B1C">
        <w:trPr>
          <w:trHeight w:val="1734"/>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B97B1C">
        <w:tc>
          <w:tcPr>
            <w:tcW w:w="1702"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276"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418" w:type="dxa"/>
            <w:shd w:val="clear" w:color="auto" w:fill="auto"/>
          </w:tcPr>
          <w:p w:rsidR="002413E1" w:rsidRPr="005E1266" w:rsidRDefault="00B97B1C" w:rsidP="002413E1">
            <w:pPr>
              <w:widowControl w:val="0"/>
              <w:suppressAutoHyphens w:val="0"/>
              <w:spacing w:after="120"/>
              <w:jc w:val="center"/>
              <w:rPr>
                <w:b/>
                <w:szCs w:val="28"/>
                <w:lang w:val="uk-UA" w:eastAsia="ru-RU"/>
              </w:rPr>
            </w:pPr>
            <w:r w:rsidRPr="005E1266">
              <w:rPr>
                <w:b/>
                <w:szCs w:val="28"/>
                <w:lang w:val="uk-UA" w:eastAsia="ru-RU"/>
              </w:rPr>
              <w:t>10</w:t>
            </w:r>
            <w:r w:rsidR="005B2C34" w:rsidRPr="005E1266">
              <w:rPr>
                <w:b/>
                <w:szCs w:val="28"/>
                <w:lang w:val="uk-UA" w:eastAsia="ru-RU"/>
              </w:rPr>
              <w:t>89</w:t>
            </w:r>
            <w:r w:rsidR="0017751C" w:rsidRPr="005E1266">
              <w:rPr>
                <w:b/>
                <w:szCs w:val="28"/>
                <w:lang w:val="uk-UA" w:eastAsia="ru-RU"/>
              </w:rPr>
              <w:t>744</w:t>
            </w:r>
            <w:r w:rsidR="00875BA0" w:rsidRPr="005E1266">
              <w:rPr>
                <w:b/>
                <w:szCs w:val="28"/>
                <w:lang w:val="uk-UA" w:eastAsia="ru-RU"/>
              </w:rPr>
              <w:t>,3</w:t>
            </w:r>
          </w:p>
        </w:tc>
        <w:tc>
          <w:tcPr>
            <w:tcW w:w="1276" w:type="dxa"/>
            <w:shd w:val="clear" w:color="auto" w:fill="auto"/>
          </w:tcPr>
          <w:p w:rsidR="002413E1" w:rsidRPr="00A761A5" w:rsidRDefault="005B7A0E" w:rsidP="002413E1">
            <w:pPr>
              <w:widowControl w:val="0"/>
              <w:suppressAutoHyphens w:val="0"/>
              <w:spacing w:after="120"/>
              <w:jc w:val="center"/>
              <w:rPr>
                <w:b/>
                <w:szCs w:val="28"/>
                <w:lang w:val="uk-UA" w:eastAsia="ru-RU"/>
              </w:rPr>
            </w:pPr>
            <w:r>
              <w:rPr>
                <w:b/>
                <w:szCs w:val="28"/>
                <w:lang w:val="uk-UA" w:eastAsia="ru-RU"/>
              </w:rPr>
              <w:t>814614,6</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463DF1" w:rsidRDefault="005B7A0E" w:rsidP="002413E1">
            <w:pPr>
              <w:widowControl w:val="0"/>
              <w:suppressAutoHyphens w:val="0"/>
              <w:spacing w:after="120"/>
              <w:jc w:val="center"/>
              <w:rPr>
                <w:b/>
                <w:szCs w:val="28"/>
                <w:lang w:val="uk-UA" w:eastAsia="ru-RU"/>
              </w:rPr>
            </w:pPr>
            <w:r>
              <w:rPr>
                <w:b/>
                <w:szCs w:val="28"/>
                <w:lang w:val="uk-UA" w:eastAsia="ru-RU"/>
              </w:rPr>
              <w:t>4952511,5</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418" w:type="dxa"/>
            <w:shd w:val="clear" w:color="auto" w:fill="auto"/>
          </w:tcPr>
          <w:p w:rsidR="002413E1" w:rsidRPr="005E1266" w:rsidRDefault="005E1266" w:rsidP="002413E1">
            <w:pPr>
              <w:widowControl w:val="0"/>
              <w:suppressAutoHyphens w:val="0"/>
              <w:spacing w:after="120"/>
              <w:jc w:val="center"/>
              <w:rPr>
                <w:b/>
                <w:szCs w:val="28"/>
                <w:lang w:val="uk-UA" w:eastAsia="ru-RU"/>
              </w:rPr>
            </w:pPr>
            <w:r w:rsidRPr="005E1266">
              <w:rPr>
                <w:b/>
                <w:szCs w:val="28"/>
                <w:lang w:val="uk-UA" w:eastAsia="ru-RU"/>
              </w:rPr>
              <w:t>773124</w:t>
            </w:r>
            <w:r w:rsidR="00875BA0" w:rsidRPr="005E1266">
              <w:rPr>
                <w:b/>
                <w:szCs w:val="28"/>
                <w:lang w:val="uk-UA" w:eastAsia="ru-RU"/>
              </w:rPr>
              <w:t>,8</w:t>
            </w:r>
          </w:p>
        </w:tc>
        <w:tc>
          <w:tcPr>
            <w:tcW w:w="1276" w:type="dxa"/>
            <w:shd w:val="clear" w:color="auto" w:fill="auto"/>
          </w:tcPr>
          <w:p w:rsidR="002413E1" w:rsidRPr="00A761A5" w:rsidRDefault="00463DF1" w:rsidP="002413E1">
            <w:pPr>
              <w:widowControl w:val="0"/>
              <w:suppressAutoHyphens w:val="0"/>
              <w:spacing w:after="120"/>
              <w:jc w:val="center"/>
              <w:rPr>
                <w:b/>
                <w:szCs w:val="28"/>
                <w:lang w:val="uk-UA" w:eastAsia="ru-RU"/>
              </w:rPr>
            </w:pPr>
            <w:r>
              <w:rPr>
                <w:b/>
                <w:szCs w:val="28"/>
                <w:lang w:val="uk-UA" w:eastAsia="ru-RU"/>
              </w:rPr>
              <w:t>500</w:t>
            </w:r>
            <w:r w:rsidR="007A47C2">
              <w:rPr>
                <w:b/>
                <w:szCs w:val="28"/>
                <w:lang w:val="uk-UA" w:eastAsia="ru-RU"/>
              </w:rPr>
              <w:t>493,0</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463DF1" w:rsidRDefault="00463DF1" w:rsidP="002413E1">
            <w:pPr>
              <w:widowControl w:val="0"/>
              <w:suppressAutoHyphens w:val="0"/>
              <w:spacing w:after="120"/>
              <w:jc w:val="center"/>
              <w:rPr>
                <w:b/>
                <w:szCs w:val="28"/>
                <w:lang w:val="uk-UA" w:eastAsia="ru-RU"/>
              </w:rPr>
            </w:pPr>
            <w:r w:rsidRPr="00463DF1">
              <w:rPr>
                <w:b/>
                <w:szCs w:val="28"/>
                <w:lang w:val="uk-UA" w:eastAsia="ru-RU"/>
              </w:rPr>
              <w:t>3775325</w:t>
            </w:r>
            <w:r w:rsidR="007A47C2" w:rsidRPr="00463DF1">
              <w:rPr>
                <w:b/>
                <w:szCs w:val="28"/>
                <w:lang w:val="uk-UA" w:eastAsia="ru-RU"/>
              </w:rPr>
              <w:t>,0</w:t>
            </w:r>
          </w:p>
        </w:tc>
      </w:tr>
      <w:tr w:rsidR="00D93665" w:rsidRPr="00463DF1" w:rsidTr="00B97B1C">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418" w:type="dxa"/>
            <w:shd w:val="clear" w:color="auto" w:fill="auto"/>
          </w:tcPr>
          <w:p w:rsidR="002413E1" w:rsidRPr="002F29A2" w:rsidRDefault="00B97B1C" w:rsidP="002413E1">
            <w:pPr>
              <w:widowControl w:val="0"/>
              <w:suppressAutoHyphens w:val="0"/>
              <w:spacing w:after="120"/>
              <w:jc w:val="center"/>
              <w:rPr>
                <w:b/>
                <w:szCs w:val="28"/>
                <w:highlight w:val="yellow"/>
                <w:lang w:val="uk-UA" w:eastAsia="ru-RU"/>
              </w:rPr>
            </w:pPr>
            <w:r w:rsidRPr="005E1266">
              <w:rPr>
                <w:b/>
                <w:szCs w:val="28"/>
                <w:lang w:val="uk-UA" w:eastAsia="ru-RU"/>
              </w:rPr>
              <w:t>3</w:t>
            </w:r>
            <w:r w:rsidR="005E1266" w:rsidRPr="005E1266">
              <w:rPr>
                <w:b/>
                <w:szCs w:val="28"/>
                <w:lang w:val="uk-UA" w:eastAsia="ru-RU"/>
              </w:rPr>
              <w:t>16619</w:t>
            </w:r>
            <w:r w:rsidR="00875BA0" w:rsidRPr="005E1266">
              <w:rPr>
                <w:b/>
                <w:szCs w:val="28"/>
                <w:lang w:val="uk-UA" w:eastAsia="ru-RU"/>
              </w:rPr>
              <w:t>,5</w:t>
            </w:r>
          </w:p>
        </w:tc>
        <w:tc>
          <w:tcPr>
            <w:tcW w:w="1276" w:type="dxa"/>
            <w:shd w:val="clear" w:color="auto" w:fill="auto"/>
          </w:tcPr>
          <w:p w:rsidR="002413E1" w:rsidRPr="00A761A5" w:rsidRDefault="00463DF1" w:rsidP="002413E1">
            <w:pPr>
              <w:widowControl w:val="0"/>
              <w:suppressAutoHyphens w:val="0"/>
              <w:spacing w:after="120"/>
              <w:jc w:val="center"/>
              <w:rPr>
                <w:b/>
                <w:szCs w:val="28"/>
                <w:lang w:val="uk-UA" w:eastAsia="ru-RU"/>
              </w:rPr>
            </w:pPr>
            <w:r>
              <w:rPr>
                <w:b/>
                <w:szCs w:val="28"/>
                <w:lang w:val="uk-UA" w:eastAsia="ru-RU"/>
              </w:rPr>
              <w:t>31</w:t>
            </w:r>
            <w:r w:rsidR="005B7A0E">
              <w:rPr>
                <w:b/>
                <w:szCs w:val="28"/>
                <w:lang w:val="uk-UA" w:eastAsia="ru-RU"/>
              </w:rPr>
              <w:t>4121,6</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463DF1" w:rsidRDefault="005B7A0E" w:rsidP="002413E1">
            <w:pPr>
              <w:widowControl w:val="0"/>
              <w:suppressAutoHyphens w:val="0"/>
              <w:spacing w:after="120"/>
              <w:jc w:val="center"/>
              <w:rPr>
                <w:b/>
                <w:szCs w:val="28"/>
                <w:lang w:val="uk-UA" w:eastAsia="ru-RU"/>
              </w:rPr>
            </w:pPr>
            <w:r>
              <w:rPr>
                <w:b/>
                <w:szCs w:val="28"/>
                <w:lang w:val="uk-UA" w:eastAsia="ru-RU"/>
              </w:rPr>
              <w:t>1177186,5</w:t>
            </w:r>
          </w:p>
        </w:tc>
      </w:tr>
      <w:tr w:rsidR="00D93665" w:rsidRPr="00D93665" w:rsidTr="00B97B1C">
        <w:tc>
          <w:tcPr>
            <w:tcW w:w="1702" w:type="dxa"/>
            <w:shd w:val="clear" w:color="auto" w:fill="auto"/>
          </w:tcPr>
          <w:p w:rsidR="002413E1" w:rsidRPr="00D93665" w:rsidRDefault="002413E1" w:rsidP="002413E1">
            <w:pPr>
              <w:widowControl w:val="0"/>
              <w:suppressAutoHyphens w:val="0"/>
              <w:spacing w:after="120"/>
              <w:jc w:val="center"/>
              <w:rPr>
                <w:sz w:val="20"/>
                <w:szCs w:val="20"/>
                <w:lang w:val="uk-UA" w:eastAsia="ru-RU"/>
              </w:rPr>
            </w:pPr>
            <w:r w:rsidRPr="00D93665">
              <w:rPr>
                <w:sz w:val="20"/>
                <w:szCs w:val="20"/>
                <w:lang w:val="uk-UA" w:eastAsia="ru-RU"/>
              </w:rPr>
              <w:t xml:space="preserve">Кошти </w:t>
            </w:r>
            <w:r w:rsidR="00363637" w:rsidRPr="00D93665">
              <w:rPr>
                <w:sz w:val="20"/>
                <w:szCs w:val="20"/>
                <w:lang w:val="uk-UA" w:eastAsia="ru-RU"/>
              </w:rPr>
              <w:t>поза</w:t>
            </w:r>
            <w:r w:rsidRPr="00D93665">
              <w:rPr>
                <w:sz w:val="20"/>
                <w:szCs w:val="20"/>
                <w:lang w:val="uk-UA" w:eastAsia="ru-RU"/>
              </w:rPr>
              <w:t>бюджетних джерел</w:t>
            </w:r>
          </w:p>
        </w:tc>
        <w:tc>
          <w:tcPr>
            <w:tcW w:w="1275"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276"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r>
    </w:tbl>
    <w:p w:rsidR="00D644F7" w:rsidRDefault="00D644F7" w:rsidP="00912C8B">
      <w:pPr>
        <w:widowControl w:val="0"/>
        <w:suppressAutoHyphens w:val="0"/>
        <w:spacing w:after="120"/>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Секретар міської ради                                                           Віктор КЛІМІНСЬКИЙ</w:t>
      </w:r>
      <w:r>
        <w:rPr>
          <w:bCs/>
          <w:lang w:val="uk-UA"/>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E72F8C">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250" w:rsidRDefault="004C1250" w:rsidP="00F06F8F">
      <w:r>
        <w:separator/>
      </w:r>
    </w:p>
  </w:endnote>
  <w:endnote w:type="continuationSeparator" w:id="0">
    <w:p w:rsidR="004C1250" w:rsidRDefault="004C1250"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250" w:rsidRDefault="004C1250" w:rsidP="00F06F8F">
      <w:r>
        <w:separator/>
      </w:r>
    </w:p>
  </w:footnote>
  <w:footnote w:type="continuationSeparator" w:id="0">
    <w:p w:rsidR="004C1250" w:rsidRDefault="004C1250"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8B2E2C">
          <w:rPr>
            <w:noProof/>
          </w:rPr>
          <w:t>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32155"/>
    <w:rsid w:val="00042D00"/>
    <w:rsid w:val="00047895"/>
    <w:rsid w:val="00054943"/>
    <w:rsid w:val="0005704C"/>
    <w:rsid w:val="000634AD"/>
    <w:rsid w:val="00071419"/>
    <w:rsid w:val="00084F0F"/>
    <w:rsid w:val="0008774F"/>
    <w:rsid w:val="00097C7A"/>
    <w:rsid w:val="000A068E"/>
    <w:rsid w:val="000B3341"/>
    <w:rsid w:val="000B4AE9"/>
    <w:rsid w:val="000C15F3"/>
    <w:rsid w:val="000D794E"/>
    <w:rsid w:val="000E1DC5"/>
    <w:rsid w:val="000E41D7"/>
    <w:rsid w:val="000E481F"/>
    <w:rsid w:val="00120011"/>
    <w:rsid w:val="00125D56"/>
    <w:rsid w:val="00160989"/>
    <w:rsid w:val="00170D12"/>
    <w:rsid w:val="0017751C"/>
    <w:rsid w:val="00183278"/>
    <w:rsid w:val="00190118"/>
    <w:rsid w:val="001B07AC"/>
    <w:rsid w:val="001B6D22"/>
    <w:rsid w:val="001D384A"/>
    <w:rsid w:val="001D551B"/>
    <w:rsid w:val="001D5E69"/>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7682"/>
    <w:rsid w:val="00281A6B"/>
    <w:rsid w:val="00293FA3"/>
    <w:rsid w:val="002B61B4"/>
    <w:rsid w:val="002D68EB"/>
    <w:rsid w:val="002E1522"/>
    <w:rsid w:val="002F1B91"/>
    <w:rsid w:val="002F29A2"/>
    <w:rsid w:val="002F3D0A"/>
    <w:rsid w:val="002F5A25"/>
    <w:rsid w:val="003017D4"/>
    <w:rsid w:val="0030395C"/>
    <w:rsid w:val="00324415"/>
    <w:rsid w:val="003254BF"/>
    <w:rsid w:val="00327242"/>
    <w:rsid w:val="00334372"/>
    <w:rsid w:val="003376EB"/>
    <w:rsid w:val="0034362A"/>
    <w:rsid w:val="00351790"/>
    <w:rsid w:val="00352012"/>
    <w:rsid w:val="00363637"/>
    <w:rsid w:val="00365738"/>
    <w:rsid w:val="00380F0D"/>
    <w:rsid w:val="00382546"/>
    <w:rsid w:val="003A4D58"/>
    <w:rsid w:val="003E48DD"/>
    <w:rsid w:val="00411183"/>
    <w:rsid w:val="00415BF8"/>
    <w:rsid w:val="004205E0"/>
    <w:rsid w:val="00427C8F"/>
    <w:rsid w:val="0043070C"/>
    <w:rsid w:val="00431F66"/>
    <w:rsid w:val="0043525C"/>
    <w:rsid w:val="00447B39"/>
    <w:rsid w:val="00453DD3"/>
    <w:rsid w:val="00463DF1"/>
    <w:rsid w:val="00465DB4"/>
    <w:rsid w:val="00467B2B"/>
    <w:rsid w:val="00474D89"/>
    <w:rsid w:val="00492481"/>
    <w:rsid w:val="004951C1"/>
    <w:rsid w:val="004A0DE8"/>
    <w:rsid w:val="004A0F75"/>
    <w:rsid w:val="004A363A"/>
    <w:rsid w:val="004B0942"/>
    <w:rsid w:val="004B49B4"/>
    <w:rsid w:val="004C07A6"/>
    <w:rsid w:val="004C1250"/>
    <w:rsid w:val="004C171F"/>
    <w:rsid w:val="004C3EA4"/>
    <w:rsid w:val="004D3D5E"/>
    <w:rsid w:val="004D6EC3"/>
    <w:rsid w:val="004D7D25"/>
    <w:rsid w:val="004E2FFE"/>
    <w:rsid w:val="00502D53"/>
    <w:rsid w:val="00505FA6"/>
    <w:rsid w:val="005141BE"/>
    <w:rsid w:val="005239B7"/>
    <w:rsid w:val="00542930"/>
    <w:rsid w:val="00554B72"/>
    <w:rsid w:val="005674BD"/>
    <w:rsid w:val="005720CE"/>
    <w:rsid w:val="005743B2"/>
    <w:rsid w:val="005847C7"/>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126A"/>
    <w:rsid w:val="00611669"/>
    <w:rsid w:val="00612611"/>
    <w:rsid w:val="0062497E"/>
    <w:rsid w:val="00644C22"/>
    <w:rsid w:val="006633C7"/>
    <w:rsid w:val="006716A1"/>
    <w:rsid w:val="006A5367"/>
    <w:rsid w:val="006A6FE9"/>
    <w:rsid w:val="006C2298"/>
    <w:rsid w:val="006C3F35"/>
    <w:rsid w:val="006D70B6"/>
    <w:rsid w:val="006D70BA"/>
    <w:rsid w:val="006E1CB7"/>
    <w:rsid w:val="006E5355"/>
    <w:rsid w:val="006E5AFB"/>
    <w:rsid w:val="006F417A"/>
    <w:rsid w:val="00700EC7"/>
    <w:rsid w:val="007049AE"/>
    <w:rsid w:val="0072189D"/>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342A"/>
    <w:rsid w:val="0086238E"/>
    <w:rsid w:val="00871936"/>
    <w:rsid w:val="00875BA0"/>
    <w:rsid w:val="00875CC6"/>
    <w:rsid w:val="00877387"/>
    <w:rsid w:val="00877EFD"/>
    <w:rsid w:val="00881A3C"/>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4704"/>
    <w:rsid w:val="009D47B6"/>
    <w:rsid w:val="009D50E4"/>
    <w:rsid w:val="009E7EE3"/>
    <w:rsid w:val="009F386C"/>
    <w:rsid w:val="00A00371"/>
    <w:rsid w:val="00A16BA1"/>
    <w:rsid w:val="00A272BF"/>
    <w:rsid w:val="00A27377"/>
    <w:rsid w:val="00A31E98"/>
    <w:rsid w:val="00A33E91"/>
    <w:rsid w:val="00A44AC0"/>
    <w:rsid w:val="00A563A3"/>
    <w:rsid w:val="00A70072"/>
    <w:rsid w:val="00A70FCF"/>
    <w:rsid w:val="00A761A5"/>
    <w:rsid w:val="00A8562E"/>
    <w:rsid w:val="00A9174C"/>
    <w:rsid w:val="00AA5DAC"/>
    <w:rsid w:val="00AB2D19"/>
    <w:rsid w:val="00AC2B1D"/>
    <w:rsid w:val="00AC766B"/>
    <w:rsid w:val="00AD5D76"/>
    <w:rsid w:val="00AD6B3C"/>
    <w:rsid w:val="00AE1E54"/>
    <w:rsid w:val="00AE2FFD"/>
    <w:rsid w:val="00B2010D"/>
    <w:rsid w:val="00B238A0"/>
    <w:rsid w:val="00B2758A"/>
    <w:rsid w:val="00B4173C"/>
    <w:rsid w:val="00B46781"/>
    <w:rsid w:val="00B47111"/>
    <w:rsid w:val="00B52F16"/>
    <w:rsid w:val="00B57999"/>
    <w:rsid w:val="00B61569"/>
    <w:rsid w:val="00B66393"/>
    <w:rsid w:val="00B70160"/>
    <w:rsid w:val="00B745E7"/>
    <w:rsid w:val="00B74743"/>
    <w:rsid w:val="00B852EC"/>
    <w:rsid w:val="00B903D1"/>
    <w:rsid w:val="00B962E7"/>
    <w:rsid w:val="00B97B1C"/>
    <w:rsid w:val="00BA350B"/>
    <w:rsid w:val="00BA6E73"/>
    <w:rsid w:val="00BB04C9"/>
    <w:rsid w:val="00BD1E9D"/>
    <w:rsid w:val="00BD499F"/>
    <w:rsid w:val="00BF7D7A"/>
    <w:rsid w:val="00C015AB"/>
    <w:rsid w:val="00C12F01"/>
    <w:rsid w:val="00C17B74"/>
    <w:rsid w:val="00C24D76"/>
    <w:rsid w:val="00C27A46"/>
    <w:rsid w:val="00C30AA1"/>
    <w:rsid w:val="00C45484"/>
    <w:rsid w:val="00C539D9"/>
    <w:rsid w:val="00C82679"/>
    <w:rsid w:val="00C832FB"/>
    <w:rsid w:val="00C86E4D"/>
    <w:rsid w:val="00C95196"/>
    <w:rsid w:val="00C9612D"/>
    <w:rsid w:val="00CA1451"/>
    <w:rsid w:val="00CC6EB2"/>
    <w:rsid w:val="00CD407B"/>
    <w:rsid w:val="00CE1796"/>
    <w:rsid w:val="00D00E50"/>
    <w:rsid w:val="00D051AE"/>
    <w:rsid w:val="00D15086"/>
    <w:rsid w:val="00D1521D"/>
    <w:rsid w:val="00D23A25"/>
    <w:rsid w:val="00D3316C"/>
    <w:rsid w:val="00D341C8"/>
    <w:rsid w:val="00D465DA"/>
    <w:rsid w:val="00D511E0"/>
    <w:rsid w:val="00D57845"/>
    <w:rsid w:val="00D63252"/>
    <w:rsid w:val="00D644F7"/>
    <w:rsid w:val="00D76CC2"/>
    <w:rsid w:val="00D93665"/>
    <w:rsid w:val="00D97769"/>
    <w:rsid w:val="00DA1EBF"/>
    <w:rsid w:val="00DB17E4"/>
    <w:rsid w:val="00DB4FAC"/>
    <w:rsid w:val="00DB5CCA"/>
    <w:rsid w:val="00DC1588"/>
    <w:rsid w:val="00DD1BCD"/>
    <w:rsid w:val="00DD353C"/>
    <w:rsid w:val="00DE5838"/>
    <w:rsid w:val="00DF0283"/>
    <w:rsid w:val="00E06DFB"/>
    <w:rsid w:val="00E0711F"/>
    <w:rsid w:val="00E21469"/>
    <w:rsid w:val="00E2213D"/>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D2F0C"/>
    <w:rsid w:val="00EE302F"/>
    <w:rsid w:val="00F06F8F"/>
    <w:rsid w:val="00F222FA"/>
    <w:rsid w:val="00F32097"/>
    <w:rsid w:val="00F41BED"/>
    <w:rsid w:val="00F41C17"/>
    <w:rsid w:val="00F528DD"/>
    <w:rsid w:val="00F55072"/>
    <w:rsid w:val="00F551EE"/>
    <w:rsid w:val="00F611D5"/>
    <w:rsid w:val="00F878E1"/>
    <w:rsid w:val="00F91486"/>
    <w:rsid w:val="00F91DD1"/>
    <w:rsid w:val="00F927B4"/>
    <w:rsid w:val="00FA1325"/>
    <w:rsid w:val="00FA2E52"/>
    <w:rsid w:val="00FA78BE"/>
    <w:rsid w:val="00FD04B0"/>
    <w:rsid w:val="00FD36C2"/>
    <w:rsid w:val="00FE11D1"/>
    <w:rsid w:val="00FE2B77"/>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D7A20E6"/>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80A4E-58EE-4057-B7BE-F0C5B6579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3700</Words>
  <Characters>21093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202</cp:revision>
  <cp:lastPrinted>2022-12-15T14:37:00Z</cp:lastPrinted>
  <dcterms:created xsi:type="dcterms:W3CDTF">2020-09-03T08:36:00Z</dcterms:created>
  <dcterms:modified xsi:type="dcterms:W3CDTF">2023-01-26T13:16:00Z</dcterms:modified>
</cp:coreProperties>
</file>