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5E757" w14:textId="77777777" w:rsidR="002A3751" w:rsidRDefault="002A3751" w:rsidP="002A3751">
      <w:pPr>
        <w:ind w:left="2124" w:firstLine="708"/>
        <w:rPr>
          <w:sz w:val="28"/>
          <w:lang w:val="uk-UA"/>
        </w:rPr>
      </w:pPr>
    </w:p>
    <w:p w14:paraId="1D68ED05" w14:textId="5814AEBC" w:rsidR="002A3751" w:rsidRDefault="00F13C4D" w:rsidP="002A3751">
      <w:pPr>
        <w:ind w:left="4956"/>
        <w:rPr>
          <w:sz w:val="28"/>
          <w:lang w:val="uk-UA"/>
        </w:rPr>
      </w:pPr>
      <w:r w:rsidRPr="008C348C">
        <w:rPr>
          <w:sz w:val="28"/>
          <w:lang w:val="uk-UA"/>
        </w:rPr>
        <w:t>Додаток</w:t>
      </w:r>
    </w:p>
    <w:p w14:paraId="5D598852" w14:textId="46AEB994" w:rsidR="006564AF" w:rsidRDefault="00F13C4D">
      <w:pPr>
        <w:ind w:left="4248" w:firstLine="708"/>
        <w:rPr>
          <w:sz w:val="28"/>
          <w:lang w:val="uk-UA"/>
        </w:rPr>
      </w:pPr>
      <w:r w:rsidRPr="008C348C">
        <w:rPr>
          <w:sz w:val="28"/>
          <w:lang w:val="uk-UA"/>
        </w:rPr>
        <w:t xml:space="preserve">до </w:t>
      </w:r>
      <w:r w:rsidR="00DA4C23">
        <w:rPr>
          <w:sz w:val="28"/>
          <w:lang w:val="uk-UA"/>
        </w:rPr>
        <w:t xml:space="preserve">проєкту </w:t>
      </w:r>
      <w:r w:rsidRPr="008C348C">
        <w:rPr>
          <w:sz w:val="28"/>
          <w:lang w:val="uk-UA"/>
        </w:rPr>
        <w:t xml:space="preserve">рішення </w:t>
      </w:r>
      <w:r w:rsidR="00564C0E">
        <w:rPr>
          <w:sz w:val="28"/>
          <w:lang w:val="uk-UA"/>
        </w:rPr>
        <w:t>міської ради</w:t>
      </w:r>
    </w:p>
    <w:p w14:paraId="4ECF91C6" w14:textId="6B9AEB1F" w:rsidR="002A3751" w:rsidRDefault="00F13C4D" w:rsidP="002A3751">
      <w:pPr>
        <w:ind w:left="4956"/>
        <w:rPr>
          <w:sz w:val="28"/>
          <w:lang w:val="uk-UA"/>
        </w:rPr>
      </w:pPr>
      <w:r w:rsidRPr="008C348C">
        <w:rPr>
          <w:sz w:val="28"/>
          <w:lang w:val="uk-UA"/>
        </w:rPr>
        <w:t>_________ № ______</w:t>
      </w:r>
      <w:r w:rsidR="002A018E" w:rsidRPr="002A018E">
        <w:rPr>
          <w:sz w:val="28"/>
        </w:rPr>
        <w:t>___________</w:t>
      </w:r>
      <w:r w:rsidRPr="008C348C">
        <w:rPr>
          <w:sz w:val="28"/>
          <w:lang w:val="uk-UA"/>
        </w:rPr>
        <w:t xml:space="preserve"> </w:t>
      </w:r>
    </w:p>
    <w:p w14:paraId="0C18268F" w14:textId="77777777" w:rsidR="00903860" w:rsidRPr="008C348C" w:rsidRDefault="00903860">
      <w:pPr>
        <w:rPr>
          <w:sz w:val="28"/>
          <w:lang w:val="uk-UA"/>
        </w:rPr>
      </w:pPr>
    </w:p>
    <w:p w14:paraId="158BF652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35756E5F" w14:textId="77777777" w:rsidR="00F13C4D" w:rsidRPr="008C348C" w:rsidRDefault="00F13C4D" w:rsidP="00F13C4D">
      <w:pPr>
        <w:jc w:val="center"/>
        <w:rPr>
          <w:sz w:val="48"/>
          <w:szCs w:val="48"/>
          <w:lang w:val="uk-UA"/>
        </w:rPr>
      </w:pPr>
    </w:p>
    <w:p w14:paraId="75181065" w14:textId="77777777" w:rsidR="00F13C4D" w:rsidRDefault="00F13C4D" w:rsidP="00F13C4D">
      <w:pPr>
        <w:jc w:val="center"/>
        <w:rPr>
          <w:sz w:val="48"/>
          <w:szCs w:val="48"/>
          <w:lang w:val="uk-UA"/>
        </w:rPr>
      </w:pPr>
    </w:p>
    <w:p w14:paraId="3739E362" w14:textId="77777777" w:rsidR="008718AF" w:rsidRPr="008C348C" w:rsidRDefault="008718AF" w:rsidP="00F13C4D">
      <w:pPr>
        <w:jc w:val="center"/>
        <w:rPr>
          <w:sz w:val="48"/>
          <w:szCs w:val="48"/>
          <w:lang w:val="uk-UA"/>
        </w:rPr>
      </w:pPr>
    </w:p>
    <w:p w14:paraId="42D507A2" w14:textId="77777777" w:rsidR="00F13C4D" w:rsidRPr="008C348C" w:rsidRDefault="00F13C4D" w:rsidP="00F13C4D">
      <w:pPr>
        <w:jc w:val="center"/>
        <w:rPr>
          <w:sz w:val="48"/>
          <w:szCs w:val="48"/>
          <w:lang w:val="uk-UA"/>
        </w:rPr>
      </w:pPr>
    </w:p>
    <w:p w14:paraId="0192B450" w14:textId="77777777" w:rsidR="00E63D0D" w:rsidRPr="008C348C" w:rsidRDefault="00E63D0D" w:rsidP="00E63D0D">
      <w:pPr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  <w:t>Міська цільова п</w:t>
      </w:r>
      <w:r w:rsidRPr="008C348C">
        <w:rPr>
          <w:sz w:val="48"/>
          <w:szCs w:val="48"/>
          <w:lang w:val="uk-UA"/>
        </w:rPr>
        <w:t>рограма</w:t>
      </w:r>
    </w:p>
    <w:p w14:paraId="741C0819" w14:textId="703EE186" w:rsidR="00E63D0D" w:rsidRPr="008C348C" w:rsidRDefault="002354BA" w:rsidP="00E63D0D">
      <w:pPr>
        <w:jc w:val="center"/>
        <w:rPr>
          <w:sz w:val="48"/>
          <w:szCs w:val="48"/>
          <w:lang w:val="uk-UA"/>
        </w:rPr>
      </w:pPr>
      <w:r w:rsidRPr="002354BA">
        <w:rPr>
          <w:sz w:val="48"/>
          <w:szCs w:val="48"/>
          <w:lang w:val="uk-UA"/>
        </w:rPr>
        <w:t>«Муніципальний енергетичний план Житомирської міської</w:t>
      </w:r>
      <w:r w:rsidR="00181DB3">
        <w:rPr>
          <w:sz w:val="48"/>
          <w:szCs w:val="48"/>
          <w:lang w:val="uk-UA"/>
        </w:rPr>
        <w:t xml:space="preserve"> </w:t>
      </w:r>
      <w:r w:rsidRPr="002354BA">
        <w:rPr>
          <w:sz w:val="48"/>
          <w:szCs w:val="48"/>
          <w:lang w:val="uk-UA"/>
        </w:rPr>
        <w:t>територіальної громади на 20</w:t>
      </w:r>
      <w:r>
        <w:rPr>
          <w:sz w:val="48"/>
          <w:szCs w:val="48"/>
          <w:lang w:val="uk-UA"/>
        </w:rPr>
        <w:t>21</w:t>
      </w:r>
      <w:r w:rsidRPr="002354BA">
        <w:rPr>
          <w:sz w:val="48"/>
          <w:szCs w:val="48"/>
          <w:lang w:val="uk-UA"/>
        </w:rPr>
        <w:t>-202</w:t>
      </w:r>
      <w:r w:rsidR="004A4BAD">
        <w:rPr>
          <w:sz w:val="48"/>
          <w:szCs w:val="48"/>
          <w:lang w:val="uk-UA"/>
        </w:rPr>
        <w:t>5</w:t>
      </w:r>
      <w:r w:rsidRPr="002354BA">
        <w:rPr>
          <w:sz w:val="48"/>
          <w:szCs w:val="48"/>
          <w:lang w:val="uk-UA"/>
        </w:rPr>
        <w:t xml:space="preserve"> роки»</w:t>
      </w:r>
    </w:p>
    <w:p w14:paraId="726F9945" w14:textId="77777777" w:rsidR="00F13C4D" w:rsidRPr="008C348C" w:rsidRDefault="00F13C4D" w:rsidP="00F13C4D">
      <w:pPr>
        <w:jc w:val="center"/>
        <w:rPr>
          <w:sz w:val="48"/>
          <w:szCs w:val="48"/>
          <w:lang w:val="uk-UA"/>
        </w:rPr>
      </w:pPr>
    </w:p>
    <w:p w14:paraId="3E57F0EA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4EC21CCB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07D78525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721B9768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278C6F1D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518F689A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05ACB736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4DFD4F3C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09D5889E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5FE6C460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330892CF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6AF4D34F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4D5B5BCF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44DDF36F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11D0BDFF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10159CDB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282F4065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37C63D6E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4B2F7D87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77EF7257" w14:textId="77777777" w:rsidR="00F13C4D" w:rsidRPr="008C348C" w:rsidRDefault="00F13C4D" w:rsidP="00F13C4D">
      <w:pPr>
        <w:jc w:val="center"/>
        <w:rPr>
          <w:sz w:val="28"/>
          <w:lang w:val="uk-UA"/>
        </w:rPr>
      </w:pPr>
    </w:p>
    <w:p w14:paraId="38026CB1" w14:textId="77777777" w:rsidR="002A3751" w:rsidRDefault="002A3751" w:rsidP="002A3751">
      <w:pPr>
        <w:rPr>
          <w:sz w:val="28"/>
          <w:lang w:val="uk-UA"/>
        </w:rPr>
      </w:pPr>
    </w:p>
    <w:p w14:paraId="50108A28" w14:textId="375EC30C" w:rsidR="00F13C4D" w:rsidRPr="008C348C" w:rsidRDefault="00F13C4D" w:rsidP="00F13C4D">
      <w:pPr>
        <w:jc w:val="center"/>
        <w:rPr>
          <w:sz w:val="28"/>
          <w:lang w:val="uk-UA"/>
        </w:rPr>
      </w:pPr>
      <w:r w:rsidRPr="008C348C">
        <w:rPr>
          <w:sz w:val="28"/>
          <w:lang w:val="uk-UA"/>
        </w:rPr>
        <w:t>20</w:t>
      </w:r>
      <w:r w:rsidR="00804BF3">
        <w:rPr>
          <w:sz w:val="28"/>
          <w:lang w:val="uk-UA"/>
        </w:rPr>
        <w:t>2</w:t>
      </w:r>
      <w:r w:rsidR="0010100A">
        <w:rPr>
          <w:sz w:val="28"/>
          <w:lang w:val="uk-UA"/>
        </w:rPr>
        <w:t>4</w:t>
      </w:r>
      <w:r w:rsidRPr="008C348C">
        <w:rPr>
          <w:sz w:val="28"/>
          <w:lang w:val="uk-UA"/>
        </w:rPr>
        <w:t xml:space="preserve"> рік</w:t>
      </w:r>
    </w:p>
    <w:sdt>
      <w:sdtPr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lang w:eastAsia="ru-RU"/>
        </w:rPr>
        <w:id w:val="92789500"/>
        <w:docPartObj>
          <w:docPartGallery w:val="Table of Contents"/>
          <w:docPartUnique/>
        </w:docPartObj>
      </w:sdtPr>
      <w:sdtEndPr>
        <w:rPr>
          <w:color w:val="000000" w:themeColor="text1"/>
        </w:rPr>
      </w:sdtEndPr>
      <w:sdtContent>
        <w:p w14:paraId="259101CA" w14:textId="77777777" w:rsidR="00E63D0D" w:rsidRPr="00E63D0D" w:rsidRDefault="00E63D0D" w:rsidP="00011F7A">
          <w:pPr>
            <w:pStyle w:val="a7"/>
            <w:spacing w:before="0" w:after="120"/>
            <w:jc w:val="center"/>
            <w:rPr>
              <w:lang w:val="uk-UA"/>
            </w:rPr>
          </w:pPr>
          <w:r w:rsidRPr="00E63D0D">
            <w:rPr>
              <w:rFonts w:ascii="Times New Roman" w:hAnsi="Times New Roman" w:cs="Times New Roman"/>
              <w:color w:val="auto"/>
              <w:lang w:val="uk-UA"/>
            </w:rPr>
            <w:t>ЗМІСТ</w:t>
          </w:r>
        </w:p>
        <w:p w14:paraId="46FE7361" w14:textId="12F096C7" w:rsidR="008312F7" w:rsidRPr="008312F7" w:rsidRDefault="002A018E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r>
            <w:fldChar w:fldCharType="begin"/>
          </w:r>
          <w:r w:rsidR="00E63D0D">
            <w:instrText xml:space="preserve"> TOC \o "1-3" \h \z \u </w:instrText>
          </w:r>
          <w:r>
            <w:fldChar w:fldCharType="separate"/>
          </w:r>
          <w:hyperlink w:anchor="_Toc467428482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1. ПАСПОРТ ПРОГРАМИ</w:t>
            </w:r>
            <w:r w:rsidR="008312F7" w:rsidRPr="008312F7">
              <w:rPr>
                <w:noProof/>
                <w:webHidden/>
                <w:sz w:val="28"/>
              </w:rPr>
              <w:tab/>
            </w:r>
            <w:r w:rsidRPr="008312F7">
              <w:rPr>
                <w:noProof/>
                <w:webHidden/>
                <w:sz w:val="28"/>
              </w:rPr>
              <w:fldChar w:fldCharType="begin"/>
            </w:r>
            <w:r w:rsidR="008312F7" w:rsidRPr="008312F7">
              <w:rPr>
                <w:noProof/>
                <w:webHidden/>
                <w:sz w:val="28"/>
              </w:rPr>
              <w:instrText xml:space="preserve"> PAGEREF _Toc467428482 \h </w:instrText>
            </w:r>
            <w:r w:rsidRPr="008312F7">
              <w:rPr>
                <w:noProof/>
                <w:webHidden/>
                <w:sz w:val="28"/>
              </w:rPr>
            </w:r>
            <w:r w:rsidRPr="008312F7">
              <w:rPr>
                <w:noProof/>
                <w:webHidden/>
                <w:sz w:val="28"/>
              </w:rPr>
              <w:fldChar w:fldCharType="separate"/>
            </w:r>
            <w:r w:rsidR="00AC7DDD">
              <w:rPr>
                <w:noProof/>
                <w:webHidden/>
                <w:sz w:val="28"/>
              </w:rPr>
              <w:t>4</w:t>
            </w:r>
            <w:r w:rsidRPr="008312F7">
              <w:rPr>
                <w:noProof/>
                <w:webHidden/>
                <w:sz w:val="28"/>
              </w:rPr>
              <w:fldChar w:fldCharType="end"/>
            </w:r>
          </w:hyperlink>
        </w:p>
        <w:p w14:paraId="2A9D37A4" w14:textId="77777777" w:rsidR="008312F7" w:rsidRPr="008312F7" w:rsidRDefault="0089780F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hyperlink w:anchor="_Toc467428483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2. ВИЗНАЧЕННЯ ПРОБЛЕМИ, НА РОЗВ’ЯЗАННЯ ЯКОЇ СПРЯМОВАНА ПРОГРАМА</w:t>
            </w:r>
            <w:r w:rsidR="008312F7" w:rsidRPr="008312F7">
              <w:rPr>
                <w:noProof/>
                <w:webHidden/>
                <w:sz w:val="28"/>
              </w:rPr>
              <w:tab/>
            </w:r>
            <w:r w:rsidR="00A93315">
              <w:rPr>
                <w:noProof/>
                <w:webHidden/>
                <w:sz w:val="28"/>
                <w:lang w:val="uk-UA"/>
              </w:rPr>
              <w:t>5</w:t>
            </w:r>
          </w:hyperlink>
        </w:p>
        <w:p w14:paraId="6C6C5B87" w14:textId="190AB8A5" w:rsidR="008312F7" w:rsidRPr="008312F7" w:rsidRDefault="0089780F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hyperlink w:anchor="_Toc467428484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3. МЕТА ПРОГРАМИ</w:t>
            </w:r>
            <w:r w:rsidR="008312F7" w:rsidRPr="008312F7">
              <w:rPr>
                <w:noProof/>
                <w:webHidden/>
                <w:sz w:val="28"/>
              </w:rPr>
              <w:tab/>
            </w:r>
            <w:r w:rsidR="00A93315">
              <w:rPr>
                <w:noProof/>
                <w:webHidden/>
                <w:sz w:val="28"/>
                <w:lang w:val="uk-UA"/>
              </w:rPr>
              <w:t>1</w:t>
            </w:r>
            <w:r w:rsidR="00D17843">
              <w:rPr>
                <w:noProof/>
                <w:webHidden/>
                <w:sz w:val="28"/>
                <w:lang w:val="uk-UA"/>
              </w:rPr>
              <w:t>3</w:t>
            </w:r>
          </w:hyperlink>
        </w:p>
        <w:p w14:paraId="140038CA" w14:textId="65927896" w:rsidR="008312F7" w:rsidRPr="008312F7" w:rsidRDefault="0089780F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hyperlink w:anchor="_Toc467428485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4. ОБҐРУНТУВАННЯ ШЛЯХІВ І ЗАСОБІВ РОЗВ’ЯЗАННЯ ПРОБЛЕМИ, ПОКАЗНИКИ РЕЗУЛЬТАТИВНОСТІ</w:t>
            </w:r>
            <w:r w:rsidR="008312F7" w:rsidRPr="008312F7">
              <w:rPr>
                <w:noProof/>
                <w:webHidden/>
                <w:sz w:val="28"/>
              </w:rPr>
              <w:tab/>
            </w:r>
            <w:r w:rsidR="00A93315">
              <w:rPr>
                <w:noProof/>
                <w:webHidden/>
                <w:sz w:val="28"/>
                <w:lang w:val="uk-UA"/>
              </w:rPr>
              <w:t>1</w:t>
            </w:r>
          </w:hyperlink>
          <w:r w:rsidR="00D17843">
            <w:rPr>
              <w:noProof/>
              <w:sz w:val="28"/>
              <w:lang w:val="uk-UA"/>
            </w:rPr>
            <w:t>3</w:t>
          </w:r>
        </w:p>
        <w:p w14:paraId="678F62D7" w14:textId="23D09E95" w:rsidR="008312F7" w:rsidRPr="008312F7" w:rsidRDefault="0089780F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hyperlink w:anchor="_Toc467428486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5. ОЧІКУВАНІ РЕЗУЛЬТАТИ ВИКОНАННЯ ПРОГРАМИ</w:t>
            </w:r>
            <w:r w:rsidR="008312F7" w:rsidRPr="008312F7">
              <w:rPr>
                <w:noProof/>
                <w:webHidden/>
                <w:sz w:val="28"/>
              </w:rPr>
              <w:tab/>
            </w:r>
            <w:r w:rsidR="00A93315">
              <w:rPr>
                <w:noProof/>
                <w:webHidden/>
                <w:sz w:val="28"/>
                <w:lang w:val="uk-UA"/>
              </w:rPr>
              <w:t>1</w:t>
            </w:r>
          </w:hyperlink>
          <w:r w:rsidR="00D17843">
            <w:rPr>
              <w:noProof/>
              <w:sz w:val="28"/>
              <w:lang w:val="uk-UA"/>
            </w:rPr>
            <w:t>4</w:t>
          </w:r>
        </w:p>
        <w:p w14:paraId="02CFBA8F" w14:textId="3205C634" w:rsidR="008312F7" w:rsidRPr="008312F7" w:rsidRDefault="0089780F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hyperlink w:anchor="_Toc467428487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6. ОБСЯГИ ТА ДЖЕРЕЛА ФІНАНСУВАННЯ ПРОГРАМИ</w:t>
            </w:r>
            <w:r w:rsidR="008312F7" w:rsidRPr="008312F7">
              <w:rPr>
                <w:noProof/>
                <w:webHidden/>
                <w:sz w:val="28"/>
              </w:rPr>
              <w:tab/>
            </w:r>
            <w:r w:rsidR="00A93315">
              <w:rPr>
                <w:noProof/>
                <w:webHidden/>
                <w:sz w:val="28"/>
                <w:lang w:val="uk-UA"/>
              </w:rPr>
              <w:t>1</w:t>
            </w:r>
          </w:hyperlink>
          <w:r w:rsidR="00D17843">
            <w:rPr>
              <w:noProof/>
              <w:sz w:val="28"/>
              <w:lang w:val="uk-UA"/>
            </w:rPr>
            <w:t>4</w:t>
          </w:r>
        </w:p>
        <w:p w14:paraId="7634BB5D" w14:textId="22917C8E" w:rsidR="008312F7" w:rsidRPr="008312F7" w:rsidRDefault="0089780F" w:rsidP="00011F7A">
          <w:pPr>
            <w:pStyle w:val="11"/>
            <w:tabs>
              <w:tab w:val="right" w:leader="dot" w:pos="9345"/>
            </w:tabs>
            <w:spacing w:after="120"/>
            <w:rPr>
              <w:rFonts w:asciiTheme="minorHAnsi" w:eastAsiaTheme="minorEastAsia" w:hAnsiTheme="minorHAnsi" w:cstheme="minorBidi"/>
              <w:iCs w:val="0"/>
              <w:noProof/>
              <w:sz w:val="28"/>
              <w:lang w:val="uk-UA" w:eastAsia="uk-UA"/>
            </w:rPr>
          </w:pPr>
          <w:hyperlink w:anchor="_Toc467428488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7. СТРОКИ ТА ЕТАПИ ВИКОНАННЯ ПРОГРАМИ</w:t>
            </w:r>
            <w:r w:rsidR="008312F7" w:rsidRPr="008312F7">
              <w:rPr>
                <w:noProof/>
                <w:webHidden/>
                <w:sz w:val="28"/>
              </w:rPr>
              <w:tab/>
            </w:r>
            <w:r w:rsidR="002A018E" w:rsidRPr="008312F7">
              <w:rPr>
                <w:noProof/>
                <w:webHidden/>
                <w:sz w:val="28"/>
              </w:rPr>
              <w:fldChar w:fldCharType="begin"/>
            </w:r>
            <w:r w:rsidR="008312F7" w:rsidRPr="008312F7">
              <w:rPr>
                <w:noProof/>
                <w:webHidden/>
                <w:sz w:val="28"/>
              </w:rPr>
              <w:instrText xml:space="preserve"> PAGEREF _Toc467428488 \h </w:instrText>
            </w:r>
            <w:r w:rsidR="002A018E" w:rsidRPr="008312F7">
              <w:rPr>
                <w:noProof/>
                <w:webHidden/>
                <w:sz w:val="28"/>
              </w:rPr>
            </w:r>
            <w:r w:rsidR="002A018E" w:rsidRPr="008312F7">
              <w:rPr>
                <w:noProof/>
                <w:webHidden/>
                <w:sz w:val="28"/>
              </w:rPr>
              <w:fldChar w:fldCharType="separate"/>
            </w:r>
            <w:r w:rsidR="00AC7DDD">
              <w:rPr>
                <w:noProof/>
                <w:webHidden/>
                <w:sz w:val="28"/>
              </w:rPr>
              <w:t>15</w:t>
            </w:r>
            <w:r w:rsidR="002A018E" w:rsidRPr="008312F7">
              <w:rPr>
                <w:noProof/>
                <w:webHidden/>
                <w:sz w:val="28"/>
              </w:rPr>
              <w:fldChar w:fldCharType="end"/>
            </w:r>
          </w:hyperlink>
        </w:p>
        <w:p w14:paraId="6004E090" w14:textId="426407E3" w:rsidR="008312F7" w:rsidRDefault="0089780F" w:rsidP="00011F7A">
          <w:pPr>
            <w:pStyle w:val="11"/>
            <w:tabs>
              <w:tab w:val="right" w:leader="dot" w:pos="9345"/>
            </w:tabs>
            <w:spacing w:after="120"/>
            <w:rPr>
              <w:noProof/>
              <w:sz w:val="28"/>
              <w:lang w:val="uk-UA"/>
            </w:rPr>
          </w:pPr>
          <w:hyperlink w:anchor="_Toc467428489" w:history="1">
            <w:r w:rsidR="008312F7" w:rsidRPr="008312F7">
              <w:rPr>
                <w:rStyle w:val="a8"/>
                <w:noProof/>
                <w:sz w:val="28"/>
                <w:lang w:val="uk-UA"/>
              </w:rPr>
              <w:t>8. КООРДИНАЦІЯ ТА КОНТРОЛЬ ЗА ХОДОМ ВИКОНАННЯМ ПРОГРАМИ</w:t>
            </w:r>
            <w:r w:rsidR="008312F7" w:rsidRPr="008312F7">
              <w:rPr>
                <w:noProof/>
                <w:webHidden/>
                <w:sz w:val="28"/>
              </w:rPr>
              <w:tab/>
            </w:r>
            <w:r w:rsidR="00A93315">
              <w:rPr>
                <w:noProof/>
                <w:webHidden/>
                <w:sz w:val="28"/>
                <w:lang w:val="uk-UA"/>
              </w:rPr>
              <w:t>1</w:t>
            </w:r>
            <w:r w:rsidR="002A018E" w:rsidRPr="008312F7">
              <w:rPr>
                <w:noProof/>
                <w:webHidden/>
                <w:sz w:val="28"/>
              </w:rPr>
              <w:fldChar w:fldCharType="begin"/>
            </w:r>
            <w:r w:rsidR="008312F7" w:rsidRPr="008312F7">
              <w:rPr>
                <w:noProof/>
                <w:webHidden/>
                <w:sz w:val="28"/>
              </w:rPr>
              <w:instrText xml:space="preserve"> PAGEREF _Toc467428489 \h </w:instrText>
            </w:r>
            <w:r w:rsidR="002A018E" w:rsidRPr="008312F7">
              <w:rPr>
                <w:noProof/>
                <w:webHidden/>
                <w:sz w:val="28"/>
              </w:rPr>
            </w:r>
            <w:r w:rsidR="002A018E" w:rsidRPr="008312F7">
              <w:rPr>
                <w:noProof/>
                <w:webHidden/>
                <w:sz w:val="28"/>
              </w:rPr>
              <w:fldChar w:fldCharType="separate"/>
            </w:r>
            <w:r w:rsidR="00AC7DDD">
              <w:rPr>
                <w:noProof/>
                <w:webHidden/>
                <w:sz w:val="28"/>
              </w:rPr>
              <w:t>15</w:t>
            </w:r>
            <w:r w:rsidR="002A018E" w:rsidRPr="008312F7">
              <w:rPr>
                <w:noProof/>
                <w:webHidden/>
                <w:sz w:val="28"/>
              </w:rPr>
              <w:fldChar w:fldCharType="end"/>
            </w:r>
          </w:hyperlink>
        </w:p>
        <w:p w14:paraId="3627D5F2" w14:textId="218B753C" w:rsidR="00011F7A" w:rsidRDefault="00011F7A" w:rsidP="00011F7A">
          <w:pPr>
            <w:spacing w:after="120"/>
            <w:rPr>
              <w:rFonts w:eastAsiaTheme="minorEastAsia"/>
              <w:sz w:val="28"/>
              <w:lang w:val="uk-UA"/>
            </w:rPr>
          </w:pPr>
          <w:r w:rsidRPr="00011F7A">
            <w:rPr>
              <w:rFonts w:eastAsiaTheme="minorEastAsia"/>
              <w:sz w:val="28"/>
              <w:lang w:val="uk-UA"/>
            </w:rPr>
            <w:t xml:space="preserve">9. ДОДАТОК </w:t>
          </w:r>
          <w:r>
            <w:rPr>
              <w:rFonts w:eastAsiaTheme="minorEastAsia"/>
              <w:sz w:val="28"/>
              <w:lang w:val="uk-UA"/>
            </w:rPr>
            <w:t>А</w:t>
          </w:r>
          <w:r w:rsidRPr="00011F7A">
            <w:rPr>
              <w:rFonts w:eastAsiaTheme="minorEastAsia"/>
              <w:sz w:val="22"/>
              <w:szCs w:val="22"/>
              <w:lang w:val="uk-UA"/>
            </w:rPr>
            <w:t>………………………………………………………………</w:t>
          </w:r>
          <w:r>
            <w:rPr>
              <w:rFonts w:eastAsiaTheme="minorEastAsia"/>
              <w:sz w:val="22"/>
              <w:szCs w:val="22"/>
              <w:lang w:val="uk-UA"/>
            </w:rPr>
            <w:t>…………………..</w:t>
          </w:r>
          <w:r w:rsidRPr="00011F7A">
            <w:rPr>
              <w:rFonts w:eastAsiaTheme="minorEastAsia"/>
              <w:sz w:val="22"/>
              <w:szCs w:val="22"/>
              <w:lang w:val="uk-UA"/>
            </w:rPr>
            <w:t>…</w:t>
          </w:r>
          <w:r w:rsidR="00117536">
            <w:rPr>
              <w:rFonts w:eastAsiaTheme="minorEastAsia"/>
              <w:sz w:val="28"/>
              <w:lang w:val="uk-UA"/>
            </w:rPr>
            <w:t>1</w:t>
          </w:r>
          <w:r w:rsidR="00D17843">
            <w:rPr>
              <w:rFonts w:eastAsiaTheme="minorEastAsia"/>
              <w:sz w:val="28"/>
              <w:lang w:val="uk-UA"/>
            </w:rPr>
            <w:t>7</w:t>
          </w:r>
        </w:p>
        <w:p w14:paraId="31477264" w14:textId="76A912ED" w:rsidR="00A93315" w:rsidRPr="00D17843" w:rsidRDefault="00011F7A" w:rsidP="00011F7A">
          <w:pPr>
            <w:spacing w:after="120"/>
            <w:rPr>
              <w:lang w:val="uk-UA"/>
            </w:rPr>
          </w:pPr>
          <w:r>
            <w:rPr>
              <w:rFonts w:eastAsiaTheme="minorEastAsia"/>
              <w:sz w:val="28"/>
              <w:lang w:val="uk-UA"/>
            </w:rPr>
            <w:t xml:space="preserve">10. </w:t>
          </w:r>
          <w:r w:rsidRPr="00011F7A">
            <w:rPr>
              <w:rFonts w:eastAsiaTheme="minorEastAsia"/>
              <w:sz w:val="28"/>
              <w:lang w:val="uk-UA"/>
            </w:rPr>
            <w:t xml:space="preserve">ДОДАТОК </w:t>
          </w:r>
          <w:r>
            <w:rPr>
              <w:rFonts w:eastAsiaTheme="minorEastAsia"/>
              <w:sz w:val="28"/>
              <w:lang w:val="uk-UA"/>
            </w:rPr>
            <w:t>Б</w:t>
          </w:r>
          <w:r w:rsidRPr="00011F7A">
            <w:rPr>
              <w:rFonts w:eastAsiaTheme="minorEastAsia"/>
              <w:sz w:val="22"/>
              <w:szCs w:val="22"/>
              <w:lang w:val="uk-UA"/>
            </w:rPr>
            <w:t>……………………………………………………………</w:t>
          </w:r>
          <w:r>
            <w:rPr>
              <w:rFonts w:eastAsiaTheme="minorEastAsia"/>
              <w:sz w:val="22"/>
              <w:szCs w:val="22"/>
              <w:lang w:val="uk-UA"/>
            </w:rPr>
            <w:t>…………………....</w:t>
          </w:r>
          <w:r w:rsidRPr="00011F7A">
            <w:rPr>
              <w:rFonts w:eastAsiaTheme="minorEastAsia"/>
              <w:sz w:val="22"/>
              <w:szCs w:val="22"/>
              <w:lang w:val="uk-UA"/>
            </w:rPr>
            <w:t>…</w:t>
          </w:r>
          <w:r w:rsidR="00D17843">
            <w:rPr>
              <w:rFonts w:eastAsiaTheme="minorEastAsia"/>
              <w:sz w:val="28"/>
              <w:lang w:val="uk-UA"/>
            </w:rPr>
            <w:t>84</w:t>
          </w:r>
          <w:r w:rsidR="002A018E">
            <w:fldChar w:fldCharType="end"/>
          </w:r>
        </w:p>
        <w:p w14:paraId="1CFC3920" w14:textId="1AAB0F3D" w:rsidR="00E63D0D" w:rsidRPr="00A93315" w:rsidRDefault="002A018E" w:rsidP="00011F7A">
          <w:pPr>
            <w:spacing w:after="120"/>
            <w:rPr>
              <w:color w:val="000000" w:themeColor="text1"/>
            </w:rPr>
          </w:pPr>
          <w:r w:rsidRPr="002A018E">
            <w:rPr>
              <w:color w:val="000000" w:themeColor="text1"/>
              <w:sz w:val="28"/>
              <w:lang w:val="uk-UA"/>
            </w:rPr>
            <w:t>11. ДОДАТОК В…............................................................................................</w:t>
          </w:r>
          <w:r w:rsidR="00F51DB3">
            <w:rPr>
              <w:color w:val="000000" w:themeColor="text1"/>
              <w:sz w:val="28"/>
              <w:lang w:val="uk-UA"/>
            </w:rPr>
            <w:t>...</w:t>
          </w:r>
          <w:r w:rsidRPr="002A018E">
            <w:rPr>
              <w:color w:val="000000" w:themeColor="text1"/>
              <w:sz w:val="28"/>
              <w:lang w:val="uk-UA"/>
            </w:rPr>
            <w:t>.</w:t>
          </w:r>
          <w:r w:rsidR="00F51DB3" w:rsidRPr="00F51DB3">
            <w:rPr>
              <w:color w:val="000000" w:themeColor="text1"/>
              <w:sz w:val="28"/>
              <w:lang w:val="uk-UA"/>
            </w:rPr>
            <w:t>86</w:t>
          </w:r>
        </w:p>
      </w:sdtContent>
    </w:sdt>
    <w:p w14:paraId="13284F74" w14:textId="77777777" w:rsidR="00CA4D3C" w:rsidRPr="008C348C" w:rsidRDefault="00CA4D3C" w:rsidP="00E20F37">
      <w:pPr>
        <w:spacing w:line="276" w:lineRule="auto"/>
        <w:jc w:val="center"/>
        <w:rPr>
          <w:b/>
          <w:color w:val="000000"/>
          <w:sz w:val="28"/>
          <w:lang w:val="uk-UA"/>
        </w:rPr>
      </w:pPr>
    </w:p>
    <w:p w14:paraId="0C7CCBEB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AA7A162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7BE6EA1D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64B05F9B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5D50ADED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7B2D3728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10AA0679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65C71D0E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2B29EC5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3981A8A2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3E2F2A1D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326F7D84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7A2F08C4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797042E8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62C3BA49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9CE740A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50465E3A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3699B28F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4163E979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31009269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7DFD9C9C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56DFE0B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67B798BA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96B0246" w14:textId="77777777"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6942DDB7" w14:textId="77777777" w:rsidR="00CA4D3C" w:rsidRPr="008C348C" w:rsidRDefault="008312F7" w:rsidP="008312F7">
      <w:pPr>
        <w:pStyle w:val="1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0" w:name="_Toc467428482"/>
      <w:r>
        <w:rPr>
          <w:rFonts w:ascii="Times New Roman" w:eastAsia="Times New Roman" w:hAnsi="Times New Roman" w:cs="Times New Roman"/>
          <w:bCs w:val="0"/>
          <w:color w:val="000000"/>
          <w:lang w:val="uk-UA"/>
        </w:rPr>
        <w:lastRenderedPageBreak/>
        <w:t xml:space="preserve">1. </w:t>
      </w:r>
      <w:r w:rsidR="00E63D0D">
        <w:rPr>
          <w:rFonts w:ascii="Times New Roman" w:eastAsia="Times New Roman" w:hAnsi="Times New Roman" w:cs="Times New Roman"/>
          <w:color w:val="auto"/>
          <w:lang w:val="uk-UA"/>
        </w:rPr>
        <w:t>ПАСПОРТ ПРОГРАМИ</w:t>
      </w:r>
      <w:bookmarkEnd w:id="0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80"/>
        <w:gridCol w:w="1492"/>
        <w:gridCol w:w="1418"/>
        <w:gridCol w:w="2126"/>
      </w:tblGrid>
      <w:tr w:rsidR="00E63D0D" w:rsidRPr="00183FFF" w14:paraId="7EE55D28" w14:textId="77777777" w:rsidTr="00E322BF">
        <w:tc>
          <w:tcPr>
            <w:tcW w:w="648" w:type="dxa"/>
            <w:shd w:val="clear" w:color="auto" w:fill="DBE5F1" w:themeFill="accent1" w:themeFillTint="33"/>
          </w:tcPr>
          <w:p w14:paraId="4540AEB7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 xml:space="preserve">1. 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5D7B7846" w14:textId="77777777" w:rsidR="00E63D0D" w:rsidRPr="00E322BF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Назва програми</w:t>
            </w:r>
          </w:p>
        </w:tc>
        <w:tc>
          <w:tcPr>
            <w:tcW w:w="5036" w:type="dxa"/>
            <w:gridSpan w:val="3"/>
          </w:tcPr>
          <w:p w14:paraId="64C1EE71" w14:textId="536B5346" w:rsidR="00E63D0D" w:rsidRPr="00DD43A5" w:rsidRDefault="00E63D0D" w:rsidP="002354BA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М</w:t>
            </w:r>
            <w:r w:rsidRPr="00183FFF">
              <w:rPr>
                <w:bCs/>
                <w:color w:val="000000"/>
                <w:lang w:val="uk-UA"/>
              </w:rPr>
              <w:t>іськ</w:t>
            </w:r>
            <w:r>
              <w:rPr>
                <w:bCs/>
                <w:color w:val="000000"/>
                <w:lang w:val="uk-UA"/>
              </w:rPr>
              <w:t>а</w:t>
            </w:r>
            <w:r w:rsidRPr="00183FFF">
              <w:rPr>
                <w:bCs/>
                <w:color w:val="000000"/>
                <w:lang w:val="uk-UA"/>
              </w:rPr>
              <w:t xml:space="preserve"> цільов</w:t>
            </w:r>
            <w:r>
              <w:rPr>
                <w:bCs/>
                <w:color w:val="000000"/>
                <w:lang w:val="uk-UA"/>
              </w:rPr>
              <w:t xml:space="preserve">а </w:t>
            </w:r>
            <w:r w:rsidRPr="00183FFF">
              <w:rPr>
                <w:bCs/>
                <w:color w:val="000000"/>
                <w:lang w:val="uk-UA"/>
              </w:rPr>
              <w:t>програм</w:t>
            </w:r>
            <w:r>
              <w:rPr>
                <w:bCs/>
                <w:color w:val="000000"/>
                <w:lang w:val="uk-UA"/>
              </w:rPr>
              <w:t>а</w:t>
            </w:r>
            <w:r w:rsidRPr="00183FFF">
              <w:rPr>
                <w:bCs/>
                <w:color w:val="000000"/>
                <w:lang w:val="uk-UA"/>
              </w:rPr>
              <w:t xml:space="preserve"> </w:t>
            </w:r>
            <w:r w:rsidR="002354BA" w:rsidRPr="002354BA">
              <w:rPr>
                <w:bCs/>
                <w:color w:val="000000"/>
                <w:lang w:val="uk-UA"/>
              </w:rPr>
              <w:t xml:space="preserve">«Муніципальний енергетичний план території Житомирської міської </w:t>
            </w:r>
            <w:r w:rsidR="002354BA">
              <w:rPr>
                <w:bCs/>
                <w:color w:val="000000"/>
                <w:lang w:val="uk-UA"/>
              </w:rPr>
              <w:t>т</w:t>
            </w:r>
            <w:r w:rsidR="002354BA" w:rsidRPr="002354BA">
              <w:rPr>
                <w:bCs/>
                <w:color w:val="000000"/>
                <w:lang w:val="uk-UA"/>
              </w:rPr>
              <w:t>ериторіальної громади на 2021-202</w:t>
            </w:r>
            <w:r w:rsidR="0010100A">
              <w:rPr>
                <w:bCs/>
                <w:color w:val="000000"/>
                <w:lang w:val="uk-UA"/>
              </w:rPr>
              <w:t>5</w:t>
            </w:r>
            <w:r w:rsidR="002354BA" w:rsidRPr="002354BA">
              <w:rPr>
                <w:bCs/>
                <w:color w:val="000000"/>
                <w:lang w:val="uk-UA"/>
              </w:rPr>
              <w:t xml:space="preserve"> роки»</w:t>
            </w:r>
            <w:r w:rsidR="00DD43A5" w:rsidRPr="00DD43A5">
              <w:rPr>
                <w:bCs/>
                <w:color w:val="000000"/>
              </w:rPr>
              <w:t xml:space="preserve"> (</w:t>
            </w:r>
            <w:r w:rsidR="00DD43A5">
              <w:rPr>
                <w:bCs/>
                <w:color w:val="000000"/>
                <w:lang w:val="uk-UA"/>
              </w:rPr>
              <w:t>далі – «Програма»</w:t>
            </w:r>
            <w:r w:rsidR="00DD43A5" w:rsidRPr="00DD43A5">
              <w:rPr>
                <w:bCs/>
                <w:color w:val="000000"/>
              </w:rPr>
              <w:t>)</w:t>
            </w:r>
          </w:p>
        </w:tc>
      </w:tr>
      <w:tr w:rsidR="00E63D0D" w:rsidRPr="008C348C" w14:paraId="76AB17B1" w14:textId="77777777" w:rsidTr="00E322BF">
        <w:tc>
          <w:tcPr>
            <w:tcW w:w="648" w:type="dxa"/>
            <w:shd w:val="clear" w:color="auto" w:fill="DBE5F1" w:themeFill="accent1" w:themeFillTint="33"/>
          </w:tcPr>
          <w:p w14:paraId="4033CE41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2.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1E7C5DDF" w14:textId="77777777" w:rsidR="00E63D0D" w:rsidRPr="00E322BF" w:rsidRDefault="00E63D0D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Ініціатор розроблення Програми</w:t>
            </w:r>
          </w:p>
        </w:tc>
        <w:tc>
          <w:tcPr>
            <w:tcW w:w="5036" w:type="dxa"/>
            <w:gridSpan w:val="3"/>
          </w:tcPr>
          <w:p w14:paraId="2429E7B7" w14:textId="77777777" w:rsidR="00E63D0D" w:rsidRPr="00183FFF" w:rsidRDefault="00E63D0D" w:rsidP="00E63D0D">
            <w:pPr>
              <w:rPr>
                <w:color w:val="000000"/>
                <w:szCs w:val="24"/>
                <w:lang w:val="uk-UA"/>
              </w:rPr>
            </w:pPr>
            <w:r w:rsidRPr="00286052">
              <w:rPr>
                <w:color w:val="000000"/>
                <w:szCs w:val="24"/>
                <w:lang w:val="uk-UA"/>
              </w:rPr>
              <w:t xml:space="preserve">Департамент економічного розвитку міської ради </w:t>
            </w:r>
          </w:p>
        </w:tc>
      </w:tr>
      <w:tr w:rsidR="00E63D0D" w:rsidRPr="008C348C" w14:paraId="0B4FD89A" w14:textId="77777777" w:rsidTr="00E322BF">
        <w:tc>
          <w:tcPr>
            <w:tcW w:w="648" w:type="dxa"/>
            <w:shd w:val="clear" w:color="auto" w:fill="DBE5F1" w:themeFill="accent1" w:themeFillTint="33"/>
          </w:tcPr>
          <w:p w14:paraId="1CB8D4B1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 xml:space="preserve">3. 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79C459A6" w14:textId="77777777" w:rsidR="00E63D0D" w:rsidRPr="00E322BF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036" w:type="dxa"/>
            <w:gridSpan w:val="3"/>
          </w:tcPr>
          <w:p w14:paraId="7CB01CDA" w14:textId="77777777" w:rsidR="00E63D0D" w:rsidRPr="0066431E" w:rsidRDefault="0023587D" w:rsidP="00E63D0D">
            <w:pPr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Розпорядження міського голови від 20.08.2020 №707 «Про затвердження заходів».</w:t>
            </w:r>
          </w:p>
        </w:tc>
      </w:tr>
      <w:tr w:rsidR="00E63D0D" w:rsidRPr="008C348C" w14:paraId="1946F915" w14:textId="77777777" w:rsidTr="00E322BF">
        <w:tc>
          <w:tcPr>
            <w:tcW w:w="648" w:type="dxa"/>
            <w:shd w:val="clear" w:color="auto" w:fill="DBE5F1" w:themeFill="accent1" w:themeFillTint="33"/>
          </w:tcPr>
          <w:p w14:paraId="113533BC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4.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410E7815" w14:textId="77777777" w:rsidR="00E63D0D" w:rsidRPr="00E322BF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Головний розробник Програми</w:t>
            </w:r>
          </w:p>
        </w:tc>
        <w:tc>
          <w:tcPr>
            <w:tcW w:w="5036" w:type="dxa"/>
            <w:gridSpan w:val="3"/>
          </w:tcPr>
          <w:p w14:paraId="63218DBA" w14:textId="77777777" w:rsidR="00E63D0D" w:rsidRPr="008C348C" w:rsidRDefault="00E63D0D" w:rsidP="00E63D0D">
            <w:pPr>
              <w:jc w:val="both"/>
              <w:rPr>
                <w:bCs/>
                <w:color w:val="000000"/>
                <w:lang w:val="uk-UA"/>
              </w:rPr>
            </w:pPr>
            <w:r w:rsidRPr="00286052">
              <w:rPr>
                <w:color w:val="000000"/>
                <w:szCs w:val="24"/>
                <w:lang w:val="uk-UA"/>
              </w:rPr>
              <w:t>Департамент економічного розвитку міської ради</w:t>
            </w:r>
          </w:p>
        </w:tc>
      </w:tr>
      <w:tr w:rsidR="00E63D0D" w:rsidRPr="00583A82" w14:paraId="76535542" w14:textId="77777777" w:rsidTr="00E322BF">
        <w:tc>
          <w:tcPr>
            <w:tcW w:w="648" w:type="dxa"/>
            <w:shd w:val="clear" w:color="auto" w:fill="DBE5F1" w:themeFill="accent1" w:themeFillTint="33"/>
          </w:tcPr>
          <w:p w14:paraId="52CE4C4E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5.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4F523695" w14:textId="77777777" w:rsidR="00E63D0D" w:rsidRPr="00E322BF" w:rsidRDefault="00E63D0D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Співрозробники Програми</w:t>
            </w:r>
          </w:p>
        </w:tc>
        <w:tc>
          <w:tcPr>
            <w:tcW w:w="5036" w:type="dxa"/>
            <w:gridSpan w:val="3"/>
          </w:tcPr>
          <w:p w14:paraId="2004E1B3" w14:textId="77777777" w:rsidR="00E63D0D" w:rsidRPr="00286052" w:rsidRDefault="00E63D0D" w:rsidP="00E63D0D">
            <w:pPr>
              <w:jc w:val="both"/>
              <w:rPr>
                <w:color w:val="000000"/>
                <w:szCs w:val="24"/>
                <w:lang w:val="uk-UA"/>
              </w:rPr>
            </w:pPr>
            <w:r w:rsidRPr="00286052">
              <w:rPr>
                <w:color w:val="000000"/>
                <w:szCs w:val="24"/>
                <w:lang w:val="uk-UA"/>
              </w:rPr>
              <w:t>Виконавчі органи міської ради, комунальні підприємства</w:t>
            </w:r>
            <w:r w:rsidR="002354BA">
              <w:rPr>
                <w:color w:val="000000"/>
                <w:szCs w:val="24"/>
                <w:lang w:val="uk-UA"/>
              </w:rPr>
              <w:t>, установи та організації</w:t>
            </w:r>
            <w:r w:rsidRPr="00286052">
              <w:rPr>
                <w:color w:val="000000"/>
                <w:szCs w:val="24"/>
                <w:lang w:val="uk-UA"/>
              </w:rPr>
              <w:t xml:space="preserve"> Житомирської міської ради</w:t>
            </w:r>
          </w:p>
        </w:tc>
      </w:tr>
      <w:tr w:rsidR="00E63D0D" w:rsidRPr="004503CA" w14:paraId="1447FE3B" w14:textId="77777777" w:rsidTr="00E322BF">
        <w:tc>
          <w:tcPr>
            <w:tcW w:w="648" w:type="dxa"/>
            <w:shd w:val="clear" w:color="auto" w:fill="DBE5F1" w:themeFill="accent1" w:themeFillTint="33"/>
          </w:tcPr>
          <w:p w14:paraId="75FABEE2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6.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2F79D253" w14:textId="77777777" w:rsidR="00E63D0D" w:rsidRPr="00E322BF" w:rsidRDefault="00E63D0D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Відповідальний виконавець програми</w:t>
            </w:r>
          </w:p>
        </w:tc>
        <w:tc>
          <w:tcPr>
            <w:tcW w:w="5036" w:type="dxa"/>
            <w:gridSpan w:val="3"/>
          </w:tcPr>
          <w:p w14:paraId="6F86751E" w14:textId="77777777" w:rsidR="00E63D0D" w:rsidRPr="00286052" w:rsidRDefault="00E63D0D" w:rsidP="00E63D0D">
            <w:pPr>
              <w:jc w:val="both"/>
              <w:rPr>
                <w:color w:val="000000"/>
                <w:szCs w:val="24"/>
                <w:lang w:val="uk-UA"/>
              </w:rPr>
            </w:pPr>
            <w:r w:rsidRPr="00286052">
              <w:rPr>
                <w:color w:val="000000"/>
                <w:szCs w:val="24"/>
                <w:lang w:val="uk-UA"/>
              </w:rPr>
              <w:t>Департамент економічного розвитку міської ради</w:t>
            </w:r>
          </w:p>
        </w:tc>
      </w:tr>
      <w:tr w:rsidR="00E63D0D" w:rsidRPr="00583A82" w14:paraId="084A721C" w14:textId="77777777" w:rsidTr="00E322BF">
        <w:tc>
          <w:tcPr>
            <w:tcW w:w="648" w:type="dxa"/>
            <w:shd w:val="clear" w:color="auto" w:fill="DBE5F1" w:themeFill="accent1" w:themeFillTint="33"/>
          </w:tcPr>
          <w:p w14:paraId="28F0DA80" w14:textId="77777777"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7.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3AFB3BC3" w14:textId="77777777" w:rsidR="00E63D0D" w:rsidRPr="00E322BF" w:rsidRDefault="00E63D0D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Співвиконавці програми</w:t>
            </w:r>
          </w:p>
        </w:tc>
        <w:tc>
          <w:tcPr>
            <w:tcW w:w="5036" w:type="dxa"/>
            <w:gridSpan w:val="3"/>
          </w:tcPr>
          <w:p w14:paraId="53308AD2" w14:textId="77777777" w:rsidR="00E63D0D" w:rsidRPr="00286052" w:rsidRDefault="00E63D0D" w:rsidP="00E63D0D">
            <w:pPr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В</w:t>
            </w:r>
            <w:r w:rsidRPr="00E63D0D">
              <w:rPr>
                <w:color w:val="000000"/>
                <w:szCs w:val="24"/>
                <w:lang w:val="uk-UA"/>
              </w:rPr>
              <w:t>иконавчі органи міської ради, комунальні підприємства</w:t>
            </w:r>
            <w:r w:rsidR="002354BA">
              <w:rPr>
                <w:color w:val="000000"/>
                <w:szCs w:val="24"/>
                <w:lang w:val="uk-UA"/>
              </w:rPr>
              <w:t>,</w:t>
            </w:r>
            <w:r w:rsidRPr="00E63D0D">
              <w:rPr>
                <w:color w:val="000000"/>
                <w:szCs w:val="24"/>
                <w:lang w:val="uk-UA"/>
              </w:rPr>
              <w:t xml:space="preserve"> </w:t>
            </w:r>
            <w:r w:rsidR="002354BA" w:rsidRPr="00286052">
              <w:rPr>
                <w:color w:val="000000"/>
                <w:szCs w:val="24"/>
                <w:lang w:val="uk-UA"/>
              </w:rPr>
              <w:t>комунальні підприємства</w:t>
            </w:r>
            <w:r w:rsidR="002354BA">
              <w:rPr>
                <w:color w:val="000000"/>
                <w:szCs w:val="24"/>
                <w:lang w:val="uk-UA"/>
              </w:rPr>
              <w:t>, установи та організації</w:t>
            </w:r>
            <w:r w:rsidR="002354BA" w:rsidRPr="00286052">
              <w:rPr>
                <w:color w:val="000000"/>
                <w:szCs w:val="24"/>
                <w:lang w:val="uk-UA"/>
              </w:rPr>
              <w:t xml:space="preserve"> Житомирської міської ради</w:t>
            </w:r>
          </w:p>
        </w:tc>
      </w:tr>
      <w:tr w:rsidR="00E322BF" w:rsidRPr="004503CA" w14:paraId="537FADC0" w14:textId="77777777" w:rsidTr="00E322BF">
        <w:tc>
          <w:tcPr>
            <w:tcW w:w="648" w:type="dxa"/>
            <w:shd w:val="clear" w:color="auto" w:fill="DBE5F1" w:themeFill="accent1" w:themeFillTint="33"/>
          </w:tcPr>
          <w:p w14:paraId="2B084B27" w14:textId="77777777" w:rsidR="00E322BF" w:rsidRPr="00E322BF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8.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7837ECBC" w14:textId="77777777" w:rsidR="00E322BF" w:rsidRPr="00E322BF" w:rsidRDefault="00E322BF" w:rsidP="006A3EC7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5036" w:type="dxa"/>
            <w:gridSpan w:val="3"/>
          </w:tcPr>
          <w:p w14:paraId="1481D2C6" w14:textId="57668B61" w:rsidR="00E322BF" w:rsidRPr="00286052" w:rsidRDefault="00E322BF" w:rsidP="00ED0AD9">
            <w:pPr>
              <w:rPr>
                <w:color w:val="000000"/>
                <w:szCs w:val="24"/>
                <w:lang w:val="uk-UA"/>
              </w:rPr>
            </w:pPr>
            <w:r w:rsidRPr="00286052">
              <w:rPr>
                <w:color w:val="000000"/>
                <w:szCs w:val="24"/>
                <w:lang w:val="uk-UA"/>
              </w:rPr>
              <w:t>20</w:t>
            </w:r>
            <w:r w:rsidR="002354BA">
              <w:rPr>
                <w:color w:val="000000"/>
                <w:szCs w:val="24"/>
                <w:lang w:val="uk-UA"/>
              </w:rPr>
              <w:t>21</w:t>
            </w:r>
            <w:r w:rsidR="00ED0AD9">
              <w:rPr>
                <w:color w:val="000000"/>
                <w:szCs w:val="24"/>
                <w:lang w:val="uk-UA"/>
              </w:rPr>
              <w:t>-202</w:t>
            </w:r>
            <w:r w:rsidR="0010100A">
              <w:rPr>
                <w:color w:val="000000"/>
                <w:szCs w:val="24"/>
                <w:lang w:val="uk-UA"/>
              </w:rPr>
              <w:t>5</w:t>
            </w:r>
            <w:r w:rsidRPr="00286052">
              <w:rPr>
                <w:color w:val="000000"/>
                <w:szCs w:val="24"/>
                <w:lang w:val="uk-UA"/>
              </w:rPr>
              <w:t xml:space="preserve"> роки</w:t>
            </w:r>
          </w:p>
        </w:tc>
      </w:tr>
      <w:tr w:rsidR="00E322BF" w:rsidRPr="00583A82" w14:paraId="4A274001" w14:textId="77777777" w:rsidTr="00E322BF">
        <w:tc>
          <w:tcPr>
            <w:tcW w:w="648" w:type="dxa"/>
            <w:shd w:val="clear" w:color="auto" w:fill="DBE5F1" w:themeFill="accent1" w:themeFillTint="33"/>
          </w:tcPr>
          <w:p w14:paraId="643984F3" w14:textId="77777777" w:rsidR="00E322BF" w:rsidRPr="00E322BF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9.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0DAE5531" w14:textId="77777777" w:rsidR="00E322BF" w:rsidRPr="00E322BF" w:rsidRDefault="00E322BF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Мета Програми</w:t>
            </w:r>
          </w:p>
        </w:tc>
        <w:tc>
          <w:tcPr>
            <w:tcW w:w="5036" w:type="dxa"/>
            <w:gridSpan w:val="3"/>
          </w:tcPr>
          <w:p w14:paraId="7406F664" w14:textId="510A2B6E" w:rsidR="00E322BF" w:rsidRPr="00286052" w:rsidRDefault="00E322BF" w:rsidP="00DD1F0D">
            <w:pPr>
              <w:widowControl w:val="0"/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Д</w:t>
            </w:r>
            <w:r w:rsidRPr="00E322BF">
              <w:rPr>
                <w:color w:val="000000"/>
                <w:szCs w:val="24"/>
                <w:lang w:val="uk-UA"/>
              </w:rPr>
              <w:t>осягнення балансу між обсягом спожитих традиційних видів палива на території Житомир</w:t>
            </w:r>
            <w:r w:rsidR="00181DB3">
              <w:rPr>
                <w:color w:val="000000"/>
                <w:szCs w:val="24"/>
                <w:lang w:val="uk-UA"/>
              </w:rPr>
              <w:t>ської громади</w:t>
            </w:r>
            <w:r w:rsidRPr="00E322BF">
              <w:rPr>
                <w:color w:val="000000"/>
                <w:szCs w:val="24"/>
                <w:lang w:val="uk-UA"/>
              </w:rPr>
              <w:t xml:space="preserve"> та обсягом виробленої на території </w:t>
            </w:r>
            <w:r w:rsidR="00181DB3">
              <w:rPr>
                <w:color w:val="000000"/>
                <w:szCs w:val="24"/>
                <w:lang w:val="uk-UA"/>
              </w:rPr>
              <w:t>громади</w:t>
            </w:r>
            <w:r w:rsidRPr="00E322BF">
              <w:rPr>
                <w:color w:val="000000"/>
                <w:szCs w:val="24"/>
                <w:lang w:val="uk-UA"/>
              </w:rPr>
              <w:t xml:space="preserve"> енергії з альтернативних та відновлюваних джерел енергії</w:t>
            </w:r>
          </w:p>
        </w:tc>
      </w:tr>
      <w:tr w:rsidR="0055594A" w:rsidRPr="008C348C" w14:paraId="555A6E95" w14:textId="77777777" w:rsidTr="0055594A">
        <w:trPr>
          <w:cantSplit/>
          <w:trHeight w:val="878"/>
        </w:trPr>
        <w:tc>
          <w:tcPr>
            <w:tcW w:w="648" w:type="dxa"/>
            <w:vMerge w:val="restart"/>
            <w:shd w:val="clear" w:color="auto" w:fill="DBE5F1" w:themeFill="accent1" w:themeFillTint="33"/>
          </w:tcPr>
          <w:p w14:paraId="5ECF52EF" w14:textId="77777777" w:rsidR="0055594A" w:rsidRPr="00E322BF" w:rsidRDefault="0055594A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10.</w:t>
            </w:r>
          </w:p>
        </w:tc>
        <w:tc>
          <w:tcPr>
            <w:tcW w:w="3780" w:type="dxa"/>
            <w:vMerge w:val="restart"/>
            <w:shd w:val="clear" w:color="auto" w:fill="DBE5F1" w:themeFill="accent1" w:themeFillTint="33"/>
          </w:tcPr>
          <w:p w14:paraId="52AD7C3B" w14:textId="77777777" w:rsidR="0055594A" w:rsidRPr="00E322BF" w:rsidRDefault="0055594A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  <w:p w14:paraId="6483C25E" w14:textId="77777777" w:rsidR="0055594A" w:rsidRPr="00E322BF" w:rsidRDefault="0055594A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в тому числі:</w:t>
            </w:r>
          </w:p>
          <w:p w14:paraId="2DC46F4F" w14:textId="77777777" w:rsidR="0055594A" w:rsidRPr="00E322BF" w:rsidRDefault="0055594A" w:rsidP="00E322BF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кошти міського бюджету</w:t>
            </w:r>
          </w:p>
          <w:p w14:paraId="63EEF766" w14:textId="77777777" w:rsidR="0055594A" w:rsidRPr="00E322BF" w:rsidRDefault="0055594A" w:rsidP="00E322BF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кошти державного бюджету</w:t>
            </w:r>
          </w:p>
          <w:p w14:paraId="6195EBC1" w14:textId="77777777" w:rsidR="0055594A" w:rsidRPr="00E322BF" w:rsidRDefault="0055594A" w:rsidP="00E322BF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кошти позабюджетних джерел</w:t>
            </w:r>
          </w:p>
        </w:tc>
        <w:tc>
          <w:tcPr>
            <w:tcW w:w="5036" w:type="dxa"/>
            <w:gridSpan w:val="3"/>
          </w:tcPr>
          <w:p w14:paraId="4F8233F0" w14:textId="402F12F1" w:rsidR="0055594A" w:rsidRDefault="0055594A" w:rsidP="0055594A">
            <w:pPr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Загальний обсяг фінансових ресурсів для реалізації Програми </w:t>
            </w:r>
            <w:r w:rsidR="00ED2646">
              <w:rPr>
                <w:szCs w:val="24"/>
                <w:lang w:val="uk-UA"/>
              </w:rPr>
              <w:t xml:space="preserve">– </w:t>
            </w:r>
            <w:r w:rsidR="003B7758" w:rsidRPr="003B7758">
              <w:rPr>
                <w:szCs w:val="24"/>
                <w:lang w:val="uk-UA"/>
              </w:rPr>
              <w:t>1</w:t>
            </w:r>
            <w:r w:rsidR="003B7758">
              <w:rPr>
                <w:szCs w:val="24"/>
                <w:lang w:val="uk-UA"/>
              </w:rPr>
              <w:t> </w:t>
            </w:r>
            <w:r w:rsidR="003B7758" w:rsidRPr="003B7758">
              <w:rPr>
                <w:szCs w:val="24"/>
                <w:lang w:val="uk-UA"/>
              </w:rPr>
              <w:t>0</w:t>
            </w:r>
            <w:r w:rsidR="00175F96">
              <w:rPr>
                <w:szCs w:val="24"/>
                <w:lang w:val="uk-UA"/>
              </w:rPr>
              <w:t>00</w:t>
            </w:r>
            <w:r w:rsidR="003B7758">
              <w:rPr>
                <w:szCs w:val="24"/>
                <w:lang w:val="uk-UA"/>
              </w:rPr>
              <w:t> </w:t>
            </w:r>
            <w:r w:rsidR="00175F96">
              <w:rPr>
                <w:szCs w:val="24"/>
                <w:lang w:val="uk-UA"/>
              </w:rPr>
              <w:t>431</w:t>
            </w:r>
            <w:r w:rsidR="003B7758" w:rsidRPr="003B7758">
              <w:rPr>
                <w:szCs w:val="24"/>
                <w:lang w:val="uk-UA"/>
              </w:rPr>
              <w:t>,</w:t>
            </w:r>
            <w:r w:rsidR="00175F96">
              <w:rPr>
                <w:szCs w:val="24"/>
                <w:lang w:val="uk-UA"/>
              </w:rPr>
              <w:t>7</w:t>
            </w:r>
            <w:r w:rsidR="002A3751" w:rsidRPr="003B7758">
              <w:rPr>
                <w:szCs w:val="24"/>
                <w:lang w:val="uk-UA"/>
              </w:rPr>
              <w:t xml:space="preserve"> </w:t>
            </w:r>
            <w:r w:rsidR="002A3751" w:rsidRPr="002A3751">
              <w:rPr>
                <w:szCs w:val="24"/>
                <w:lang w:val="uk-UA"/>
              </w:rPr>
              <w:t>тис</w:t>
            </w:r>
            <w:r w:rsidR="007601A9">
              <w:rPr>
                <w:szCs w:val="24"/>
                <w:lang w:val="uk-UA"/>
              </w:rPr>
              <w:t>.</w:t>
            </w:r>
            <w:r w:rsidR="002A3751" w:rsidRPr="002A3751">
              <w:rPr>
                <w:szCs w:val="24"/>
                <w:lang w:val="uk-UA"/>
              </w:rPr>
              <w:t xml:space="preserve"> грн,</w:t>
            </w:r>
            <w:r>
              <w:rPr>
                <w:szCs w:val="24"/>
                <w:lang w:val="uk-UA"/>
              </w:rPr>
              <w:t xml:space="preserve"> в т.ч</w:t>
            </w:r>
            <w:r w:rsidRPr="0055594A">
              <w:rPr>
                <w:szCs w:val="24"/>
                <w:lang w:val="uk-UA"/>
              </w:rPr>
              <w:t>.:</w:t>
            </w:r>
          </w:p>
          <w:p w14:paraId="510F5C72" w14:textId="77777777" w:rsidR="00FC52E9" w:rsidRDefault="002B56AB">
            <w:pPr>
              <w:jc w:val="right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т</w:t>
            </w:r>
            <w:r w:rsidR="0055594A">
              <w:rPr>
                <w:szCs w:val="24"/>
                <w:lang w:val="uk-UA"/>
              </w:rPr>
              <w:t>ис</w:t>
            </w:r>
            <w:r w:rsidR="007601A9">
              <w:rPr>
                <w:szCs w:val="24"/>
                <w:lang w:val="uk-UA"/>
              </w:rPr>
              <w:t>.</w:t>
            </w:r>
            <w:r>
              <w:rPr>
                <w:szCs w:val="24"/>
                <w:lang w:val="uk-UA"/>
              </w:rPr>
              <w:t xml:space="preserve"> </w:t>
            </w:r>
            <w:r w:rsidR="0055594A">
              <w:rPr>
                <w:szCs w:val="24"/>
                <w:lang w:val="uk-UA"/>
              </w:rPr>
              <w:t>грн</w:t>
            </w:r>
          </w:p>
        </w:tc>
      </w:tr>
      <w:tr w:rsidR="0055594A" w:rsidRPr="008C348C" w14:paraId="2B796972" w14:textId="77777777" w:rsidTr="0055594A">
        <w:trPr>
          <w:cantSplit/>
          <w:trHeight w:val="78"/>
        </w:trPr>
        <w:tc>
          <w:tcPr>
            <w:tcW w:w="648" w:type="dxa"/>
            <w:vMerge/>
            <w:shd w:val="clear" w:color="auto" w:fill="DBE5F1" w:themeFill="accent1" w:themeFillTint="33"/>
          </w:tcPr>
          <w:p w14:paraId="09513CEC" w14:textId="77777777" w:rsidR="0055594A" w:rsidRPr="00E322BF" w:rsidRDefault="0055594A" w:rsidP="00E63D0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780" w:type="dxa"/>
            <w:vMerge/>
            <w:shd w:val="clear" w:color="auto" w:fill="DBE5F1" w:themeFill="accent1" w:themeFillTint="33"/>
          </w:tcPr>
          <w:p w14:paraId="0C9AE7B4" w14:textId="77777777" w:rsidR="0055594A" w:rsidRPr="00E322BF" w:rsidRDefault="0055594A" w:rsidP="00E63D0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492" w:type="dxa"/>
            <w:shd w:val="clear" w:color="auto" w:fill="C6D9F1" w:themeFill="text2" w:themeFillTint="33"/>
          </w:tcPr>
          <w:p w14:paraId="2DB7A02F" w14:textId="77777777" w:rsidR="0055594A" w:rsidRDefault="0055594A" w:rsidP="0055594A">
            <w:pPr>
              <w:jc w:val="center"/>
              <w:rPr>
                <w:szCs w:val="24"/>
                <w:lang w:val="uk-UA"/>
              </w:rPr>
            </w:pPr>
            <w:r w:rsidRPr="0055594A">
              <w:rPr>
                <w:color w:val="000000"/>
                <w:lang w:val="uk-UA"/>
              </w:rPr>
              <w:t>кошти міського бюджету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14:paraId="788902F6" w14:textId="77777777" w:rsidR="0055594A" w:rsidRPr="0055594A" w:rsidRDefault="0055594A" w:rsidP="0055594A">
            <w:pPr>
              <w:jc w:val="center"/>
              <w:rPr>
                <w:color w:val="000000"/>
                <w:lang w:val="uk-UA"/>
              </w:rPr>
            </w:pPr>
            <w:r w:rsidRPr="0055594A">
              <w:rPr>
                <w:color w:val="000000"/>
                <w:lang w:val="uk-UA"/>
              </w:rPr>
              <w:t>кошти державного бюджету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B439A0B" w14:textId="77777777" w:rsidR="0055594A" w:rsidRDefault="0055594A" w:rsidP="0055594A">
            <w:pPr>
              <w:jc w:val="center"/>
              <w:rPr>
                <w:szCs w:val="24"/>
                <w:lang w:val="uk-UA"/>
              </w:rPr>
            </w:pPr>
            <w:r w:rsidRPr="0055594A">
              <w:rPr>
                <w:color w:val="000000"/>
                <w:lang w:val="uk-UA"/>
              </w:rPr>
              <w:t>кошти позабюджетних джерел</w:t>
            </w:r>
          </w:p>
        </w:tc>
      </w:tr>
      <w:tr w:rsidR="0055594A" w:rsidRPr="008C348C" w14:paraId="5BDC8ECF" w14:textId="77777777" w:rsidTr="0055594A">
        <w:trPr>
          <w:cantSplit/>
          <w:trHeight w:val="78"/>
        </w:trPr>
        <w:tc>
          <w:tcPr>
            <w:tcW w:w="648" w:type="dxa"/>
            <w:vMerge/>
            <w:shd w:val="clear" w:color="auto" w:fill="DBE5F1" w:themeFill="accent1" w:themeFillTint="33"/>
          </w:tcPr>
          <w:p w14:paraId="6BCEFEE5" w14:textId="77777777" w:rsidR="0055594A" w:rsidRPr="00E322BF" w:rsidRDefault="0055594A" w:rsidP="00E63D0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780" w:type="dxa"/>
            <w:vMerge/>
            <w:shd w:val="clear" w:color="auto" w:fill="DBE5F1" w:themeFill="accent1" w:themeFillTint="33"/>
          </w:tcPr>
          <w:p w14:paraId="7F159824" w14:textId="77777777" w:rsidR="0055594A" w:rsidRPr="00E322BF" w:rsidRDefault="0055594A" w:rsidP="00E63D0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492" w:type="dxa"/>
            <w:vAlign w:val="center"/>
          </w:tcPr>
          <w:p w14:paraId="7A7A8E24" w14:textId="5BD68771" w:rsidR="0055594A" w:rsidRPr="00985FBD" w:rsidRDefault="00175F96" w:rsidP="00175F96">
            <w:pPr>
              <w:jc w:val="center"/>
              <w:rPr>
                <w:szCs w:val="24"/>
                <w:highlight w:val="yellow"/>
                <w:lang w:val="uk-UA"/>
              </w:rPr>
            </w:pPr>
            <w:r>
              <w:rPr>
                <w:szCs w:val="24"/>
                <w:lang w:val="uk-UA"/>
              </w:rPr>
              <w:t>944</w:t>
            </w:r>
            <w:r w:rsidR="000657BF" w:rsidRPr="000657BF">
              <w:rPr>
                <w:szCs w:val="24"/>
                <w:lang w:val="uk-UA"/>
              </w:rPr>
              <w:t> </w:t>
            </w:r>
            <w:r>
              <w:rPr>
                <w:szCs w:val="24"/>
                <w:lang w:val="uk-UA"/>
              </w:rPr>
              <w:t>437</w:t>
            </w:r>
            <w:r w:rsidR="000657BF" w:rsidRPr="000657BF">
              <w:rPr>
                <w:szCs w:val="24"/>
                <w:lang w:val="uk-UA"/>
              </w:rPr>
              <w:t>,</w:t>
            </w:r>
            <w:r>
              <w:rPr>
                <w:szCs w:val="24"/>
                <w:lang w:val="uk-UA"/>
              </w:rPr>
              <w:t>2</w:t>
            </w:r>
          </w:p>
        </w:tc>
        <w:tc>
          <w:tcPr>
            <w:tcW w:w="1418" w:type="dxa"/>
            <w:vAlign w:val="center"/>
          </w:tcPr>
          <w:p w14:paraId="4AABFF07" w14:textId="01C64FB4" w:rsidR="0055594A" w:rsidRPr="00985FBD" w:rsidRDefault="009D2E77" w:rsidP="0055594A">
            <w:pPr>
              <w:jc w:val="center"/>
              <w:rPr>
                <w:szCs w:val="24"/>
                <w:highlight w:val="yellow"/>
                <w:lang w:val="uk-UA"/>
              </w:rPr>
            </w:pPr>
            <w:r w:rsidRPr="003B7758">
              <w:rPr>
                <w:szCs w:val="24"/>
                <w:lang w:val="uk-UA"/>
              </w:rPr>
              <w:t>44</w:t>
            </w:r>
            <w:r w:rsidR="003B7758">
              <w:rPr>
                <w:szCs w:val="24"/>
                <w:lang w:val="uk-UA"/>
              </w:rPr>
              <w:t> </w:t>
            </w:r>
            <w:r w:rsidRPr="003B7758">
              <w:rPr>
                <w:szCs w:val="24"/>
                <w:lang w:val="uk-UA"/>
              </w:rPr>
              <w:t>895,1</w:t>
            </w:r>
          </w:p>
        </w:tc>
        <w:tc>
          <w:tcPr>
            <w:tcW w:w="2126" w:type="dxa"/>
            <w:vAlign w:val="center"/>
          </w:tcPr>
          <w:p w14:paraId="43638470" w14:textId="7A7ABE02" w:rsidR="0055594A" w:rsidRPr="00985FBD" w:rsidRDefault="000657BF" w:rsidP="0055594A">
            <w:pPr>
              <w:jc w:val="center"/>
              <w:rPr>
                <w:szCs w:val="24"/>
                <w:highlight w:val="yellow"/>
                <w:lang w:val="uk-UA"/>
              </w:rPr>
            </w:pPr>
            <w:r w:rsidRPr="000657BF">
              <w:rPr>
                <w:szCs w:val="24"/>
                <w:lang w:val="uk-UA"/>
              </w:rPr>
              <w:t>11 099,4</w:t>
            </w:r>
          </w:p>
        </w:tc>
      </w:tr>
      <w:tr w:rsidR="00E322BF" w:rsidRPr="008C348C" w14:paraId="21751B99" w14:textId="77777777" w:rsidTr="00E322BF">
        <w:trPr>
          <w:cantSplit/>
        </w:trPr>
        <w:tc>
          <w:tcPr>
            <w:tcW w:w="648" w:type="dxa"/>
            <w:shd w:val="clear" w:color="auto" w:fill="DBE5F1" w:themeFill="accent1" w:themeFillTint="33"/>
          </w:tcPr>
          <w:p w14:paraId="375F7809" w14:textId="77777777" w:rsidR="00E322BF" w:rsidRPr="00AD129B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AD129B">
              <w:rPr>
                <w:b/>
                <w:color w:val="000000"/>
                <w:lang w:val="uk-UA"/>
              </w:rPr>
              <w:t>11.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648CCD21" w14:textId="77777777" w:rsidR="00E322BF" w:rsidRPr="00AD129B" w:rsidRDefault="00E322BF" w:rsidP="00E63D0D">
            <w:pPr>
              <w:rPr>
                <w:b/>
                <w:color w:val="000000"/>
                <w:lang w:val="uk-UA"/>
              </w:rPr>
            </w:pPr>
            <w:r w:rsidRPr="00AD129B">
              <w:rPr>
                <w:b/>
                <w:color w:val="000000"/>
                <w:lang w:val="uk-UA"/>
              </w:rPr>
              <w:t>Очікувані результати виконання</w:t>
            </w:r>
          </w:p>
        </w:tc>
        <w:tc>
          <w:tcPr>
            <w:tcW w:w="5036" w:type="dxa"/>
            <w:gridSpan w:val="3"/>
          </w:tcPr>
          <w:p w14:paraId="08A65F5B" w14:textId="34602817" w:rsidR="00ED0AD9" w:rsidRPr="00C73DF3" w:rsidRDefault="009E7A3B" w:rsidP="00DD1F0D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color w:val="000000"/>
                <w:szCs w:val="24"/>
                <w:lang w:val="uk-UA"/>
              </w:rPr>
            </w:pPr>
            <w:r w:rsidRPr="00C73DF3">
              <w:rPr>
                <w:color w:val="000000"/>
                <w:szCs w:val="24"/>
                <w:lang w:val="uk-UA"/>
              </w:rPr>
              <w:t>відповідність</w:t>
            </w:r>
            <w:r w:rsidR="00DD1F0D" w:rsidRPr="00C73DF3">
              <w:rPr>
                <w:color w:val="000000"/>
                <w:szCs w:val="24"/>
                <w:lang w:val="uk-UA"/>
              </w:rPr>
              <w:t xml:space="preserve"> громади системі управління якістю та сертифікації</w:t>
            </w:r>
            <w:r w:rsidR="00ED0AD9" w:rsidRPr="00C73DF3">
              <w:rPr>
                <w:color w:val="000000"/>
                <w:szCs w:val="24"/>
                <w:lang w:val="uk-UA"/>
              </w:rPr>
              <w:t xml:space="preserve"> «Європейська </w:t>
            </w:r>
            <w:r w:rsidR="00DD1F0D" w:rsidRPr="00C73DF3">
              <w:rPr>
                <w:color w:val="000000"/>
                <w:szCs w:val="24"/>
                <w:lang w:val="uk-UA"/>
              </w:rPr>
              <w:t>е</w:t>
            </w:r>
            <w:r w:rsidR="00ED0AD9" w:rsidRPr="00C73DF3">
              <w:rPr>
                <w:color w:val="000000"/>
                <w:szCs w:val="24"/>
                <w:lang w:val="uk-UA"/>
              </w:rPr>
              <w:t xml:space="preserve">нергетична </w:t>
            </w:r>
            <w:r w:rsidR="00DD1F0D" w:rsidRPr="00C73DF3">
              <w:rPr>
                <w:color w:val="000000"/>
                <w:szCs w:val="24"/>
                <w:lang w:val="uk-UA"/>
              </w:rPr>
              <w:t>в</w:t>
            </w:r>
            <w:r w:rsidR="00ED0AD9" w:rsidRPr="00C73DF3">
              <w:rPr>
                <w:color w:val="000000"/>
                <w:szCs w:val="24"/>
                <w:lang w:val="uk-UA"/>
              </w:rPr>
              <w:t>ідзнака»;</w:t>
            </w:r>
          </w:p>
          <w:p w14:paraId="71A4DCE7" w14:textId="59901B07" w:rsidR="00ED0AD9" w:rsidRPr="00C73DF3" w:rsidRDefault="00ED0AD9" w:rsidP="00ED0AD9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color w:val="000000"/>
                <w:szCs w:val="24"/>
                <w:lang w:val="uk-UA"/>
              </w:rPr>
            </w:pPr>
            <w:r w:rsidRPr="00C73DF3">
              <w:rPr>
                <w:color w:val="000000"/>
                <w:szCs w:val="24"/>
                <w:lang w:val="uk-UA"/>
              </w:rPr>
              <w:t xml:space="preserve">зменшення споживання паливно-енергетичних ресурсів комунальними підприємствами, бюджетними закладами та установами </w:t>
            </w:r>
            <w:r w:rsidR="00181DB3" w:rsidRPr="00C73DF3">
              <w:rPr>
                <w:color w:val="000000"/>
                <w:szCs w:val="24"/>
                <w:lang w:val="uk-UA"/>
              </w:rPr>
              <w:t>громади</w:t>
            </w:r>
            <w:r w:rsidR="00E702D3" w:rsidRPr="00C73DF3">
              <w:rPr>
                <w:color w:val="000000"/>
                <w:szCs w:val="24"/>
                <w:lang w:val="uk-UA"/>
              </w:rPr>
              <w:t>,</w:t>
            </w:r>
            <w:r w:rsidR="00C628B1" w:rsidRPr="00C73DF3">
              <w:rPr>
                <w:color w:val="000000"/>
                <w:szCs w:val="24"/>
                <w:lang w:val="uk-UA"/>
              </w:rPr>
              <w:t xml:space="preserve"> не менше ніж</w:t>
            </w:r>
            <w:r w:rsidRPr="00C73DF3">
              <w:rPr>
                <w:color w:val="000000"/>
                <w:szCs w:val="24"/>
                <w:lang w:val="uk-UA"/>
              </w:rPr>
              <w:t xml:space="preserve"> на </w:t>
            </w:r>
            <w:r w:rsidR="00462857" w:rsidRPr="00C73DF3">
              <w:rPr>
                <w:color w:val="000000"/>
                <w:szCs w:val="24"/>
                <w:lang w:val="uk-UA"/>
              </w:rPr>
              <w:t>2</w:t>
            </w:r>
            <w:r w:rsidR="00660411" w:rsidRPr="00C73DF3">
              <w:rPr>
                <w:color w:val="000000"/>
                <w:szCs w:val="24"/>
                <w:lang w:val="uk-UA"/>
              </w:rPr>
              <w:t>0</w:t>
            </w:r>
            <w:r w:rsidRPr="00C73DF3">
              <w:rPr>
                <w:color w:val="000000"/>
                <w:szCs w:val="24"/>
                <w:lang w:val="uk-UA"/>
              </w:rPr>
              <w:t>%;</w:t>
            </w:r>
          </w:p>
          <w:p w14:paraId="5CBB889F" w14:textId="052DEADA" w:rsidR="00047E7E" w:rsidRPr="00C73DF3" w:rsidRDefault="00047E7E" w:rsidP="00660411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sz w:val="28"/>
                <w:szCs w:val="26"/>
                <w:lang w:eastAsia="uk-UA"/>
              </w:rPr>
            </w:pPr>
            <w:r w:rsidRPr="00C73DF3">
              <w:rPr>
                <w:color w:val="000000"/>
                <w:szCs w:val="24"/>
                <w:lang w:val="uk-UA"/>
              </w:rPr>
              <w:t xml:space="preserve">збільшення генерації з відновлюваних джерел енергії на території громади не менше ніж на </w:t>
            </w:r>
            <w:r w:rsidR="00660411" w:rsidRPr="00C73DF3">
              <w:rPr>
                <w:color w:val="000000"/>
                <w:szCs w:val="24"/>
                <w:lang w:val="uk-UA"/>
              </w:rPr>
              <w:t>20 000</w:t>
            </w:r>
            <w:r w:rsidRPr="00C73DF3">
              <w:rPr>
                <w:color w:val="000000"/>
                <w:szCs w:val="24"/>
                <w:lang w:val="uk-UA"/>
              </w:rPr>
              <w:t xml:space="preserve"> МВт*год за рік.</w:t>
            </w:r>
          </w:p>
        </w:tc>
      </w:tr>
      <w:tr w:rsidR="00E322BF" w:rsidRPr="008C348C" w14:paraId="794D50A3" w14:textId="77777777" w:rsidTr="00E322BF">
        <w:trPr>
          <w:cantSplit/>
        </w:trPr>
        <w:tc>
          <w:tcPr>
            <w:tcW w:w="648" w:type="dxa"/>
            <w:shd w:val="clear" w:color="auto" w:fill="DBE5F1" w:themeFill="accent1" w:themeFillTint="33"/>
          </w:tcPr>
          <w:p w14:paraId="24B07C46" w14:textId="77777777" w:rsidR="00E322BF" w:rsidRPr="00E322BF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12.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14:paraId="219C4C0B" w14:textId="77777777" w:rsidR="00E322BF" w:rsidRPr="00E322BF" w:rsidRDefault="00E322BF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Ключові показники ефективності</w:t>
            </w:r>
          </w:p>
        </w:tc>
        <w:tc>
          <w:tcPr>
            <w:tcW w:w="5036" w:type="dxa"/>
            <w:gridSpan w:val="3"/>
          </w:tcPr>
          <w:p w14:paraId="041E07D5" w14:textId="28BB577E" w:rsidR="00980B8D" w:rsidRPr="00C73DF3" w:rsidRDefault="00544288" w:rsidP="002730F0">
            <w:pPr>
              <w:jc w:val="both"/>
              <w:rPr>
                <w:color w:val="000000"/>
                <w:szCs w:val="24"/>
                <w:lang w:val="uk-UA"/>
              </w:rPr>
            </w:pPr>
            <w:r w:rsidRPr="00C73DF3">
              <w:rPr>
                <w:color w:val="000000"/>
                <w:szCs w:val="24"/>
                <w:lang w:val="uk-UA"/>
              </w:rPr>
              <w:t>Коефіцієнт</w:t>
            </w:r>
            <w:r w:rsidR="00D36538" w:rsidRPr="00C73DF3">
              <w:rPr>
                <w:color w:val="000000"/>
                <w:szCs w:val="24"/>
                <w:lang w:val="uk-UA"/>
              </w:rPr>
              <w:t xml:space="preserve"> забезпеченості </w:t>
            </w:r>
            <w:r w:rsidR="00181DB3" w:rsidRPr="00C73DF3">
              <w:rPr>
                <w:color w:val="000000"/>
                <w:szCs w:val="24"/>
                <w:lang w:val="uk-UA"/>
              </w:rPr>
              <w:t>громади</w:t>
            </w:r>
            <w:r w:rsidR="00D36538" w:rsidRPr="00C73DF3">
              <w:rPr>
                <w:color w:val="000000"/>
                <w:szCs w:val="24"/>
                <w:lang w:val="uk-UA"/>
              </w:rPr>
              <w:t xml:space="preserve"> </w:t>
            </w:r>
            <w:r w:rsidR="00D6536B" w:rsidRPr="00C73DF3">
              <w:rPr>
                <w:color w:val="000000"/>
                <w:szCs w:val="24"/>
                <w:lang w:val="uk-UA"/>
              </w:rPr>
              <w:t>власною</w:t>
            </w:r>
            <w:r w:rsidR="00980359" w:rsidRPr="00C73DF3">
              <w:rPr>
                <w:color w:val="000000"/>
                <w:szCs w:val="24"/>
                <w:lang w:val="uk-UA"/>
              </w:rPr>
              <w:t xml:space="preserve"> сталою</w:t>
            </w:r>
            <w:r w:rsidR="00D6536B" w:rsidRPr="00C73DF3">
              <w:rPr>
                <w:color w:val="000000"/>
                <w:szCs w:val="24"/>
                <w:lang w:val="uk-UA"/>
              </w:rPr>
              <w:t xml:space="preserve"> енергією</w:t>
            </w:r>
            <w:r w:rsidR="00980B8D" w:rsidRPr="00C73DF3">
              <w:rPr>
                <w:color w:val="000000"/>
                <w:szCs w:val="24"/>
                <w:lang w:val="uk-UA"/>
              </w:rPr>
              <w:t>:</w:t>
            </w:r>
          </w:p>
          <w:p w14:paraId="0F1F34F3" w14:textId="7E9FF782" w:rsidR="00980B8D" w:rsidRPr="00C73DF3" w:rsidRDefault="00980B8D" w:rsidP="00980B8D">
            <w:pPr>
              <w:jc w:val="both"/>
              <w:rPr>
                <w:color w:val="000000"/>
                <w:szCs w:val="24"/>
                <w:lang w:val="uk-UA"/>
              </w:rPr>
            </w:pPr>
            <w:r w:rsidRPr="00C73DF3">
              <w:rPr>
                <w:color w:val="000000"/>
                <w:szCs w:val="24"/>
                <w:lang w:val="uk-UA"/>
              </w:rPr>
              <w:t>на 01.01.2017</w:t>
            </w:r>
            <w:r w:rsidR="00D6536B" w:rsidRPr="00C73DF3">
              <w:rPr>
                <w:color w:val="000000"/>
                <w:szCs w:val="24"/>
                <w:lang w:val="uk-UA"/>
              </w:rPr>
              <w:t xml:space="preserve"> – </w:t>
            </w:r>
            <w:r w:rsidR="00A2398D" w:rsidRPr="00C73DF3">
              <w:rPr>
                <w:color w:val="000000"/>
                <w:szCs w:val="24"/>
                <w:lang w:val="uk-UA"/>
              </w:rPr>
              <w:t>менше 0,1%</w:t>
            </w:r>
          </w:p>
          <w:p w14:paraId="3B3EF517" w14:textId="3B0F512F" w:rsidR="00985FBD" w:rsidRPr="00C73DF3" w:rsidRDefault="00980B8D" w:rsidP="00980B8D">
            <w:pPr>
              <w:jc w:val="both"/>
              <w:rPr>
                <w:color w:val="000000"/>
                <w:szCs w:val="24"/>
                <w:lang w:val="uk-UA"/>
              </w:rPr>
            </w:pPr>
            <w:r w:rsidRPr="00C73DF3">
              <w:rPr>
                <w:color w:val="000000"/>
                <w:szCs w:val="24"/>
                <w:lang w:val="uk-UA"/>
              </w:rPr>
              <w:t>на 01.01.202</w:t>
            </w:r>
            <w:r w:rsidR="00A2398D" w:rsidRPr="00C73DF3">
              <w:rPr>
                <w:color w:val="000000"/>
                <w:szCs w:val="24"/>
                <w:lang w:val="en-US"/>
              </w:rPr>
              <w:t>6</w:t>
            </w:r>
            <w:r w:rsidRPr="00C73DF3">
              <w:rPr>
                <w:color w:val="000000"/>
                <w:szCs w:val="24"/>
                <w:lang w:val="uk-UA"/>
              </w:rPr>
              <w:t xml:space="preserve"> – </w:t>
            </w:r>
            <w:r w:rsidR="00A2398D" w:rsidRPr="00C73DF3">
              <w:rPr>
                <w:color w:val="000000"/>
                <w:szCs w:val="24"/>
                <w:lang w:val="uk-UA"/>
              </w:rPr>
              <w:t xml:space="preserve">не менше </w:t>
            </w:r>
            <w:r w:rsidR="0023587D" w:rsidRPr="00C73DF3">
              <w:rPr>
                <w:color w:val="000000"/>
                <w:szCs w:val="24"/>
                <w:lang w:val="uk-UA"/>
              </w:rPr>
              <w:t>5</w:t>
            </w:r>
            <w:r w:rsidR="00D6536B" w:rsidRPr="00C73DF3">
              <w:rPr>
                <w:color w:val="000000"/>
                <w:szCs w:val="24"/>
                <w:lang w:val="uk-UA"/>
              </w:rPr>
              <w:t>,0%</w:t>
            </w:r>
          </w:p>
        </w:tc>
      </w:tr>
    </w:tbl>
    <w:p w14:paraId="75EAC289" w14:textId="77777777" w:rsidR="00812A32" w:rsidRDefault="00812A32" w:rsidP="002A018E">
      <w:pPr>
        <w:pStyle w:val="1"/>
        <w:keepNext w:val="0"/>
        <w:keepLines w:val="0"/>
        <w:widowControl w:val="0"/>
        <w:spacing w:before="0"/>
        <w:ind w:left="708"/>
        <w:rPr>
          <w:rFonts w:ascii="Times New Roman" w:hAnsi="Times New Roman" w:cs="Times New Roman"/>
          <w:color w:val="auto"/>
          <w:lang w:val="uk-UA"/>
        </w:rPr>
      </w:pPr>
      <w:bookmarkStart w:id="1" w:name="_Toc424524481"/>
      <w:bookmarkStart w:id="2" w:name="_Toc467428483"/>
    </w:p>
    <w:p w14:paraId="168D26CC" w14:textId="77777777" w:rsidR="00A2398D" w:rsidRDefault="00A2398D">
      <w:pPr>
        <w:spacing w:after="200" w:line="276" w:lineRule="auto"/>
        <w:rPr>
          <w:rFonts w:eastAsiaTheme="majorEastAsia"/>
          <w:b/>
          <w:bCs/>
          <w:sz w:val="28"/>
          <w:lang w:val="uk-UA"/>
        </w:rPr>
      </w:pPr>
      <w:r>
        <w:rPr>
          <w:lang w:val="uk-UA"/>
        </w:rPr>
        <w:br w:type="page"/>
      </w:r>
    </w:p>
    <w:p w14:paraId="1AF929FE" w14:textId="59E73946" w:rsidR="002A018E" w:rsidRDefault="008312F7" w:rsidP="002A018E">
      <w:pPr>
        <w:pStyle w:val="1"/>
        <w:keepNext w:val="0"/>
        <w:keepLines w:val="0"/>
        <w:widowControl w:val="0"/>
        <w:spacing w:before="0"/>
        <w:ind w:left="708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hAnsi="Times New Roman" w:cs="Times New Roman"/>
          <w:color w:val="auto"/>
          <w:lang w:val="uk-UA"/>
        </w:rPr>
        <w:lastRenderedPageBreak/>
        <w:t xml:space="preserve">2. </w:t>
      </w:r>
      <w:r w:rsidR="00E322BF">
        <w:rPr>
          <w:rFonts w:ascii="Times New Roman" w:hAnsi="Times New Roman" w:cs="Times New Roman"/>
          <w:color w:val="auto"/>
          <w:lang w:val="uk-UA"/>
        </w:rPr>
        <w:t>ВИЗНАЧЕННЯ ПРОБЛЕМИ, НА РОЗВ’ЯЗАННЯ ЯКОЇ СПРЯМОВАНА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 ПРОГРАМА</w:t>
      </w:r>
      <w:bookmarkEnd w:id="1"/>
      <w:bookmarkEnd w:id="2"/>
    </w:p>
    <w:p w14:paraId="63CCB93B" w14:textId="5D963770" w:rsidR="002354BA" w:rsidRPr="003C5509" w:rsidRDefault="002354BA" w:rsidP="00EA2988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3C5509">
        <w:rPr>
          <w:sz w:val="28"/>
          <w:szCs w:val="28"/>
          <w:lang w:val="uk-UA"/>
        </w:rPr>
        <w:t>Політика сталого енергетичного розвитку та клімату зосереджена на кроках, що направлені на зниження викидів СО</w:t>
      </w:r>
      <w:r w:rsidRPr="003C5509">
        <w:rPr>
          <w:sz w:val="28"/>
          <w:szCs w:val="28"/>
          <w:vertAlign w:val="subscript"/>
          <w:lang w:val="uk-UA"/>
        </w:rPr>
        <w:t>2</w:t>
      </w:r>
      <w:r w:rsidRPr="003C5509">
        <w:rPr>
          <w:sz w:val="28"/>
          <w:szCs w:val="28"/>
          <w:lang w:val="uk-UA"/>
        </w:rPr>
        <w:t xml:space="preserve"> та ефективне енергоспоживання кінцевими споживачами, </w:t>
      </w:r>
      <w:r w:rsidR="00E702D3" w:rsidRPr="003C5509">
        <w:rPr>
          <w:sz w:val="28"/>
          <w:szCs w:val="28"/>
          <w:lang w:val="uk-UA"/>
        </w:rPr>
        <w:t>а також</w:t>
      </w:r>
      <w:r w:rsidRPr="003C5509">
        <w:rPr>
          <w:sz w:val="28"/>
          <w:szCs w:val="28"/>
          <w:lang w:val="uk-UA"/>
        </w:rPr>
        <w:t xml:space="preserve"> </w:t>
      </w:r>
      <w:r w:rsidR="00035661" w:rsidRPr="003C5509">
        <w:rPr>
          <w:sz w:val="28"/>
          <w:szCs w:val="28"/>
          <w:lang w:val="uk-UA"/>
        </w:rPr>
        <w:t xml:space="preserve">на </w:t>
      </w:r>
      <w:r w:rsidRPr="003C5509">
        <w:rPr>
          <w:sz w:val="28"/>
          <w:szCs w:val="28"/>
          <w:lang w:val="uk-UA"/>
        </w:rPr>
        <w:t xml:space="preserve">дії з адаптації </w:t>
      </w:r>
      <w:r w:rsidR="00DD1F0D" w:rsidRPr="003C5509">
        <w:rPr>
          <w:sz w:val="28"/>
          <w:szCs w:val="28"/>
          <w:lang w:val="uk-UA"/>
        </w:rPr>
        <w:t>інфраструктури громади</w:t>
      </w:r>
      <w:r w:rsidRPr="003C5509">
        <w:rPr>
          <w:sz w:val="28"/>
          <w:szCs w:val="28"/>
          <w:lang w:val="uk-UA"/>
        </w:rPr>
        <w:t xml:space="preserve"> до зміни клімату.</w:t>
      </w:r>
    </w:p>
    <w:p w14:paraId="3FEB02F8" w14:textId="493E7BED" w:rsidR="002354BA" w:rsidRPr="003C5509" w:rsidRDefault="002354BA" w:rsidP="002354BA">
      <w:pPr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 xml:space="preserve">У 2012 році </w:t>
      </w:r>
      <w:r w:rsidR="00035661" w:rsidRPr="003C5509">
        <w:rPr>
          <w:sz w:val="28"/>
          <w:lang w:val="uk-UA"/>
        </w:rPr>
        <w:t>місто Житомир</w:t>
      </w:r>
      <w:r w:rsidRPr="003C5509">
        <w:rPr>
          <w:sz w:val="28"/>
          <w:lang w:val="uk-UA"/>
        </w:rPr>
        <w:t xml:space="preserve"> долучил</w:t>
      </w:r>
      <w:r w:rsidR="00035661" w:rsidRPr="003C5509">
        <w:rPr>
          <w:sz w:val="28"/>
          <w:lang w:val="uk-UA"/>
        </w:rPr>
        <w:t>о</w:t>
      </w:r>
      <w:r w:rsidRPr="003C5509">
        <w:rPr>
          <w:sz w:val="28"/>
          <w:lang w:val="uk-UA"/>
        </w:rPr>
        <w:t xml:space="preserve">ся до </w:t>
      </w:r>
      <w:r w:rsidR="00DD1F0D" w:rsidRPr="003C5509">
        <w:rPr>
          <w:sz w:val="28"/>
          <w:lang w:val="uk-UA"/>
        </w:rPr>
        <w:t>ініціативи</w:t>
      </w:r>
      <w:r w:rsidRPr="003C5509">
        <w:rPr>
          <w:sz w:val="28"/>
          <w:lang w:val="uk-UA"/>
        </w:rPr>
        <w:t xml:space="preserve"> Європейського Союзу «Угода мерів» – це найбільший в світі рух за збереження клімату та енергії на місцевому рівні. В рамках </w:t>
      </w:r>
      <w:r w:rsidR="00DD1F0D" w:rsidRPr="003C5509">
        <w:rPr>
          <w:sz w:val="28"/>
          <w:lang w:val="uk-UA"/>
        </w:rPr>
        <w:t>даної ініціативи</w:t>
      </w:r>
      <w:r w:rsidRPr="003C5509">
        <w:rPr>
          <w:sz w:val="28"/>
          <w:lang w:val="uk-UA"/>
        </w:rPr>
        <w:t xml:space="preserve"> </w:t>
      </w:r>
      <w:r w:rsidR="00C428E0" w:rsidRPr="003C5509">
        <w:rPr>
          <w:sz w:val="28"/>
          <w:lang w:val="uk-UA"/>
        </w:rPr>
        <w:t>Житомирська міська рада</w:t>
      </w:r>
      <w:r w:rsidRPr="003C5509">
        <w:rPr>
          <w:sz w:val="28"/>
          <w:lang w:val="uk-UA"/>
        </w:rPr>
        <w:t xml:space="preserve"> </w:t>
      </w:r>
      <w:r w:rsidR="00C428E0" w:rsidRPr="003C5509">
        <w:rPr>
          <w:sz w:val="28"/>
          <w:lang w:val="uk-UA"/>
        </w:rPr>
        <w:t xml:space="preserve">взяла </w:t>
      </w:r>
      <w:r w:rsidRPr="003C5509">
        <w:rPr>
          <w:sz w:val="28"/>
          <w:lang w:val="uk-UA"/>
        </w:rPr>
        <w:t xml:space="preserve">на себе зобов’язання розробити План дій зі сталого енергетичного розвитку </w:t>
      </w:r>
      <w:r w:rsidR="00035661" w:rsidRPr="003C5509">
        <w:rPr>
          <w:sz w:val="28"/>
          <w:lang w:val="uk-UA"/>
        </w:rPr>
        <w:t>для</w:t>
      </w:r>
      <w:r w:rsidRPr="003C5509">
        <w:rPr>
          <w:sz w:val="28"/>
          <w:lang w:val="uk-UA"/>
        </w:rPr>
        <w:t xml:space="preserve"> зменшення викидів СО</w:t>
      </w:r>
      <w:r w:rsidR="002A3751" w:rsidRPr="003C5509">
        <w:rPr>
          <w:sz w:val="28"/>
          <w:vertAlign w:val="subscript"/>
          <w:lang w:val="uk-UA"/>
        </w:rPr>
        <w:t>2</w:t>
      </w:r>
      <w:r w:rsidRPr="003C5509">
        <w:rPr>
          <w:sz w:val="28"/>
          <w:lang w:val="uk-UA"/>
        </w:rPr>
        <w:t xml:space="preserve"> </w:t>
      </w:r>
      <w:r w:rsidR="00035661" w:rsidRPr="003C5509">
        <w:rPr>
          <w:sz w:val="28"/>
          <w:lang w:val="uk-UA"/>
        </w:rPr>
        <w:t>на місцевому рівні</w:t>
      </w:r>
      <w:r w:rsidRPr="003C5509">
        <w:rPr>
          <w:sz w:val="28"/>
          <w:lang w:val="uk-UA"/>
        </w:rPr>
        <w:t>.</w:t>
      </w:r>
    </w:p>
    <w:p w14:paraId="35DDCB92" w14:textId="77777777" w:rsidR="002354BA" w:rsidRPr="003C5509" w:rsidRDefault="002354BA" w:rsidP="002354BA">
      <w:pPr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 xml:space="preserve">Основними пріоритетними секторами, що включені до Плану дій зі сталого енергетичного розвитку міста Житомира на 2015-2024 роки (далі – ПДСЕР) є: </w:t>
      </w:r>
    </w:p>
    <w:p w14:paraId="18D773F6" w14:textId="77777777" w:rsidR="002354BA" w:rsidRPr="003C5509" w:rsidRDefault="002354BA" w:rsidP="002354BA">
      <w:pPr>
        <w:pStyle w:val="af"/>
        <w:numPr>
          <w:ilvl w:val="0"/>
          <w:numId w:val="16"/>
        </w:numPr>
        <w:spacing w:after="200" w:line="276" w:lineRule="auto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>муніципальні будівлі, обладнання/об’єкти;</w:t>
      </w:r>
    </w:p>
    <w:p w14:paraId="1C8868A1" w14:textId="77777777" w:rsidR="002354BA" w:rsidRPr="003C5509" w:rsidRDefault="002354BA" w:rsidP="002354BA">
      <w:pPr>
        <w:pStyle w:val="af"/>
        <w:numPr>
          <w:ilvl w:val="0"/>
          <w:numId w:val="16"/>
        </w:numPr>
        <w:spacing w:after="200" w:line="276" w:lineRule="auto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>житлові будівлі;</w:t>
      </w:r>
    </w:p>
    <w:p w14:paraId="3822AE2C" w14:textId="77777777" w:rsidR="002354BA" w:rsidRPr="003C5509" w:rsidRDefault="002354BA" w:rsidP="002354BA">
      <w:pPr>
        <w:pStyle w:val="af"/>
        <w:numPr>
          <w:ilvl w:val="0"/>
          <w:numId w:val="16"/>
        </w:numPr>
        <w:spacing w:after="200" w:line="276" w:lineRule="auto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>муніципальне громадське освітлення;</w:t>
      </w:r>
    </w:p>
    <w:p w14:paraId="2580A4FA" w14:textId="77777777" w:rsidR="002354BA" w:rsidRPr="003C5509" w:rsidRDefault="002354BA" w:rsidP="002354BA">
      <w:pPr>
        <w:pStyle w:val="af"/>
        <w:numPr>
          <w:ilvl w:val="0"/>
          <w:numId w:val="16"/>
        </w:numPr>
        <w:spacing w:after="200" w:line="276" w:lineRule="auto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>транспорт;</w:t>
      </w:r>
    </w:p>
    <w:p w14:paraId="5345E03D" w14:textId="77777777" w:rsidR="002354BA" w:rsidRPr="003C5509" w:rsidRDefault="002354BA" w:rsidP="000F3A23">
      <w:pPr>
        <w:pStyle w:val="af"/>
        <w:numPr>
          <w:ilvl w:val="0"/>
          <w:numId w:val="16"/>
        </w:numPr>
        <w:spacing w:after="200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>виробництво теплової енергії.</w:t>
      </w:r>
    </w:p>
    <w:p w14:paraId="3AB860B2" w14:textId="32EE5D2C" w:rsidR="002354BA" w:rsidRDefault="003805A6" w:rsidP="000F3A23">
      <w:pPr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>За</w:t>
      </w:r>
      <w:r w:rsidR="00463B69" w:rsidRPr="003C5509">
        <w:rPr>
          <w:sz w:val="28"/>
          <w:lang w:val="uk-UA"/>
        </w:rPr>
        <w:t xml:space="preserve"> результат</w:t>
      </w:r>
      <w:r w:rsidRPr="003C5509">
        <w:rPr>
          <w:sz w:val="28"/>
          <w:lang w:val="uk-UA"/>
        </w:rPr>
        <w:t>ами</w:t>
      </w:r>
      <w:r w:rsidR="00463B69" w:rsidRPr="003C5509">
        <w:rPr>
          <w:sz w:val="28"/>
          <w:lang w:val="uk-UA"/>
        </w:rPr>
        <w:t xml:space="preserve"> виконання заходів </w:t>
      </w:r>
      <w:r w:rsidR="002354BA" w:rsidRPr="003C5509">
        <w:rPr>
          <w:sz w:val="28"/>
          <w:lang w:val="uk-UA"/>
        </w:rPr>
        <w:t xml:space="preserve">ПДСЕР </w:t>
      </w:r>
      <w:r w:rsidR="001F1F7B" w:rsidRPr="003C5509">
        <w:rPr>
          <w:sz w:val="28"/>
          <w:lang w:val="uk-UA"/>
        </w:rPr>
        <w:t xml:space="preserve">у 2024 році </w:t>
      </w:r>
      <w:r w:rsidR="002354BA" w:rsidRPr="003C5509">
        <w:rPr>
          <w:sz w:val="28"/>
          <w:lang w:val="uk-UA"/>
        </w:rPr>
        <w:t>передбачено зниження споживання енергетичних ресурсів</w:t>
      </w:r>
      <w:r w:rsidR="001F1F7B" w:rsidRPr="003C5509">
        <w:rPr>
          <w:sz w:val="28"/>
          <w:lang w:val="uk-UA"/>
        </w:rPr>
        <w:t xml:space="preserve"> в обраних секторах базового кадастру викидів</w:t>
      </w:r>
      <w:r w:rsidR="002354BA" w:rsidRPr="003C5509">
        <w:rPr>
          <w:sz w:val="28"/>
          <w:lang w:val="uk-UA"/>
        </w:rPr>
        <w:t xml:space="preserve"> на 2</w:t>
      </w:r>
      <w:r w:rsidR="00463B69" w:rsidRPr="003C5509">
        <w:rPr>
          <w:sz w:val="28"/>
          <w:lang w:val="uk-UA"/>
        </w:rPr>
        <w:t>6,4</w:t>
      </w:r>
      <w:r w:rsidR="002354BA" w:rsidRPr="003C5509">
        <w:rPr>
          <w:sz w:val="28"/>
          <w:lang w:val="uk-UA"/>
        </w:rPr>
        <w:t>%</w:t>
      </w:r>
      <w:r w:rsidR="00463B69" w:rsidRPr="003C5509">
        <w:rPr>
          <w:sz w:val="28"/>
          <w:lang w:val="uk-UA"/>
        </w:rPr>
        <w:t xml:space="preserve"> </w:t>
      </w:r>
      <w:r w:rsidR="001F1F7B" w:rsidRPr="003C5509">
        <w:rPr>
          <w:sz w:val="28"/>
          <w:lang w:val="uk-UA"/>
        </w:rPr>
        <w:t>порівняно з базовим 2010 роком.</w:t>
      </w:r>
      <w:r w:rsidR="00463B69" w:rsidRPr="003C5509">
        <w:rPr>
          <w:sz w:val="28"/>
          <w:lang w:val="uk-UA"/>
        </w:rPr>
        <w:t xml:space="preserve"> </w:t>
      </w:r>
      <w:r w:rsidR="001F1F7B" w:rsidRPr="003C5509">
        <w:rPr>
          <w:sz w:val="28"/>
          <w:lang w:val="uk-UA"/>
        </w:rPr>
        <w:t>Проміжна ціль</w:t>
      </w:r>
      <w:r w:rsidR="00801243" w:rsidRPr="003C5509">
        <w:rPr>
          <w:sz w:val="28"/>
          <w:lang w:val="uk-UA"/>
        </w:rPr>
        <w:t xml:space="preserve"> до 2020 року –</w:t>
      </w:r>
      <w:r w:rsidR="002354BA" w:rsidRPr="003C5509">
        <w:rPr>
          <w:sz w:val="28"/>
          <w:lang w:val="uk-UA"/>
        </w:rPr>
        <w:t xml:space="preserve"> зменшення викидів СО</w:t>
      </w:r>
      <w:r w:rsidR="002A3751" w:rsidRPr="003C5509">
        <w:rPr>
          <w:sz w:val="28"/>
          <w:vertAlign w:val="subscript"/>
          <w:lang w:val="uk-UA"/>
        </w:rPr>
        <w:t>2</w:t>
      </w:r>
      <w:r w:rsidR="002354BA" w:rsidRPr="003C5509">
        <w:rPr>
          <w:sz w:val="28"/>
          <w:lang w:val="uk-UA"/>
        </w:rPr>
        <w:t xml:space="preserve"> на 2</w:t>
      </w:r>
      <w:r w:rsidRPr="003C5509">
        <w:rPr>
          <w:sz w:val="28"/>
          <w:lang w:val="uk-UA"/>
        </w:rPr>
        <w:t>1</w:t>
      </w:r>
      <w:r w:rsidR="002354BA" w:rsidRPr="003C5509">
        <w:rPr>
          <w:sz w:val="28"/>
          <w:lang w:val="uk-UA"/>
        </w:rPr>
        <w:t>,</w:t>
      </w:r>
      <w:r w:rsidRPr="003C5509">
        <w:rPr>
          <w:sz w:val="28"/>
          <w:lang w:val="uk-UA"/>
        </w:rPr>
        <w:t>4</w:t>
      </w:r>
      <w:r w:rsidR="002354BA" w:rsidRPr="003C5509">
        <w:rPr>
          <w:sz w:val="28"/>
          <w:lang w:val="uk-UA"/>
        </w:rPr>
        <w:t>%</w:t>
      </w:r>
      <w:r w:rsidR="00463B69" w:rsidRPr="003C5509">
        <w:rPr>
          <w:sz w:val="28"/>
          <w:lang w:val="uk-UA"/>
        </w:rPr>
        <w:t>.</w:t>
      </w:r>
      <w:r w:rsidR="002354BA" w:rsidRPr="003C5509">
        <w:rPr>
          <w:sz w:val="28"/>
          <w:lang w:val="uk-UA"/>
        </w:rPr>
        <w:t xml:space="preserve"> </w:t>
      </w:r>
      <w:r w:rsidRPr="003C5509">
        <w:rPr>
          <w:sz w:val="28"/>
          <w:lang w:val="uk-UA"/>
        </w:rPr>
        <w:t xml:space="preserve">Також ПДСЕРК передбачає </w:t>
      </w:r>
      <w:r w:rsidR="002354BA" w:rsidRPr="003C5509">
        <w:rPr>
          <w:sz w:val="28"/>
          <w:lang w:val="uk-UA"/>
        </w:rPr>
        <w:t>залучення інвестицій на енергоефективні заходи в інфраструктуру громади, а також проведення щорічних Днів сталої енергії для підвищення поінформованості мешканців громади.</w:t>
      </w:r>
    </w:p>
    <w:p w14:paraId="4E627304" w14:textId="77777777" w:rsidR="00D31A07" w:rsidRDefault="00D31A07" w:rsidP="002354BA">
      <w:pPr>
        <w:ind w:firstLine="708"/>
        <w:jc w:val="both"/>
        <w:rPr>
          <w:sz w:val="28"/>
          <w:lang w:val="uk-UA"/>
        </w:rPr>
      </w:pPr>
    </w:p>
    <w:p w14:paraId="31E33EF0" w14:textId="77777777" w:rsidR="002354BA" w:rsidRPr="008D7988" w:rsidRDefault="002354BA" w:rsidP="002354BA">
      <w:pPr>
        <w:ind w:firstLine="709"/>
        <w:jc w:val="center"/>
        <w:rPr>
          <w:b/>
          <w:bCs/>
          <w:szCs w:val="24"/>
          <w:lang w:val="uk-UA"/>
        </w:rPr>
      </w:pPr>
      <w:bookmarkStart w:id="3" w:name="виробництво"/>
      <w:bookmarkStart w:id="4" w:name="Викиди"/>
      <w:r w:rsidRPr="008D7988">
        <w:rPr>
          <w:b/>
          <w:bCs/>
          <w:szCs w:val="24"/>
          <w:lang w:val="uk-UA"/>
        </w:rPr>
        <w:t>Викиди</w:t>
      </w:r>
      <w:bookmarkEnd w:id="3"/>
      <w:bookmarkEnd w:id="4"/>
      <w:r w:rsidRPr="008D7988">
        <w:rPr>
          <w:b/>
          <w:bCs/>
          <w:szCs w:val="24"/>
          <w:lang w:val="uk-UA"/>
        </w:rPr>
        <w:t xml:space="preserve"> СО</w:t>
      </w:r>
      <w:r w:rsidR="002A3751" w:rsidRPr="002A3751">
        <w:rPr>
          <w:b/>
          <w:bCs/>
          <w:szCs w:val="24"/>
          <w:vertAlign w:val="subscript"/>
          <w:lang w:val="uk-UA"/>
        </w:rPr>
        <w:t>2</w:t>
      </w:r>
      <w:r w:rsidRPr="008D7988">
        <w:rPr>
          <w:b/>
          <w:bCs/>
          <w:szCs w:val="24"/>
          <w:lang w:val="uk-UA"/>
        </w:rPr>
        <w:t xml:space="preserve"> в місті Житомирі у 2010 році </w:t>
      </w:r>
    </w:p>
    <w:p w14:paraId="75F258E6" w14:textId="77777777" w:rsidR="002354BA" w:rsidRPr="008D7988" w:rsidRDefault="002354BA" w:rsidP="002354BA">
      <w:pPr>
        <w:ind w:firstLine="709"/>
        <w:jc w:val="center"/>
        <w:rPr>
          <w:b/>
          <w:bCs/>
          <w:szCs w:val="24"/>
          <w:lang w:val="uk-UA"/>
        </w:rPr>
      </w:pPr>
      <w:r w:rsidRPr="008D7988">
        <w:rPr>
          <w:b/>
          <w:bCs/>
          <w:szCs w:val="24"/>
          <w:lang w:val="uk-UA"/>
        </w:rPr>
        <w:t>та очікуваний обсяг викидів у 2020 та 2024 роках</w:t>
      </w:r>
    </w:p>
    <w:p w14:paraId="6D4955FB" w14:textId="77777777" w:rsidR="002354BA" w:rsidRDefault="002354BA" w:rsidP="002354BA">
      <w:pPr>
        <w:ind w:firstLine="708"/>
        <w:jc w:val="both"/>
        <w:rPr>
          <w:sz w:val="28"/>
          <w:lang w:val="uk-UA"/>
        </w:rPr>
      </w:pPr>
      <w:r>
        <w:rPr>
          <w:noProof/>
        </w:rPr>
        <w:drawing>
          <wp:inline distT="0" distB="0" distL="0" distR="0" wp14:anchorId="277286FE" wp14:editId="6FB19257">
            <wp:extent cx="4495800" cy="22479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/>
                    <a:srcRect l="2257" t="36455" r="56378" b="26756"/>
                    <a:stretch/>
                  </pic:blipFill>
                  <pic:spPr bwMode="auto">
                    <a:xfrm>
                      <a:off x="0" y="0"/>
                      <a:ext cx="4550224" cy="22751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7463B6" w14:textId="77777777" w:rsidR="002354BA" w:rsidRDefault="002354BA" w:rsidP="002354BA">
      <w:pPr>
        <w:ind w:firstLine="708"/>
        <w:jc w:val="both"/>
        <w:rPr>
          <w:sz w:val="28"/>
          <w:lang w:val="uk-UA"/>
        </w:rPr>
      </w:pPr>
    </w:p>
    <w:p w14:paraId="59221BC0" w14:textId="77777777" w:rsidR="00FC54A2" w:rsidRDefault="00FC54A2">
      <w:pPr>
        <w:jc w:val="both"/>
        <w:rPr>
          <w:sz w:val="28"/>
          <w:lang w:val="uk-UA"/>
        </w:rPr>
      </w:pPr>
    </w:p>
    <w:p w14:paraId="19008D20" w14:textId="09CA162B" w:rsidR="00BF1FD8" w:rsidRPr="003C5509" w:rsidRDefault="00BF1FD8" w:rsidP="002354BA">
      <w:pPr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lastRenderedPageBreak/>
        <w:t xml:space="preserve">За результатами затвердженого звіту з реалізації ПДСЕР за 2015-2020 роки, у 2020 році досягнуто </w:t>
      </w:r>
      <w:r w:rsidR="00D66EE3" w:rsidRPr="003C5509">
        <w:rPr>
          <w:sz w:val="28"/>
          <w:lang w:val="uk-UA"/>
        </w:rPr>
        <w:t>скорочення викидів СО2 на 267,3 тис тонн (36,1%) у вибраних секторах базового кадастру викидів.</w:t>
      </w:r>
    </w:p>
    <w:p w14:paraId="77F0ED3D" w14:textId="28C12366" w:rsidR="002354BA" w:rsidRPr="003C5509" w:rsidRDefault="002354BA" w:rsidP="002354BA">
      <w:pPr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 xml:space="preserve">З метою реалізації основних напрямків </w:t>
      </w:r>
      <w:r w:rsidR="00D66EE3" w:rsidRPr="003C5509">
        <w:rPr>
          <w:sz w:val="28"/>
          <w:lang w:val="uk-UA"/>
        </w:rPr>
        <w:t xml:space="preserve">місцевої </w:t>
      </w:r>
      <w:r w:rsidRPr="003C5509">
        <w:rPr>
          <w:sz w:val="28"/>
          <w:lang w:val="uk-UA"/>
        </w:rPr>
        <w:t xml:space="preserve">енергетичної політики розроблено міську цільову програму «Муніципальний енергетичний план Житомирської міської територіальної громади на </w:t>
      </w:r>
      <w:r w:rsidR="00C428E0" w:rsidRPr="003C5509">
        <w:rPr>
          <w:sz w:val="28"/>
          <w:lang w:val="uk-UA"/>
        </w:rPr>
        <w:t>2021</w:t>
      </w:r>
      <w:r w:rsidRPr="003C5509">
        <w:rPr>
          <w:sz w:val="28"/>
          <w:lang w:val="uk-UA"/>
        </w:rPr>
        <w:t>-202</w:t>
      </w:r>
      <w:r w:rsidR="00C428E0" w:rsidRPr="003C5509">
        <w:rPr>
          <w:sz w:val="28"/>
          <w:lang w:val="uk-UA"/>
        </w:rPr>
        <w:t>4</w:t>
      </w:r>
      <w:r w:rsidRPr="003C5509">
        <w:rPr>
          <w:sz w:val="28"/>
          <w:lang w:val="uk-UA"/>
        </w:rPr>
        <w:t xml:space="preserve"> роки»</w:t>
      </w:r>
      <w:r w:rsidR="00D31A07" w:rsidRPr="003C5509">
        <w:rPr>
          <w:sz w:val="28"/>
          <w:lang w:val="uk-UA"/>
        </w:rPr>
        <w:t>. Реалізація заходів якої здійснювалася в основних пріоритетних секторах визначених ПДСЕР</w:t>
      </w:r>
      <w:r w:rsidR="00E702D3" w:rsidRPr="003C5509">
        <w:rPr>
          <w:sz w:val="28"/>
          <w:lang w:val="uk-UA"/>
        </w:rPr>
        <w:t>.</w:t>
      </w:r>
    </w:p>
    <w:p w14:paraId="4D6B4C10" w14:textId="18843BAB" w:rsidR="007D6599" w:rsidRPr="003C5509" w:rsidRDefault="007D6599" w:rsidP="002354BA">
      <w:pPr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>У 2022 році Житомир</w:t>
      </w:r>
      <w:r w:rsidR="008B6322" w:rsidRPr="003C5509">
        <w:rPr>
          <w:sz w:val="28"/>
          <w:lang w:val="uk-UA"/>
        </w:rPr>
        <w:t>ська міська територіальна громада</w:t>
      </w:r>
      <w:r w:rsidRPr="003C5509">
        <w:rPr>
          <w:sz w:val="28"/>
          <w:lang w:val="uk-UA"/>
        </w:rPr>
        <w:t xml:space="preserve"> приєднал</w:t>
      </w:r>
      <w:r w:rsidR="008B6322" w:rsidRPr="003C5509">
        <w:rPr>
          <w:sz w:val="28"/>
          <w:lang w:val="uk-UA"/>
        </w:rPr>
        <w:t>а</w:t>
      </w:r>
      <w:r w:rsidRPr="003C5509">
        <w:rPr>
          <w:sz w:val="28"/>
          <w:lang w:val="uk-UA"/>
        </w:rPr>
        <w:t>ся до європейської ініціативи «Угода мерів-Схід» та взял</w:t>
      </w:r>
      <w:r w:rsidR="008B6322" w:rsidRPr="003C5509">
        <w:rPr>
          <w:sz w:val="28"/>
          <w:lang w:val="uk-UA"/>
        </w:rPr>
        <w:t>а</w:t>
      </w:r>
      <w:r w:rsidRPr="003C5509">
        <w:rPr>
          <w:sz w:val="28"/>
          <w:lang w:val="uk-UA"/>
        </w:rPr>
        <w:t xml:space="preserve"> на себе </w:t>
      </w:r>
      <w:r w:rsidR="008B6322" w:rsidRPr="003C5509">
        <w:rPr>
          <w:sz w:val="28"/>
          <w:lang w:val="uk-UA"/>
        </w:rPr>
        <w:t>добровільне</w:t>
      </w:r>
      <w:r w:rsidRPr="003C5509">
        <w:rPr>
          <w:sz w:val="28"/>
          <w:lang w:val="uk-UA"/>
        </w:rPr>
        <w:t xml:space="preserve"> зобов’язання до 2050 року досягти кліматичної нейтральності з проміжною ціллю скорочення викидів парникових газів</w:t>
      </w:r>
      <w:r w:rsidR="008B6322" w:rsidRPr="003C5509">
        <w:rPr>
          <w:sz w:val="28"/>
          <w:lang w:val="uk-UA"/>
        </w:rPr>
        <w:t xml:space="preserve"> у вибраних секторах базового кадастру викидів</w:t>
      </w:r>
      <w:r w:rsidRPr="003C5509">
        <w:rPr>
          <w:sz w:val="28"/>
          <w:lang w:val="uk-UA"/>
        </w:rPr>
        <w:t xml:space="preserve"> на 35% до 2030 року. В рамках цієї ініціативи </w:t>
      </w:r>
      <w:r w:rsidR="008B6322" w:rsidRPr="003C5509">
        <w:rPr>
          <w:sz w:val="28"/>
          <w:lang w:val="uk-UA"/>
        </w:rPr>
        <w:t>триває розробка</w:t>
      </w:r>
      <w:r w:rsidRPr="003C5509">
        <w:rPr>
          <w:sz w:val="28"/>
          <w:lang w:val="uk-UA"/>
        </w:rPr>
        <w:t xml:space="preserve"> План</w:t>
      </w:r>
      <w:r w:rsidR="008B6322" w:rsidRPr="003C5509">
        <w:rPr>
          <w:sz w:val="28"/>
          <w:lang w:val="uk-UA"/>
        </w:rPr>
        <w:t>у</w:t>
      </w:r>
      <w:r w:rsidRPr="003C5509">
        <w:rPr>
          <w:sz w:val="28"/>
          <w:lang w:val="uk-UA"/>
        </w:rPr>
        <w:t xml:space="preserve"> дій зі сталого енергетичного розвитку та клімату (ПДСЕРК). Даний ПДСЕРК включатиме в себе заходи та результати ПДСЕР на 2015-2024 роки, а також буде доповнений заходами з підвищення енергоефективності та </w:t>
      </w:r>
      <w:r w:rsidR="008B6322" w:rsidRPr="003C5509">
        <w:rPr>
          <w:sz w:val="28"/>
          <w:lang w:val="uk-UA"/>
        </w:rPr>
        <w:t>розвитку</w:t>
      </w:r>
      <w:r w:rsidRPr="003C5509">
        <w:rPr>
          <w:sz w:val="28"/>
          <w:lang w:val="uk-UA"/>
        </w:rPr>
        <w:t xml:space="preserve"> відновлюваних джерел енергії</w:t>
      </w:r>
      <w:r w:rsidR="008B6322" w:rsidRPr="003C5509">
        <w:rPr>
          <w:sz w:val="28"/>
          <w:lang w:val="uk-UA"/>
        </w:rPr>
        <w:t xml:space="preserve"> на території громади.</w:t>
      </w:r>
      <w:r w:rsidRPr="003C5509">
        <w:rPr>
          <w:sz w:val="28"/>
          <w:lang w:val="uk-UA"/>
        </w:rPr>
        <w:t xml:space="preserve"> </w:t>
      </w:r>
      <w:r w:rsidR="008B6322" w:rsidRPr="003C5509">
        <w:rPr>
          <w:sz w:val="28"/>
          <w:lang w:val="uk-UA"/>
        </w:rPr>
        <w:t>Також ПДСЕРК</w:t>
      </w:r>
      <w:r w:rsidRPr="003C5509">
        <w:rPr>
          <w:sz w:val="28"/>
          <w:lang w:val="uk-UA"/>
        </w:rPr>
        <w:t xml:space="preserve"> включатиме заходи з підвищення стійкості Житомирської міської територіальної громади</w:t>
      </w:r>
      <w:r w:rsidR="008B6322" w:rsidRPr="003C5509">
        <w:rPr>
          <w:sz w:val="28"/>
          <w:lang w:val="uk-UA"/>
        </w:rPr>
        <w:t xml:space="preserve"> до наслідків зміни клімату</w:t>
      </w:r>
      <w:r w:rsidRPr="003C5509">
        <w:rPr>
          <w:sz w:val="28"/>
          <w:lang w:val="uk-UA"/>
        </w:rPr>
        <w:t xml:space="preserve"> за рахунок впровадження заходів з адаптації.</w:t>
      </w:r>
    </w:p>
    <w:p w14:paraId="70CA235C" w14:textId="77777777" w:rsidR="00022CF0" w:rsidRPr="003C5509" w:rsidRDefault="00022CF0" w:rsidP="00D31A07">
      <w:pPr>
        <w:ind w:firstLine="708"/>
        <w:jc w:val="both"/>
        <w:rPr>
          <w:b/>
          <w:bCs/>
          <w:sz w:val="28"/>
          <w:u w:val="single"/>
          <w:lang w:val="uk-UA"/>
        </w:rPr>
      </w:pPr>
    </w:p>
    <w:p w14:paraId="15BB7756" w14:textId="77777777" w:rsidR="00D31A07" w:rsidRPr="003C5509" w:rsidRDefault="00D31A07" w:rsidP="00D31A07">
      <w:pPr>
        <w:ind w:firstLine="708"/>
        <w:jc w:val="both"/>
        <w:rPr>
          <w:b/>
          <w:bCs/>
          <w:sz w:val="28"/>
          <w:u w:val="single"/>
          <w:lang w:val="uk-UA"/>
        </w:rPr>
      </w:pPr>
      <w:r w:rsidRPr="003C5509">
        <w:rPr>
          <w:b/>
          <w:bCs/>
          <w:sz w:val="28"/>
          <w:u w:val="single"/>
          <w:lang w:val="uk-UA"/>
        </w:rPr>
        <w:t xml:space="preserve">Сектор </w:t>
      </w:r>
      <w:bookmarkStart w:id="5" w:name="муніципальні"/>
      <w:r w:rsidRPr="003C5509">
        <w:rPr>
          <w:b/>
          <w:bCs/>
          <w:sz w:val="28"/>
          <w:u w:val="single"/>
          <w:lang w:val="uk-UA"/>
        </w:rPr>
        <w:t xml:space="preserve">муніципальні </w:t>
      </w:r>
      <w:bookmarkEnd w:id="5"/>
      <w:r w:rsidRPr="003C5509">
        <w:rPr>
          <w:b/>
          <w:bCs/>
          <w:sz w:val="28"/>
          <w:u w:val="single"/>
          <w:lang w:val="uk-UA"/>
        </w:rPr>
        <w:t>будівлі, обладнання/об’єкти</w:t>
      </w:r>
    </w:p>
    <w:p w14:paraId="53DDDBE8" w14:textId="548808C2" w:rsidR="00D31A07" w:rsidRPr="003C5509" w:rsidRDefault="00D31A07" w:rsidP="00D31A07">
      <w:pPr>
        <w:ind w:firstLine="708"/>
        <w:jc w:val="both"/>
        <w:rPr>
          <w:szCs w:val="24"/>
          <w:lang w:val="uk-UA"/>
        </w:rPr>
      </w:pPr>
      <w:r w:rsidRPr="003C5509">
        <w:rPr>
          <w:sz w:val="28"/>
          <w:lang w:val="uk-UA"/>
        </w:rPr>
        <w:t xml:space="preserve">Системою енергетичного менеджменту охоплено </w:t>
      </w:r>
      <w:r w:rsidR="00812A32" w:rsidRPr="003C5509">
        <w:rPr>
          <w:sz w:val="28"/>
          <w:lang w:val="uk-UA"/>
        </w:rPr>
        <w:t>5</w:t>
      </w:r>
      <w:r w:rsidRPr="003C5509">
        <w:rPr>
          <w:sz w:val="28"/>
          <w:lang w:val="uk-UA"/>
        </w:rPr>
        <w:t xml:space="preserve"> комунальних підприємств у сфері охорони здоров’я,  які налічують 50 об’єктів, 45 закладів дошкільної освіти у 47 будівлях/приміщеннях, 32 заклади загальної середньої освіти у 45 будівлях/приміщеннях, 2 заклади позашкільної освіти у 7 будівлях/приміщеннях,</w:t>
      </w:r>
      <w:r w:rsidR="00812A32" w:rsidRPr="003C5509">
        <w:rPr>
          <w:sz w:val="28"/>
          <w:lang w:val="uk-UA"/>
        </w:rPr>
        <w:t xml:space="preserve"> 5 закладів професійно-технічної освіти у </w:t>
      </w:r>
      <w:r w:rsidR="000C2162" w:rsidRPr="003C5509">
        <w:rPr>
          <w:sz w:val="28"/>
          <w:lang w:val="uk-UA"/>
        </w:rPr>
        <w:t>15</w:t>
      </w:r>
      <w:r w:rsidR="00812A32" w:rsidRPr="003C5509">
        <w:rPr>
          <w:sz w:val="28"/>
          <w:lang w:val="uk-UA"/>
        </w:rPr>
        <w:t xml:space="preserve"> будівлях/приміщеннях,</w:t>
      </w:r>
      <w:r w:rsidRPr="003C5509">
        <w:rPr>
          <w:sz w:val="28"/>
          <w:lang w:val="uk-UA"/>
        </w:rPr>
        <w:t xml:space="preserve"> 9 закладів культури у 24 будівлях/приміщеннях, 3 об’єкти структурних підрозділів виконавчого комітету Житомирської міської ради.</w:t>
      </w:r>
      <w:r w:rsidR="00E776E1" w:rsidRPr="003C5509">
        <w:rPr>
          <w:sz w:val="28"/>
          <w:lang w:val="uk-UA"/>
        </w:rPr>
        <w:t xml:space="preserve"> </w:t>
      </w:r>
      <w:r w:rsidRPr="003C5509">
        <w:rPr>
          <w:sz w:val="28"/>
          <w:lang w:val="uk-UA"/>
        </w:rPr>
        <w:t>Станом на</w:t>
      </w:r>
      <w:r w:rsidRPr="003C5509">
        <w:rPr>
          <w:color w:val="222222"/>
          <w:sz w:val="28"/>
          <w:shd w:val="clear" w:color="auto" w:fill="FFFFFF"/>
          <w:lang w:val="uk-UA"/>
        </w:rPr>
        <w:t xml:space="preserve"> 01.</w:t>
      </w:r>
      <w:r w:rsidR="00BB4C45" w:rsidRPr="003C5509">
        <w:rPr>
          <w:color w:val="222222"/>
          <w:sz w:val="28"/>
          <w:shd w:val="clear" w:color="auto" w:fill="FFFFFF"/>
          <w:lang w:val="uk-UA"/>
        </w:rPr>
        <w:t>1</w:t>
      </w:r>
      <w:r w:rsidR="00985FBD" w:rsidRPr="003C5509">
        <w:rPr>
          <w:color w:val="222222"/>
          <w:sz w:val="28"/>
          <w:shd w:val="clear" w:color="auto" w:fill="FFFFFF"/>
          <w:lang w:val="uk-UA"/>
        </w:rPr>
        <w:t>1</w:t>
      </w:r>
      <w:r w:rsidRPr="003C5509">
        <w:rPr>
          <w:color w:val="222222"/>
          <w:sz w:val="28"/>
          <w:shd w:val="clear" w:color="auto" w:fill="FFFFFF"/>
          <w:lang w:val="uk-UA"/>
        </w:rPr>
        <w:t>.202</w:t>
      </w:r>
      <w:r w:rsidR="00BB4C45" w:rsidRPr="003C5509">
        <w:rPr>
          <w:color w:val="222222"/>
          <w:sz w:val="28"/>
          <w:shd w:val="clear" w:color="auto" w:fill="FFFFFF"/>
          <w:lang w:val="uk-UA"/>
        </w:rPr>
        <w:t>4</w:t>
      </w:r>
      <w:r w:rsidRPr="003C5509">
        <w:rPr>
          <w:color w:val="222222"/>
          <w:sz w:val="28"/>
          <w:shd w:val="clear" w:color="auto" w:fill="FFFFFF"/>
          <w:lang w:val="uk-UA"/>
        </w:rPr>
        <w:t xml:space="preserve"> року в системі енергетичного моніторингу внесені дані по 1</w:t>
      </w:r>
      <w:r w:rsidR="00BB4C45" w:rsidRPr="003C5509">
        <w:rPr>
          <w:color w:val="222222"/>
          <w:sz w:val="28"/>
          <w:shd w:val="clear" w:color="auto" w:fill="FFFFFF"/>
          <w:lang w:val="uk-UA"/>
        </w:rPr>
        <w:t>89</w:t>
      </w:r>
      <w:r w:rsidRPr="003C5509">
        <w:rPr>
          <w:color w:val="222222"/>
          <w:sz w:val="28"/>
          <w:shd w:val="clear" w:color="auto" w:fill="FFFFFF"/>
          <w:lang w:val="uk-UA"/>
        </w:rPr>
        <w:t xml:space="preserve"> об’єктах.</w:t>
      </w:r>
      <w:r w:rsidR="00FC759F" w:rsidRPr="003C5509">
        <w:rPr>
          <w:color w:val="222222"/>
          <w:sz w:val="28"/>
          <w:shd w:val="clear" w:color="auto" w:fill="FFFFFF"/>
          <w:lang w:val="uk-UA"/>
        </w:rPr>
        <w:t xml:space="preserve"> </w:t>
      </w:r>
    </w:p>
    <w:p w14:paraId="014A3FEE" w14:textId="500FEA9F" w:rsidR="00D31A07" w:rsidRPr="003C5509" w:rsidRDefault="00D31A07" w:rsidP="00D31A07">
      <w:pPr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>На кожному об’єкті призначено відповідальну особу, яка відповідає за вчасне внесення даних про споживання енергетичних ресурсів та за ефективну експлуатацію об’єкту. Для відповідальних осіб щороку проводиться навчання з ефективної експлуатації будівель та їх інженерних систем (</w:t>
      </w:r>
      <w:proofErr w:type="spellStart"/>
      <w:r w:rsidRPr="003C5509">
        <w:rPr>
          <w:sz w:val="28"/>
          <w:lang w:val="uk-UA"/>
        </w:rPr>
        <w:t>фасиліті</w:t>
      </w:r>
      <w:proofErr w:type="spellEnd"/>
      <w:r w:rsidR="00812A32" w:rsidRPr="003C5509">
        <w:rPr>
          <w:sz w:val="28"/>
          <w:lang w:val="uk-UA"/>
        </w:rPr>
        <w:t>-</w:t>
      </w:r>
      <w:r w:rsidRPr="003C5509">
        <w:rPr>
          <w:sz w:val="28"/>
          <w:lang w:val="uk-UA"/>
        </w:rPr>
        <w:t xml:space="preserve">менеджмент). </w:t>
      </w:r>
    </w:p>
    <w:p w14:paraId="18834F7A" w14:textId="0E2104A7" w:rsidR="00D31A07" w:rsidRPr="003C5509" w:rsidRDefault="00D31A07" w:rsidP="00D31A07">
      <w:pPr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 xml:space="preserve">Більшість об’єктів бюджетної сфери </w:t>
      </w:r>
      <w:r w:rsidR="00437D42" w:rsidRPr="003C5509">
        <w:rPr>
          <w:sz w:val="28"/>
          <w:lang w:val="uk-UA"/>
        </w:rPr>
        <w:t>отримують теплову енергію від</w:t>
      </w:r>
      <w:r w:rsidRPr="003C5509">
        <w:rPr>
          <w:sz w:val="28"/>
          <w:lang w:val="uk-UA"/>
        </w:rPr>
        <w:t xml:space="preserve"> мереж централізованого теплопостачання КП «Житомиртеплокомуненерго». В структурі витрат на оплату енергоносіїв </w:t>
      </w:r>
      <w:r w:rsidR="00437D42" w:rsidRPr="003C5509">
        <w:rPr>
          <w:sz w:val="28"/>
          <w:lang w:val="uk-UA"/>
        </w:rPr>
        <w:t>вартість теплової енергії</w:t>
      </w:r>
      <w:r w:rsidRPr="003C5509">
        <w:rPr>
          <w:sz w:val="28"/>
          <w:lang w:val="uk-UA"/>
        </w:rPr>
        <w:t xml:space="preserve"> займає найбільшу частку.</w:t>
      </w:r>
      <w:r w:rsidR="00437D42" w:rsidRPr="003C5509">
        <w:rPr>
          <w:sz w:val="28"/>
          <w:lang w:val="uk-UA"/>
        </w:rPr>
        <w:t xml:space="preserve"> Разом з тим, за 2017-2023 роки майже в 5 разів збільшилась сума коштів, яку установи та заклади громади витрачають на оплату електроенергії.</w:t>
      </w:r>
    </w:p>
    <w:p w14:paraId="4B16EF97" w14:textId="77777777" w:rsidR="009801E6" w:rsidRPr="003C5509" w:rsidRDefault="009801E6" w:rsidP="009801E6">
      <w:pPr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 xml:space="preserve">В грудні 2018 року затверджено Положення про стимулювання заходів з енергозбереження в бюджетних закладах громади, відповідно до якого затверджуються розрахунки економії коштів, виділених на оплату теплової </w:t>
      </w:r>
      <w:r w:rsidRPr="003C5509">
        <w:rPr>
          <w:sz w:val="28"/>
          <w:lang w:val="uk-UA"/>
        </w:rPr>
        <w:lastRenderedPageBreak/>
        <w:t>енергії, з урахуванням основних факторів – тарифу, погоди та експлуатації будівель. За 2019-2023 загальна сума економії коштів внаслідок експлуатації склала близько 26,2 млн грн.</w:t>
      </w:r>
    </w:p>
    <w:p w14:paraId="544E260B" w14:textId="53A88329" w:rsidR="00437D42" w:rsidRDefault="00437D42" w:rsidP="00437D42">
      <w:pPr>
        <w:jc w:val="center"/>
        <w:rPr>
          <w:sz w:val="28"/>
          <w:highlight w:val="yellow"/>
          <w:lang w:val="uk-UA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51FA795" wp14:editId="161D8B77">
            <wp:simplePos x="0" y="0"/>
            <wp:positionH relativeFrom="column">
              <wp:posOffset>-94642</wp:posOffset>
            </wp:positionH>
            <wp:positionV relativeFrom="paragraph">
              <wp:posOffset>182990</wp:posOffset>
            </wp:positionV>
            <wp:extent cx="6035675" cy="3801745"/>
            <wp:effectExtent l="0" t="0" r="0" b="0"/>
            <wp:wrapTopAndBottom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295A51" w14:textId="747376C1" w:rsidR="00D31A07" w:rsidRPr="003C5509" w:rsidRDefault="00D31A07" w:rsidP="00D31A07">
      <w:pPr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 xml:space="preserve">Станом на </w:t>
      </w:r>
      <w:r w:rsidR="0012553A" w:rsidRPr="003C5509">
        <w:rPr>
          <w:sz w:val="28"/>
          <w:lang w:val="uk-UA"/>
        </w:rPr>
        <w:t xml:space="preserve">кінець </w:t>
      </w:r>
      <w:r w:rsidRPr="003C5509">
        <w:rPr>
          <w:sz w:val="28"/>
          <w:lang w:val="uk-UA"/>
        </w:rPr>
        <w:t>202</w:t>
      </w:r>
      <w:r w:rsidR="00537D1C" w:rsidRPr="003C5509">
        <w:rPr>
          <w:sz w:val="28"/>
          <w:lang w:val="uk-UA"/>
        </w:rPr>
        <w:t>4</w:t>
      </w:r>
      <w:r w:rsidRPr="003C5509">
        <w:rPr>
          <w:sz w:val="28"/>
          <w:lang w:val="uk-UA"/>
        </w:rPr>
        <w:t xml:space="preserve"> </w:t>
      </w:r>
      <w:r w:rsidR="00117536" w:rsidRPr="003C5509">
        <w:rPr>
          <w:sz w:val="28"/>
          <w:lang w:val="uk-UA"/>
        </w:rPr>
        <w:t xml:space="preserve">року </w:t>
      </w:r>
      <w:r w:rsidRPr="003C5509">
        <w:rPr>
          <w:sz w:val="28"/>
          <w:lang w:val="uk-UA"/>
        </w:rPr>
        <w:t>утеплено</w:t>
      </w:r>
      <w:r w:rsidR="0012553A" w:rsidRPr="003C5509">
        <w:rPr>
          <w:sz w:val="28"/>
          <w:lang w:val="uk-UA"/>
        </w:rPr>
        <w:t xml:space="preserve"> 29 будівель</w:t>
      </w:r>
      <w:r w:rsidRPr="003C5509">
        <w:rPr>
          <w:sz w:val="28"/>
          <w:lang w:val="uk-UA"/>
        </w:rPr>
        <w:t xml:space="preserve"> </w:t>
      </w:r>
      <w:r w:rsidR="0012553A" w:rsidRPr="003C5509">
        <w:rPr>
          <w:sz w:val="28"/>
          <w:lang w:val="uk-UA"/>
        </w:rPr>
        <w:t>шкіл, дитсадків, закладів охорони здоров’я тощо</w:t>
      </w:r>
      <w:r w:rsidRPr="003C5509">
        <w:rPr>
          <w:sz w:val="28"/>
          <w:lang w:val="uk-UA"/>
        </w:rPr>
        <w:t>. Більшість будівель утеплено в рамках міжнародни</w:t>
      </w:r>
      <w:r w:rsidR="0012553A" w:rsidRPr="003C5509">
        <w:rPr>
          <w:sz w:val="28"/>
          <w:lang w:val="uk-UA"/>
        </w:rPr>
        <w:t>х</w:t>
      </w:r>
      <w:r w:rsidRPr="003C5509">
        <w:rPr>
          <w:sz w:val="28"/>
          <w:lang w:val="uk-UA"/>
        </w:rPr>
        <w:t xml:space="preserve"> проєкт</w:t>
      </w:r>
      <w:r w:rsidR="0012553A" w:rsidRPr="003C5509">
        <w:rPr>
          <w:sz w:val="28"/>
          <w:lang w:val="uk-UA"/>
        </w:rPr>
        <w:t>ів</w:t>
      </w:r>
      <w:r w:rsidRPr="003C5509">
        <w:rPr>
          <w:sz w:val="28"/>
          <w:lang w:val="uk-UA"/>
        </w:rPr>
        <w:t xml:space="preserve"> за кредитні, ґрантові кошти та</w:t>
      </w:r>
      <w:r w:rsidR="0012553A" w:rsidRPr="003C5509">
        <w:rPr>
          <w:sz w:val="28"/>
          <w:lang w:val="uk-UA"/>
        </w:rPr>
        <w:t xml:space="preserve"> при</w:t>
      </w:r>
      <w:r w:rsidRPr="003C5509">
        <w:rPr>
          <w:sz w:val="28"/>
          <w:lang w:val="uk-UA"/>
        </w:rPr>
        <w:t xml:space="preserve"> </w:t>
      </w:r>
      <w:proofErr w:type="spellStart"/>
      <w:r w:rsidR="0012553A" w:rsidRPr="003C5509">
        <w:rPr>
          <w:sz w:val="28"/>
          <w:lang w:val="uk-UA"/>
        </w:rPr>
        <w:t>співфінансуванні</w:t>
      </w:r>
      <w:proofErr w:type="spellEnd"/>
      <w:r w:rsidRPr="003C5509">
        <w:rPr>
          <w:sz w:val="28"/>
          <w:lang w:val="uk-UA"/>
        </w:rPr>
        <w:t xml:space="preserve"> з бюджету</w:t>
      </w:r>
      <w:r w:rsidR="0012553A" w:rsidRPr="003C5509">
        <w:rPr>
          <w:sz w:val="28"/>
          <w:lang w:val="uk-UA"/>
        </w:rPr>
        <w:t xml:space="preserve"> громади</w:t>
      </w:r>
      <w:r w:rsidRPr="003C5509">
        <w:rPr>
          <w:sz w:val="28"/>
          <w:lang w:val="uk-UA"/>
        </w:rPr>
        <w:t xml:space="preserve">. Для ефективного управлінням системами опалення та гарячого водопостачання в згаданих будівлях встановлено </w:t>
      </w:r>
      <w:r w:rsidR="00537D1C" w:rsidRPr="003C5509">
        <w:rPr>
          <w:sz w:val="28"/>
          <w:lang w:val="uk-UA"/>
        </w:rPr>
        <w:t>35</w:t>
      </w:r>
      <w:r w:rsidRPr="003C5509">
        <w:rPr>
          <w:sz w:val="28"/>
          <w:lang w:val="uk-UA"/>
        </w:rPr>
        <w:t xml:space="preserve"> індивідуальних теплових пунктів (ІТП).</w:t>
      </w:r>
    </w:p>
    <w:p w14:paraId="107A9F02" w14:textId="14684FED" w:rsidR="00D31A07" w:rsidRPr="003C5509" w:rsidRDefault="003B3B0C" w:rsidP="00D31A07">
      <w:pPr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>Проводиться</w:t>
      </w:r>
      <w:r w:rsidR="00D31A07" w:rsidRPr="003C5509">
        <w:rPr>
          <w:sz w:val="28"/>
          <w:lang w:val="uk-UA"/>
        </w:rPr>
        <w:t xml:space="preserve"> робота з встановлення аераторів, заміна водорозбірної арматури, заміна освітлювальних приладів на енергоефективні світлодіодні, гідрохімічне промивання систем опалення, встановлення тепловідбивних екранів за радіаторами, утеплення трубопроводів систем опалення та гарячого водопостачання тощо. </w:t>
      </w:r>
    </w:p>
    <w:p w14:paraId="4B32D170" w14:textId="2F5FAC2A" w:rsidR="00D31A07" w:rsidRPr="003C5509" w:rsidRDefault="00D31A07" w:rsidP="00A4389D">
      <w:pPr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>Розпочато роботу над проєктом «Енергоефективність у громадах І»</w:t>
      </w:r>
      <w:r w:rsidR="00A4389D" w:rsidRPr="003C5509">
        <w:rPr>
          <w:sz w:val="28"/>
          <w:lang w:val="uk-UA"/>
        </w:rPr>
        <w:t xml:space="preserve"> у співпраці з німецьким державним</w:t>
      </w:r>
      <w:r w:rsidR="008B390B" w:rsidRPr="003C5509">
        <w:rPr>
          <w:sz w:val="28"/>
          <w:lang w:val="uk-UA"/>
        </w:rPr>
        <w:t xml:space="preserve"> </w:t>
      </w:r>
      <w:r w:rsidR="00A4389D" w:rsidRPr="003C5509">
        <w:rPr>
          <w:sz w:val="28"/>
          <w:lang w:val="uk-UA"/>
        </w:rPr>
        <w:t>банком</w:t>
      </w:r>
      <w:r w:rsidR="008B390B" w:rsidRPr="003C5509">
        <w:rPr>
          <w:sz w:val="28"/>
          <w:lang w:val="uk-UA"/>
        </w:rPr>
        <w:t xml:space="preserve"> </w:t>
      </w:r>
      <w:r w:rsidR="00A4389D" w:rsidRPr="003C5509">
        <w:rPr>
          <w:sz w:val="28"/>
          <w:lang w:val="uk-UA"/>
        </w:rPr>
        <w:t>розвитку</w:t>
      </w:r>
      <w:r w:rsidR="0023587D" w:rsidRPr="003C5509">
        <w:rPr>
          <w:sz w:val="28"/>
          <w:lang w:val="uk-UA"/>
        </w:rPr>
        <w:t xml:space="preserve"> (</w:t>
      </w:r>
      <w:r w:rsidR="004A7F88" w:rsidRPr="003C5509">
        <w:rPr>
          <w:sz w:val="28"/>
          <w:lang w:val="uk-UA"/>
        </w:rPr>
        <w:t>K</w:t>
      </w:r>
      <w:r w:rsidR="004A7F88" w:rsidRPr="003C5509">
        <w:rPr>
          <w:sz w:val="28"/>
          <w:lang w:val="en-US"/>
        </w:rPr>
        <w:t>F</w:t>
      </w:r>
      <w:r w:rsidRPr="003C5509">
        <w:rPr>
          <w:sz w:val="28"/>
          <w:lang w:val="uk-UA"/>
        </w:rPr>
        <w:t>W</w:t>
      </w:r>
      <w:r w:rsidR="0023587D" w:rsidRPr="003C5509">
        <w:rPr>
          <w:sz w:val="28"/>
          <w:lang w:val="uk-UA"/>
        </w:rPr>
        <w:t>)</w:t>
      </w:r>
      <w:r w:rsidRPr="003C5509">
        <w:rPr>
          <w:sz w:val="28"/>
          <w:lang w:val="uk-UA"/>
        </w:rPr>
        <w:t xml:space="preserve">. Проєктом передбачається термореновація 40 будівель закладів </w:t>
      </w:r>
      <w:r w:rsidR="005F1135" w:rsidRPr="003C5509">
        <w:rPr>
          <w:sz w:val="28"/>
          <w:lang w:val="uk-UA"/>
        </w:rPr>
        <w:t>освіти</w:t>
      </w:r>
      <w:r w:rsidRPr="003C5509">
        <w:rPr>
          <w:sz w:val="28"/>
          <w:lang w:val="uk-UA"/>
        </w:rPr>
        <w:t xml:space="preserve">. Запланований </w:t>
      </w:r>
      <w:r w:rsidR="005F1135" w:rsidRPr="003C5509">
        <w:rPr>
          <w:sz w:val="28"/>
          <w:lang w:val="uk-UA"/>
        </w:rPr>
        <w:t>строк</w:t>
      </w:r>
      <w:r w:rsidRPr="003C5509">
        <w:rPr>
          <w:sz w:val="28"/>
          <w:lang w:val="uk-UA"/>
        </w:rPr>
        <w:t xml:space="preserve"> реалізації проєкту 20</w:t>
      </w:r>
      <w:r w:rsidR="00BB4C45" w:rsidRPr="003C5509">
        <w:rPr>
          <w:sz w:val="28"/>
          <w:lang w:val="uk-UA"/>
        </w:rPr>
        <w:t>2</w:t>
      </w:r>
      <w:r w:rsidR="005F1135" w:rsidRPr="003C5509">
        <w:rPr>
          <w:sz w:val="28"/>
          <w:lang w:val="uk-UA"/>
        </w:rPr>
        <w:t>5</w:t>
      </w:r>
      <w:r w:rsidRPr="003C5509">
        <w:rPr>
          <w:sz w:val="28"/>
          <w:lang w:val="uk-UA"/>
        </w:rPr>
        <w:t>-202</w:t>
      </w:r>
      <w:r w:rsidR="005F1135" w:rsidRPr="003C5509">
        <w:rPr>
          <w:sz w:val="28"/>
          <w:lang w:val="uk-UA"/>
        </w:rPr>
        <w:t>8</w:t>
      </w:r>
      <w:r w:rsidRPr="003C5509">
        <w:rPr>
          <w:sz w:val="28"/>
          <w:lang w:val="uk-UA"/>
        </w:rPr>
        <w:t xml:space="preserve"> роки. Так, у 202</w:t>
      </w:r>
      <w:r w:rsidR="00AD129B" w:rsidRPr="003C5509">
        <w:rPr>
          <w:sz w:val="28"/>
          <w:lang w:val="uk-UA"/>
        </w:rPr>
        <w:t>4 році триває підготовка контракту на консультаційні послуги.</w:t>
      </w:r>
    </w:p>
    <w:p w14:paraId="77999AFD" w14:textId="77777777" w:rsidR="00022CF0" w:rsidRPr="003C5509" w:rsidRDefault="00022CF0" w:rsidP="00D31A07">
      <w:pPr>
        <w:jc w:val="both"/>
        <w:rPr>
          <w:b/>
          <w:bCs/>
          <w:sz w:val="28"/>
          <w:u w:val="single"/>
          <w:lang w:val="uk-UA"/>
        </w:rPr>
      </w:pPr>
    </w:p>
    <w:p w14:paraId="5ADBCBED" w14:textId="77777777" w:rsidR="00D31A07" w:rsidRPr="003C5509" w:rsidRDefault="00D31A07" w:rsidP="00DC773A">
      <w:pPr>
        <w:ind w:firstLine="708"/>
        <w:jc w:val="both"/>
        <w:rPr>
          <w:b/>
          <w:bCs/>
          <w:sz w:val="28"/>
          <w:u w:val="single"/>
          <w:lang w:val="uk-UA"/>
        </w:rPr>
      </w:pPr>
      <w:r w:rsidRPr="003C5509">
        <w:rPr>
          <w:b/>
          <w:bCs/>
          <w:sz w:val="28"/>
          <w:u w:val="single"/>
          <w:lang w:val="uk-UA"/>
        </w:rPr>
        <w:t xml:space="preserve">Сектор </w:t>
      </w:r>
      <w:bookmarkStart w:id="6" w:name="житлові"/>
      <w:r w:rsidRPr="003C5509">
        <w:rPr>
          <w:b/>
          <w:bCs/>
          <w:sz w:val="28"/>
          <w:u w:val="single"/>
          <w:lang w:val="uk-UA"/>
        </w:rPr>
        <w:t>житлові</w:t>
      </w:r>
      <w:bookmarkEnd w:id="6"/>
      <w:r w:rsidRPr="003C5509">
        <w:rPr>
          <w:b/>
          <w:bCs/>
          <w:sz w:val="28"/>
          <w:u w:val="single"/>
          <w:lang w:val="uk-UA"/>
        </w:rPr>
        <w:t xml:space="preserve"> будівлі</w:t>
      </w:r>
    </w:p>
    <w:p w14:paraId="3D2B3238" w14:textId="6513E8CC" w:rsidR="00D31A07" w:rsidRPr="003C5509" w:rsidRDefault="000B70C1" w:rsidP="00D31A07">
      <w:pPr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 xml:space="preserve">Житловий фонд багатоквартирних будинків </w:t>
      </w:r>
      <w:r w:rsidR="004E4F85" w:rsidRPr="003C5509">
        <w:rPr>
          <w:sz w:val="28"/>
          <w:lang w:val="uk-UA"/>
        </w:rPr>
        <w:t>Житомирської громади</w:t>
      </w:r>
      <w:r w:rsidRPr="003C5509">
        <w:rPr>
          <w:sz w:val="28"/>
          <w:lang w:val="uk-UA"/>
        </w:rPr>
        <w:t xml:space="preserve"> </w:t>
      </w:r>
      <w:r w:rsidR="005E5AF4" w:rsidRPr="003C5509">
        <w:rPr>
          <w:sz w:val="28"/>
          <w:lang w:val="uk-UA"/>
        </w:rPr>
        <w:t>станом на 01.1</w:t>
      </w:r>
      <w:r w:rsidR="005E5AF4" w:rsidRPr="003C5509">
        <w:rPr>
          <w:sz w:val="28"/>
        </w:rPr>
        <w:t>1</w:t>
      </w:r>
      <w:r w:rsidR="005E5AF4" w:rsidRPr="003C5509">
        <w:rPr>
          <w:sz w:val="28"/>
          <w:lang w:val="uk-UA"/>
        </w:rPr>
        <w:t xml:space="preserve">.2024 року </w:t>
      </w:r>
      <w:r w:rsidRPr="003C5509">
        <w:rPr>
          <w:sz w:val="28"/>
          <w:lang w:val="uk-UA"/>
        </w:rPr>
        <w:t>налічує 1540 будинків</w:t>
      </w:r>
      <w:r w:rsidR="005E5AF4" w:rsidRPr="003C5509">
        <w:rPr>
          <w:sz w:val="28"/>
          <w:lang w:val="uk-UA"/>
        </w:rPr>
        <w:t>, с</w:t>
      </w:r>
      <w:r w:rsidR="00D31A07" w:rsidRPr="003C5509">
        <w:rPr>
          <w:sz w:val="28"/>
          <w:lang w:val="uk-UA"/>
        </w:rPr>
        <w:t xml:space="preserve">еред яких зареєстровано </w:t>
      </w:r>
      <w:r w:rsidR="00F02B73" w:rsidRPr="003C5509">
        <w:rPr>
          <w:sz w:val="28"/>
          <w:lang w:val="uk-UA"/>
        </w:rPr>
        <w:t>4</w:t>
      </w:r>
      <w:r w:rsidR="004E4F85" w:rsidRPr="003C5509">
        <w:rPr>
          <w:sz w:val="28"/>
          <w:lang w:val="uk-UA"/>
        </w:rPr>
        <w:t>80</w:t>
      </w:r>
      <w:r w:rsidR="00D31A07" w:rsidRPr="003C5509">
        <w:rPr>
          <w:sz w:val="28"/>
          <w:lang w:val="uk-UA"/>
        </w:rPr>
        <w:t xml:space="preserve"> об’єднання співвласників багатоквартирних будинків (далі - ОСББ) у </w:t>
      </w:r>
      <w:r w:rsidR="00F02B73" w:rsidRPr="003C5509">
        <w:rPr>
          <w:sz w:val="28"/>
          <w:lang w:val="uk-UA"/>
        </w:rPr>
        <w:t>5</w:t>
      </w:r>
      <w:r w:rsidR="004E4F85" w:rsidRPr="003C5509">
        <w:rPr>
          <w:sz w:val="28"/>
          <w:lang w:val="uk-UA"/>
        </w:rPr>
        <w:t>33</w:t>
      </w:r>
      <w:r w:rsidR="00D31A07" w:rsidRPr="003C5509">
        <w:rPr>
          <w:sz w:val="28"/>
          <w:lang w:val="uk-UA"/>
        </w:rPr>
        <w:t xml:space="preserve"> </w:t>
      </w:r>
      <w:r w:rsidR="00D31A07" w:rsidRPr="003C5509">
        <w:rPr>
          <w:sz w:val="28"/>
          <w:lang w:val="uk-UA"/>
        </w:rPr>
        <w:lastRenderedPageBreak/>
        <w:t>житлових будинках. Окрім цього</w:t>
      </w:r>
      <w:r w:rsidR="005E5AF4" w:rsidRPr="003C5509">
        <w:rPr>
          <w:sz w:val="28"/>
          <w:lang w:val="uk-UA"/>
        </w:rPr>
        <w:t>,</w:t>
      </w:r>
      <w:r w:rsidR="00D31A07" w:rsidRPr="003C5509">
        <w:rPr>
          <w:sz w:val="28"/>
          <w:lang w:val="uk-UA"/>
        </w:rPr>
        <w:t xml:space="preserve"> управління житловими багатоквартирними будинками здійсню</w:t>
      </w:r>
      <w:r w:rsidR="005E5AF4" w:rsidRPr="003C5509">
        <w:rPr>
          <w:sz w:val="28"/>
          <w:lang w:val="uk-UA"/>
        </w:rPr>
        <w:t>ють</w:t>
      </w:r>
      <w:r w:rsidR="00D31A07" w:rsidRPr="003C5509">
        <w:rPr>
          <w:sz w:val="28"/>
          <w:lang w:val="uk-UA"/>
        </w:rPr>
        <w:t xml:space="preserve"> управляюч</w:t>
      </w:r>
      <w:r w:rsidR="005E5AF4" w:rsidRPr="003C5509">
        <w:rPr>
          <w:sz w:val="28"/>
          <w:lang w:val="uk-UA"/>
        </w:rPr>
        <w:t>і</w:t>
      </w:r>
      <w:r w:rsidR="00D31A07" w:rsidRPr="003C5509">
        <w:rPr>
          <w:sz w:val="28"/>
          <w:lang w:val="uk-UA"/>
        </w:rPr>
        <w:t xml:space="preserve"> компані</w:t>
      </w:r>
      <w:r w:rsidR="005E5AF4" w:rsidRPr="003C5509">
        <w:rPr>
          <w:sz w:val="28"/>
          <w:lang w:val="uk-UA"/>
        </w:rPr>
        <w:t>ї</w:t>
      </w:r>
      <w:r w:rsidR="00D31A07" w:rsidRPr="003C5509">
        <w:rPr>
          <w:sz w:val="28"/>
          <w:lang w:val="uk-UA"/>
        </w:rPr>
        <w:t xml:space="preserve"> у кількості 28 компаній, до управління яких належать 931 будинок.</w:t>
      </w:r>
    </w:p>
    <w:p w14:paraId="3D325022" w14:textId="08E5C1DA" w:rsidR="00D31A07" w:rsidRPr="003C5509" w:rsidRDefault="00D31A07" w:rsidP="00D31A07">
      <w:pPr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 xml:space="preserve">Житловий фонд є одним з найбільш </w:t>
      </w:r>
      <w:proofErr w:type="spellStart"/>
      <w:r w:rsidRPr="003C5509">
        <w:rPr>
          <w:sz w:val="28"/>
          <w:lang w:val="uk-UA"/>
        </w:rPr>
        <w:t>енергозатратних</w:t>
      </w:r>
      <w:proofErr w:type="spellEnd"/>
      <w:r w:rsidRPr="003C5509">
        <w:rPr>
          <w:sz w:val="28"/>
          <w:lang w:val="uk-UA"/>
        </w:rPr>
        <w:t xml:space="preserve"> секторів. Найбільші витрати</w:t>
      </w:r>
      <w:r w:rsidR="004D373B" w:rsidRPr="003C5509">
        <w:rPr>
          <w:sz w:val="28"/>
          <w:lang w:val="uk-UA"/>
        </w:rPr>
        <w:t xml:space="preserve"> природного</w:t>
      </w:r>
      <w:r w:rsidRPr="003C5509">
        <w:rPr>
          <w:sz w:val="28"/>
          <w:lang w:val="uk-UA"/>
        </w:rPr>
        <w:t xml:space="preserve"> газу, ціна на який постійно зростає, </w:t>
      </w:r>
      <w:r w:rsidR="004D373B" w:rsidRPr="003C5509">
        <w:rPr>
          <w:sz w:val="28"/>
          <w:lang w:val="uk-UA"/>
        </w:rPr>
        <w:t>здійснюються</w:t>
      </w:r>
      <w:r w:rsidRPr="003C5509">
        <w:rPr>
          <w:sz w:val="28"/>
          <w:lang w:val="uk-UA"/>
        </w:rPr>
        <w:t xml:space="preserve"> </w:t>
      </w:r>
      <w:r w:rsidR="004D373B" w:rsidRPr="003C5509">
        <w:rPr>
          <w:sz w:val="28"/>
          <w:lang w:val="uk-UA"/>
        </w:rPr>
        <w:t>для опалення житла та для</w:t>
      </w:r>
      <w:r w:rsidRPr="003C5509">
        <w:rPr>
          <w:sz w:val="28"/>
          <w:lang w:val="uk-UA"/>
        </w:rPr>
        <w:t xml:space="preserve"> виробництва тепла </w:t>
      </w:r>
      <w:r w:rsidR="004D373B" w:rsidRPr="003C5509">
        <w:rPr>
          <w:sz w:val="28"/>
          <w:lang w:val="uk-UA"/>
        </w:rPr>
        <w:t>системою централізованого теплопостачання</w:t>
      </w:r>
      <w:r w:rsidRPr="003C5509">
        <w:rPr>
          <w:sz w:val="28"/>
          <w:lang w:val="uk-UA"/>
        </w:rPr>
        <w:t xml:space="preserve">. Потенціал економії теплової енергії </w:t>
      </w:r>
      <w:r w:rsidR="004D373B" w:rsidRPr="003C5509">
        <w:rPr>
          <w:sz w:val="28"/>
          <w:lang w:val="uk-UA"/>
        </w:rPr>
        <w:t xml:space="preserve">для потреб опалення </w:t>
      </w:r>
      <w:r w:rsidRPr="003C5509">
        <w:rPr>
          <w:sz w:val="28"/>
          <w:lang w:val="uk-UA"/>
        </w:rPr>
        <w:t xml:space="preserve">складає 40-60% в кожному будинку </w:t>
      </w:r>
      <w:r w:rsidR="004D373B" w:rsidRPr="003C5509">
        <w:rPr>
          <w:sz w:val="28"/>
          <w:lang w:val="uk-UA"/>
        </w:rPr>
        <w:t>у випадку</w:t>
      </w:r>
      <w:r w:rsidRPr="003C5509">
        <w:rPr>
          <w:sz w:val="28"/>
          <w:lang w:val="uk-UA"/>
        </w:rPr>
        <w:t xml:space="preserve"> підвищення </w:t>
      </w:r>
      <w:r w:rsidR="004D373B" w:rsidRPr="003C5509">
        <w:rPr>
          <w:sz w:val="28"/>
          <w:lang w:val="uk-UA"/>
        </w:rPr>
        <w:t xml:space="preserve">його </w:t>
      </w:r>
      <w:r w:rsidRPr="003C5509">
        <w:rPr>
          <w:sz w:val="28"/>
          <w:lang w:val="uk-UA"/>
        </w:rPr>
        <w:t>енергозберігаючих характеристик.</w:t>
      </w:r>
    </w:p>
    <w:p w14:paraId="2F2E8F43" w14:textId="0DF703B1" w:rsidR="00891672" w:rsidRPr="003C5509" w:rsidRDefault="00095720" w:rsidP="00D31A07">
      <w:pPr>
        <w:ind w:firstLine="708"/>
        <w:jc w:val="both"/>
        <w:rPr>
          <w:sz w:val="28"/>
          <w:lang w:val="uk-UA" w:eastAsia="uk-UA"/>
        </w:rPr>
      </w:pPr>
      <w:r w:rsidRPr="003C5509">
        <w:rPr>
          <w:sz w:val="28"/>
          <w:lang w:val="uk-UA"/>
        </w:rPr>
        <w:t>У 2015-2020 роках</w:t>
      </w:r>
      <w:r w:rsidR="00891672" w:rsidRPr="003C5509">
        <w:rPr>
          <w:sz w:val="28"/>
          <w:lang w:val="uk-UA"/>
        </w:rPr>
        <w:t xml:space="preserve"> </w:t>
      </w:r>
      <w:r w:rsidR="00320452" w:rsidRPr="003C5509">
        <w:rPr>
          <w:sz w:val="28"/>
          <w:lang w:val="uk-UA"/>
        </w:rPr>
        <w:t>в</w:t>
      </w:r>
      <w:r w:rsidR="00891672" w:rsidRPr="003C5509">
        <w:rPr>
          <w:sz w:val="28"/>
          <w:lang w:val="uk-UA"/>
        </w:rPr>
        <w:t xml:space="preserve"> Житомир</w:t>
      </w:r>
      <w:r w:rsidR="00320452" w:rsidRPr="003C5509">
        <w:rPr>
          <w:sz w:val="28"/>
          <w:lang w:val="uk-UA"/>
        </w:rPr>
        <w:t>і</w:t>
      </w:r>
      <w:r w:rsidRPr="003C5509">
        <w:rPr>
          <w:sz w:val="28"/>
          <w:lang w:val="uk-UA"/>
        </w:rPr>
        <w:t xml:space="preserve"> д</w:t>
      </w:r>
      <w:r w:rsidR="00022CF0" w:rsidRPr="003C5509">
        <w:rPr>
          <w:sz w:val="28"/>
          <w:lang w:val="uk-UA"/>
        </w:rPr>
        <w:t>іяли</w:t>
      </w:r>
      <w:r w:rsidR="00891672" w:rsidRPr="003C5509">
        <w:rPr>
          <w:sz w:val="28"/>
          <w:lang w:val="uk-UA"/>
        </w:rPr>
        <w:t xml:space="preserve"> міські</w:t>
      </w:r>
      <w:r w:rsidR="00022CF0" w:rsidRPr="003C5509">
        <w:rPr>
          <w:sz w:val="28"/>
          <w:lang w:val="uk-UA"/>
        </w:rPr>
        <w:t xml:space="preserve"> програми підтримки запровадження енергоефективних заходів</w:t>
      </w:r>
      <w:r w:rsidR="00891672" w:rsidRPr="003C5509">
        <w:rPr>
          <w:sz w:val="28"/>
          <w:lang w:val="uk-UA"/>
        </w:rPr>
        <w:t xml:space="preserve"> в рамках урядової програми «теплі кредити».</w:t>
      </w:r>
      <w:r w:rsidR="00F02B73" w:rsidRPr="003C5509">
        <w:rPr>
          <w:sz w:val="28"/>
          <w:lang w:val="uk-UA"/>
        </w:rPr>
        <w:t xml:space="preserve"> </w:t>
      </w:r>
      <w:r w:rsidR="00320452" w:rsidRPr="003C5509">
        <w:rPr>
          <w:sz w:val="28"/>
          <w:lang w:val="uk-UA"/>
        </w:rPr>
        <w:t>ОСББ Житомира могли отримати відшкодування відсотків або частини тіла кредиту, взятого на впровадження заходів з підвищення енергоефективності. Після завершення програми «теплих кредитів» почала діяти п</w:t>
      </w:r>
      <w:r w:rsidR="00320452" w:rsidRPr="003C5509">
        <w:rPr>
          <w:sz w:val="28"/>
          <w:lang w:val="uk-UA" w:eastAsia="uk-UA"/>
        </w:rPr>
        <w:t>рограма «ЕНЕРГОДІМ» державної установи «Фонд енергоефективності».</w:t>
      </w:r>
    </w:p>
    <w:p w14:paraId="78D38830" w14:textId="0DC85179" w:rsidR="00674203" w:rsidRDefault="00674203" w:rsidP="00674203">
      <w:pPr>
        <w:jc w:val="both"/>
        <w:rPr>
          <w:sz w:val="28"/>
          <w:highlight w:val="green"/>
          <w:lang w:val="uk-U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4C9AF98" wp14:editId="404CFF56">
            <wp:simplePos x="0" y="0"/>
            <wp:positionH relativeFrom="column">
              <wp:posOffset>1242</wp:posOffset>
            </wp:positionH>
            <wp:positionV relativeFrom="paragraph">
              <wp:posOffset>4114</wp:posOffset>
            </wp:positionV>
            <wp:extent cx="5940425" cy="3469640"/>
            <wp:effectExtent l="0" t="0" r="0" b="0"/>
            <wp:wrapTopAndBottom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14:paraId="43D64508" w14:textId="77777777" w:rsidR="00674203" w:rsidRPr="003C5509" w:rsidRDefault="00674203" w:rsidP="00674203">
      <w:pPr>
        <w:ind w:firstLine="708"/>
        <w:jc w:val="both"/>
        <w:rPr>
          <w:color w:val="000000"/>
          <w:sz w:val="28"/>
          <w:shd w:val="clear" w:color="auto" w:fill="FFFFFF"/>
          <w:lang w:val="uk-UA"/>
        </w:rPr>
      </w:pPr>
      <w:r w:rsidRPr="003C5509">
        <w:rPr>
          <w:sz w:val="28"/>
          <w:lang w:val="uk-UA"/>
        </w:rPr>
        <w:t xml:space="preserve">У 2020 році було розроблено </w:t>
      </w:r>
      <w:r w:rsidRPr="003C5509">
        <w:rPr>
          <w:sz w:val="28"/>
          <w:lang w:val="uk-UA" w:eastAsia="ar-SA"/>
        </w:rPr>
        <w:t>Порядок</w:t>
      </w:r>
      <w:r w:rsidRPr="003C5509">
        <w:rPr>
          <w:b/>
          <w:bCs/>
          <w:sz w:val="28"/>
          <w:lang w:val="uk-UA" w:eastAsia="ar-SA"/>
        </w:rPr>
        <w:t xml:space="preserve"> </w:t>
      </w:r>
      <w:r w:rsidRPr="003C5509">
        <w:rPr>
          <w:color w:val="000000"/>
          <w:sz w:val="28"/>
          <w:shd w:val="clear" w:color="auto" w:fill="FFFFFF"/>
          <w:lang w:val="uk-UA"/>
        </w:rPr>
        <w:t>відшкодування відсотків по кредиту на впровадження заходів енергомодернізації житлових будівель протягом перших 18 місяців кредитування (для ОСББ, які беруть участь у Програмі «ЕНЕРГОДІМ»).</w:t>
      </w:r>
    </w:p>
    <w:p w14:paraId="649324F9" w14:textId="77777777" w:rsidR="004C64D1" w:rsidRPr="003C5509" w:rsidRDefault="00674203" w:rsidP="004C64D1">
      <w:pPr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 xml:space="preserve">У зв’язку з воєнним станом на території України з лютого 2022 року банківські установи зупинили видачу </w:t>
      </w:r>
      <w:r w:rsidRPr="003C5509">
        <w:rPr>
          <w:color w:val="000000"/>
          <w:sz w:val="28"/>
          <w:shd w:val="clear" w:color="auto" w:fill="FFFFFF"/>
          <w:lang w:val="uk-UA"/>
        </w:rPr>
        <w:t>кредитів для ОСББ</w:t>
      </w:r>
      <w:r w:rsidRPr="003C5509">
        <w:rPr>
          <w:sz w:val="28"/>
          <w:lang w:val="uk-UA"/>
        </w:rPr>
        <w:t>.</w:t>
      </w:r>
    </w:p>
    <w:p w14:paraId="3A7B3599" w14:textId="7BFE5B5D" w:rsidR="000A03C3" w:rsidRDefault="004E4F85" w:rsidP="004C64D1">
      <w:pPr>
        <w:ind w:firstLine="708"/>
        <w:jc w:val="both"/>
        <w:rPr>
          <w:color w:val="000000" w:themeColor="text1"/>
          <w:sz w:val="28"/>
          <w:lang w:val="uk-UA" w:eastAsia="ar-SA"/>
        </w:rPr>
      </w:pPr>
      <w:r w:rsidRPr="003C5509">
        <w:rPr>
          <w:color w:val="000000" w:themeColor="text1"/>
          <w:sz w:val="28"/>
          <w:lang w:val="uk-UA"/>
        </w:rPr>
        <w:t xml:space="preserve">У 2023 році було розроблено </w:t>
      </w:r>
      <w:r w:rsidR="000A03C3" w:rsidRPr="003C5509">
        <w:rPr>
          <w:color w:val="000000" w:themeColor="text1"/>
          <w:sz w:val="28"/>
          <w:lang w:val="uk-UA"/>
        </w:rPr>
        <w:t xml:space="preserve">Порядок </w:t>
      </w:r>
      <w:r w:rsidR="000A03C3" w:rsidRPr="003C5509">
        <w:rPr>
          <w:color w:val="000000" w:themeColor="text1"/>
          <w:sz w:val="28"/>
          <w:lang w:val="uk-UA" w:eastAsia="ar-SA"/>
        </w:rPr>
        <w:t>надання фінансової  підтримки для ОСББ (відшкодування частини від вартості виконаних робіт на заходи з енергоефективності)</w:t>
      </w:r>
      <w:r w:rsidR="000A03C3" w:rsidRPr="003C5509">
        <w:rPr>
          <w:b/>
          <w:bCs/>
          <w:color w:val="000000" w:themeColor="text1"/>
          <w:sz w:val="28"/>
          <w:lang w:val="uk-UA" w:eastAsia="ar-SA"/>
        </w:rPr>
        <w:t xml:space="preserve"> </w:t>
      </w:r>
      <w:r w:rsidR="000A03C3" w:rsidRPr="003C5509">
        <w:rPr>
          <w:color w:val="000000" w:themeColor="text1"/>
          <w:sz w:val="28"/>
          <w:lang w:val="uk-UA" w:eastAsia="ar-SA"/>
        </w:rPr>
        <w:t>як альтернатива діючому</w:t>
      </w:r>
      <w:r w:rsidR="000A03C3" w:rsidRPr="003C5509">
        <w:rPr>
          <w:b/>
          <w:bCs/>
          <w:color w:val="000000" w:themeColor="text1"/>
          <w:sz w:val="28"/>
          <w:lang w:val="uk-UA" w:eastAsia="ar-SA"/>
        </w:rPr>
        <w:t xml:space="preserve"> </w:t>
      </w:r>
      <w:r w:rsidR="000A03C3" w:rsidRPr="003C5509">
        <w:rPr>
          <w:color w:val="000000" w:themeColor="text1"/>
          <w:sz w:val="28"/>
          <w:lang w:val="uk-UA" w:eastAsia="ar-SA"/>
        </w:rPr>
        <w:t>Порядку</w:t>
      </w:r>
      <w:r w:rsidR="000A03C3" w:rsidRPr="003C5509">
        <w:rPr>
          <w:b/>
          <w:bCs/>
          <w:color w:val="000000" w:themeColor="text1"/>
          <w:sz w:val="28"/>
          <w:lang w:val="uk-UA" w:eastAsia="ar-SA"/>
        </w:rPr>
        <w:t xml:space="preserve"> </w:t>
      </w:r>
      <w:r w:rsidR="000A03C3" w:rsidRPr="003C5509">
        <w:rPr>
          <w:color w:val="000000" w:themeColor="text1"/>
          <w:sz w:val="28"/>
          <w:shd w:val="clear" w:color="auto" w:fill="FFFFFF"/>
          <w:lang w:val="uk-UA"/>
        </w:rPr>
        <w:t xml:space="preserve">відшкодування відсотків по кредиту на впровадження заходів </w:t>
      </w:r>
      <w:r w:rsidR="00411090" w:rsidRPr="003C5509">
        <w:rPr>
          <w:color w:val="000000" w:themeColor="text1"/>
          <w:sz w:val="28"/>
          <w:shd w:val="clear" w:color="auto" w:fill="FFFFFF"/>
          <w:lang w:val="uk-UA"/>
        </w:rPr>
        <w:t>по</w:t>
      </w:r>
      <w:r w:rsidR="000A03C3" w:rsidRPr="003C5509">
        <w:rPr>
          <w:color w:val="000000" w:themeColor="text1"/>
          <w:sz w:val="28"/>
          <w:shd w:val="clear" w:color="auto" w:fill="FFFFFF"/>
          <w:lang w:val="uk-UA"/>
        </w:rPr>
        <w:t xml:space="preserve"> </w:t>
      </w:r>
      <w:r w:rsidR="00411090" w:rsidRPr="003C5509">
        <w:rPr>
          <w:color w:val="000000" w:themeColor="text1"/>
          <w:sz w:val="28"/>
          <w:shd w:val="clear" w:color="auto" w:fill="FFFFFF"/>
          <w:lang w:val="uk-UA"/>
        </w:rPr>
        <w:t>програмі «ЕНЕРГОДІМ»</w:t>
      </w:r>
      <w:r w:rsidRPr="003C5509">
        <w:rPr>
          <w:color w:val="000000" w:themeColor="text1"/>
          <w:sz w:val="28"/>
          <w:shd w:val="clear" w:color="auto" w:fill="FFFFFF"/>
          <w:lang w:val="uk-UA"/>
        </w:rPr>
        <w:t xml:space="preserve">. Так, у 2023 році 5 ОСБББ Житомирської громади отримали фінансову </w:t>
      </w:r>
      <w:r w:rsidRPr="003C5509">
        <w:rPr>
          <w:color w:val="000000" w:themeColor="text1"/>
          <w:sz w:val="28"/>
          <w:shd w:val="clear" w:color="auto" w:fill="FFFFFF"/>
          <w:lang w:val="uk-UA"/>
        </w:rPr>
        <w:lastRenderedPageBreak/>
        <w:t>підтримку з місцевого бюджету у розмірі – 1</w:t>
      </w:r>
      <w:r w:rsidR="00017103" w:rsidRPr="003C5509">
        <w:rPr>
          <w:color w:val="000000" w:themeColor="text1"/>
          <w:sz w:val="28"/>
          <w:shd w:val="clear" w:color="auto" w:fill="FFFFFF"/>
          <w:lang w:val="uk-UA"/>
        </w:rPr>
        <w:t> </w:t>
      </w:r>
      <w:r w:rsidRPr="003C5509">
        <w:rPr>
          <w:color w:val="000000" w:themeColor="text1"/>
          <w:sz w:val="28"/>
          <w:shd w:val="clear" w:color="auto" w:fill="FFFFFF"/>
          <w:lang w:val="uk-UA"/>
        </w:rPr>
        <w:t>4</w:t>
      </w:r>
      <w:r w:rsidR="00017103" w:rsidRPr="003C5509">
        <w:rPr>
          <w:color w:val="000000" w:themeColor="text1"/>
          <w:sz w:val="28"/>
          <w:shd w:val="clear" w:color="auto" w:fill="FFFFFF"/>
          <w:lang w:val="uk-UA"/>
        </w:rPr>
        <w:t>79,8</w:t>
      </w:r>
      <w:r w:rsidR="00D13E1E" w:rsidRPr="003C5509">
        <w:rPr>
          <w:color w:val="000000" w:themeColor="text1"/>
          <w:sz w:val="28"/>
          <w:shd w:val="clear" w:color="auto" w:fill="FFFFFF"/>
          <w:lang w:val="uk-UA"/>
        </w:rPr>
        <w:t xml:space="preserve"> тис грн</w:t>
      </w:r>
      <w:r w:rsidR="00411090" w:rsidRPr="003C5509">
        <w:rPr>
          <w:color w:val="000000" w:themeColor="text1"/>
          <w:sz w:val="28"/>
          <w:shd w:val="clear" w:color="auto" w:fill="FFFFFF"/>
          <w:lang w:val="uk-UA"/>
        </w:rPr>
        <w:t xml:space="preserve">. </w:t>
      </w:r>
      <w:r w:rsidR="00017103" w:rsidRPr="003C5509">
        <w:rPr>
          <w:color w:val="000000" w:themeColor="text1"/>
          <w:sz w:val="28"/>
          <w:shd w:val="clear" w:color="auto" w:fill="FFFFFF"/>
          <w:lang w:val="uk-UA"/>
        </w:rPr>
        <w:t>Даний</w:t>
      </w:r>
      <w:r w:rsidR="00D13E1E" w:rsidRPr="003C5509">
        <w:rPr>
          <w:color w:val="000000" w:themeColor="text1"/>
          <w:sz w:val="28"/>
          <w:shd w:val="clear" w:color="auto" w:fill="FFFFFF"/>
          <w:lang w:val="uk-UA"/>
        </w:rPr>
        <w:t xml:space="preserve"> механізм показав свою ефективність у 2023 році, тому у </w:t>
      </w:r>
      <w:r w:rsidR="00411090" w:rsidRPr="003C5509">
        <w:rPr>
          <w:color w:val="000000" w:themeColor="text1"/>
          <w:sz w:val="28"/>
          <w:shd w:val="clear" w:color="auto" w:fill="FFFFFF"/>
          <w:lang w:val="uk-UA"/>
        </w:rPr>
        <w:t>наступному</w:t>
      </w:r>
      <w:r w:rsidR="00017103" w:rsidRPr="003C5509">
        <w:rPr>
          <w:color w:val="000000" w:themeColor="text1"/>
          <w:sz w:val="28"/>
          <w:shd w:val="clear" w:color="auto" w:fill="FFFFFF"/>
          <w:lang w:val="uk-UA"/>
        </w:rPr>
        <w:t xml:space="preserve"> році</w:t>
      </w:r>
      <w:r w:rsidR="00D13E1E" w:rsidRPr="003C5509">
        <w:rPr>
          <w:color w:val="000000" w:themeColor="text1"/>
          <w:sz w:val="28"/>
          <w:lang w:val="uk-UA"/>
        </w:rPr>
        <w:t xml:space="preserve"> рішенням виконавчого комітету Житомирської міської ради</w:t>
      </w:r>
      <w:r w:rsidR="00017103" w:rsidRPr="003C5509">
        <w:rPr>
          <w:color w:val="000000" w:themeColor="text1"/>
          <w:sz w:val="28"/>
          <w:lang w:val="uk-UA"/>
        </w:rPr>
        <w:t xml:space="preserve"> аналогічну</w:t>
      </w:r>
      <w:r w:rsidR="00D13E1E" w:rsidRPr="003C5509">
        <w:rPr>
          <w:color w:val="000000" w:themeColor="text1"/>
          <w:sz w:val="28"/>
          <w:lang w:val="uk-UA"/>
        </w:rPr>
        <w:t xml:space="preserve"> </w:t>
      </w:r>
      <w:r w:rsidR="00411090" w:rsidRPr="003C5509">
        <w:rPr>
          <w:color w:val="000000" w:themeColor="text1"/>
          <w:sz w:val="28"/>
          <w:lang w:val="uk-UA"/>
        </w:rPr>
        <w:t>програму</w:t>
      </w:r>
      <w:r w:rsidR="00D13E1E" w:rsidRPr="003C5509">
        <w:rPr>
          <w:color w:val="000000" w:themeColor="text1"/>
          <w:sz w:val="28"/>
          <w:lang w:val="uk-UA" w:eastAsia="ar-SA"/>
        </w:rPr>
        <w:t xml:space="preserve"> надання фінансової  підтримки</w:t>
      </w:r>
      <w:r w:rsidR="00411090" w:rsidRPr="003C5509">
        <w:rPr>
          <w:color w:val="000000" w:themeColor="text1"/>
          <w:sz w:val="28"/>
          <w:lang w:val="uk-UA" w:eastAsia="ar-SA"/>
        </w:rPr>
        <w:t xml:space="preserve"> було запроваджено </w:t>
      </w:r>
      <w:r w:rsidR="00320452" w:rsidRPr="003C5509">
        <w:rPr>
          <w:color w:val="000000" w:themeColor="text1"/>
          <w:sz w:val="28"/>
          <w:lang w:val="uk-UA" w:eastAsia="ar-SA"/>
        </w:rPr>
        <w:t>на 2024 рік</w:t>
      </w:r>
      <w:r w:rsidR="005D55C5" w:rsidRPr="003C5509">
        <w:rPr>
          <w:color w:val="000000" w:themeColor="text1"/>
          <w:sz w:val="28"/>
          <w:lang w:val="uk-UA" w:eastAsia="ar-SA"/>
        </w:rPr>
        <w:t>.</w:t>
      </w:r>
    </w:p>
    <w:p w14:paraId="3F52D161" w14:textId="242B7AFE" w:rsidR="00017103" w:rsidRPr="00017103" w:rsidRDefault="00017103" w:rsidP="00017103">
      <w:pPr>
        <w:jc w:val="center"/>
        <w:rPr>
          <w:lang w:val="uk-UA" w:eastAsia="ar-SA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1C16CE77" wp14:editId="766907BB">
            <wp:simplePos x="0" y="0"/>
            <wp:positionH relativeFrom="column">
              <wp:posOffset>1242</wp:posOffset>
            </wp:positionH>
            <wp:positionV relativeFrom="paragraph">
              <wp:posOffset>2374</wp:posOffset>
            </wp:positionV>
            <wp:extent cx="5940425" cy="3249930"/>
            <wp:effectExtent l="0" t="0" r="0" b="0"/>
            <wp:wrapTopAndBottom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14:paraId="1AE275E4" w14:textId="7176D610" w:rsidR="00D31A07" w:rsidRPr="003C5509" w:rsidRDefault="00D31A07" w:rsidP="00D31A07">
      <w:pPr>
        <w:jc w:val="both"/>
        <w:rPr>
          <w:b/>
          <w:bCs/>
          <w:sz w:val="28"/>
          <w:u w:val="single"/>
          <w:lang w:val="uk-UA"/>
        </w:rPr>
      </w:pPr>
      <w:r w:rsidRPr="003C5509">
        <w:rPr>
          <w:b/>
          <w:bCs/>
          <w:sz w:val="28"/>
          <w:u w:val="single"/>
          <w:lang w:val="uk-UA"/>
        </w:rPr>
        <w:t xml:space="preserve">Сектор </w:t>
      </w:r>
      <w:bookmarkStart w:id="7" w:name="вуличне"/>
      <w:r w:rsidRPr="003C5509">
        <w:rPr>
          <w:b/>
          <w:bCs/>
          <w:sz w:val="28"/>
          <w:u w:val="single"/>
          <w:lang w:val="uk-UA"/>
        </w:rPr>
        <w:t>вуличне</w:t>
      </w:r>
      <w:bookmarkEnd w:id="7"/>
      <w:r w:rsidRPr="003C5509">
        <w:rPr>
          <w:b/>
          <w:bCs/>
          <w:sz w:val="28"/>
          <w:u w:val="single"/>
          <w:lang w:val="uk-UA"/>
        </w:rPr>
        <w:t xml:space="preserve"> освітлення </w:t>
      </w:r>
    </w:p>
    <w:p w14:paraId="7CD162E6" w14:textId="619970AE" w:rsidR="00D31A07" w:rsidRPr="003C5509" w:rsidRDefault="00D31A07" w:rsidP="00D31A07">
      <w:pPr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>Кількість світлоточок</w:t>
      </w:r>
      <w:r w:rsidR="00E12FA9" w:rsidRPr="003C5509">
        <w:rPr>
          <w:sz w:val="28"/>
          <w:lang w:val="uk-UA"/>
        </w:rPr>
        <w:t xml:space="preserve"> вуличного</w:t>
      </w:r>
      <w:r w:rsidRPr="003C5509">
        <w:rPr>
          <w:sz w:val="28"/>
          <w:lang w:val="uk-UA"/>
        </w:rPr>
        <w:t xml:space="preserve"> </w:t>
      </w:r>
      <w:r w:rsidR="00E12FA9" w:rsidRPr="003C5509">
        <w:rPr>
          <w:sz w:val="28"/>
          <w:lang w:val="uk-UA"/>
        </w:rPr>
        <w:t xml:space="preserve">освітлення </w:t>
      </w:r>
      <w:r w:rsidRPr="003C5509">
        <w:rPr>
          <w:sz w:val="28"/>
          <w:lang w:val="uk-UA"/>
        </w:rPr>
        <w:t>у</w:t>
      </w:r>
      <w:r w:rsidR="006310C8" w:rsidRPr="003C5509">
        <w:rPr>
          <w:sz w:val="28"/>
        </w:rPr>
        <w:t xml:space="preserve"> </w:t>
      </w:r>
      <w:r w:rsidR="00E12FA9" w:rsidRPr="003C5509">
        <w:rPr>
          <w:sz w:val="28"/>
          <w:lang w:val="uk-UA"/>
        </w:rPr>
        <w:t>Житомирській громаді на кінець</w:t>
      </w:r>
      <w:r w:rsidR="006310C8" w:rsidRPr="003C5509">
        <w:rPr>
          <w:sz w:val="28"/>
          <w:lang w:val="uk-UA"/>
        </w:rPr>
        <w:t xml:space="preserve"> 2023</w:t>
      </w:r>
      <w:r w:rsidRPr="003C5509">
        <w:rPr>
          <w:sz w:val="28"/>
          <w:lang w:val="uk-UA"/>
        </w:rPr>
        <w:t xml:space="preserve"> р</w:t>
      </w:r>
      <w:r w:rsidR="006310C8" w:rsidRPr="003C5509">
        <w:rPr>
          <w:sz w:val="28"/>
          <w:lang w:val="uk-UA"/>
        </w:rPr>
        <w:t>о</w:t>
      </w:r>
      <w:r w:rsidR="00E12FA9" w:rsidRPr="003C5509">
        <w:rPr>
          <w:sz w:val="28"/>
          <w:lang w:val="uk-UA"/>
        </w:rPr>
        <w:t>ку</w:t>
      </w:r>
      <w:r w:rsidRPr="003C5509">
        <w:rPr>
          <w:sz w:val="28"/>
          <w:lang w:val="uk-UA"/>
        </w:rPr>
        <w:t xml:space="preserve"> складає 1</w:t>
      </w:r>
      <w:r w:rsidR="00F02B73" w:rsidRPr="003C5509">
        <w:rPr>
          <w:sz w:val="28"/>
          <w:lang w:val="uk-UA"/>
        </w:rPr>
        <w:t>6</w:t>
      </w:r>
      <w:r w:rsidRPr="003C5509">
        <w:rPr>
          <w:sz w:val="28"/>
          <w:lang w:val="uk-UA"/>
        </w:rPr>
        <w:t xml:space="preserve">550 шт. Серед них відсутні лампи розжарювання, </w:t>
      </w:r>
      <w:r w:rsidR="00E12FA9" w:rsidRPr="003C5509">
        <w:rPr>
          <w:sz w:val="28"/>
          <w:lang w:val="uk-UA"/>
        </w:rPr>
        <w:t xml:space="preserve">газорозрядні та </w:t>
      </w:r>
      <w:r w:rsidRPr="003C5509">
        <w:rPr>
          <w:sz w:val="28"/>
          <w:lang w:val="uk-UA"/>
        </w:rPr>
        <w:t>люмінесцентні лампи</w:t>
      </w:r>
      <w:r w:rsidR="00605EA4" w:rsidRPr="003C5509">
        <w:rPr>
          <w:sz w:val="28"/>
          <w:lang w:val="uk-UA"/>
        </w:rPr>
        <w:t xml:space="preserve">, бо у </w:t>
      </w:r>
      <w:r w:rsidRPr="003C5509">
        <w:rPr>
          <w:sz w:val="28"/>
          <w:lang w:val="uk-UA"/>
        </w:rPr>
        <w:t xml:space="preserve">2019 році завершено впровадження проєкту по </w:t>
      </w:r>
      <w:r w:rsidR="00605EA4" w:rsidRPr="003C5509">
        <w:rPr>
          <w:sz w:val="28"/>
          <w:lang w:val="uk-UA"/>
        </w:rPr>
        <w:t>переведенню</w:t>
      </w:r>
      <w:r w:rsidRPr="003C5509">
        <w:rPr>
          <w:sz w:val="28"/>
          <w:lang w:val="uk-UA"/>
        </w:rPr>
        <w:t xml:space="preserve"> вуличного освітлення на </w:t>
      </w:r>
      <w:r w:rsidR="00605EA4" w:rsidRPr="003C5509">
        <w:rPr>
          <w:sz w:val="28"/>
          <w:lang w:val="uk-UA"/>
        </w:rPr>
        <w:t>світлодіодне</w:t>
      </w:r>
      <w:r w:rsidRPr="003C5509">
        <w:rPr>
          <w:sz w:val="28"/>
          <w:lang w:val="uk-UA"/>
        </w:rPr>
        <w:t xml:space="preserve">. </w:t>
      </w:r>
      <w:r w:rsidR="002836CA" w:rsidRPr="003C5509">
        <w:rPr>
          <w:sz w:val="28"/>
          <w:lang w:val="uk-UA"/>
        </w:rPr>
        <w:t>Загальна</w:t>
      </w:r>
      <w:r w:rsidR="006310C8" w:rsidRPr="003C5509">
        <w:rPr>
          <w:sz w:val="28"/>
          <w:lang w:val="uk-UA"/>
        </w:rPr>
        <w:t xml:space="preserve"> економія </w:t>
      </w:r>
      <w:r w:rsidR="002836CA" w:rsidRPr="003C5509">
        <w:rPr>
          <w:sz w:val="28"/>
          <w:lang w:val="uk-UA"/>
        </w:rPr>
        <w:t>електроенергії за результатами впровадження</w:t>
      </w:r>
      <w:r w:rsidR="006310C8" w:rsidRPr="003C5509">
        <w:rPr>
          <w:sz w:val="28"/>
          <w:lang w:val="uk-UA"/>
        </w:rPr>
        <w:t xml:space="preserve"> проєкту</w:t>
      </w:r>
      <w:r w:rsidR="002836CA" w:rsidRPr="003C5509">
        <w:rPr>
          <w:sz w:val="28"/>
          <w:lang w:val="uk-UA"/>
        </w:rPr>
        <w:t xml:space="preserve"> (2015-2023)</w:t>
      </w:r>
      <w:r w:rsidR="006310C8" w:rsidRPr="003C5509">
        <w:rPr>
          <w:sz w:val="28"/>
          <w:lang w:val="uk-UA"/>
        </w:rPr>
        <w:t xml:space="preserve"> складає</w:t>
      </w:r>
      <w:r w:rsidR="002836CA" w:rsidRPr="003C5509">
        <w:rPr>
          <w:sz w:val="28"/>
          <w:lang w:val="uk-UA"/>
        </w:rPr>
        <w:t xml:space="preserve"> 13,5 млн кВт*год.</w:t>
      </w:r>
    </w:p>
    <w:p w14:paraId="4010B4DF" w14:textId="758AB753" w:rsidR="00D31A07" w:rsidRPr="003C5509" w:rsidRDefault="006310C8" w:rsidP="00022CF0">
      <w:pPr>
        <w:jc w:val="both"/>
        <w:rPr>
          <w:sz w:val="28"/>
          <w:lang w:val="uk-UA"/>
        </w:rPr>
      </w:pPr>
      <w:r w:rsidRPr="002E56A5">
        <w:rPr>
          <w:noProof/>
          <w:highlight w:val="green"/>
        </w:rPr>
        <w:drawing>
          <wp:anchor distT="0" distB="0" distL="114300" distR="114300" simplePos="0" relativeHeight="251659264" behindDoc="0" locked="0" layoutInCell="1" allowOverlap="1" wp14:anchorId="71678DFE" wp14:editId="298B7D10">
            <wp:simplePos x="0" y="0"/>
            <wp:positionH relativeFrom="column">
              <wp:posOffset>635</wp:posOffset>
            </wp:positionH>
            <wp:positionV relativeFrom="paragraph">
              <wp:posOffset>3810</wp:posOffset>
            </wp:positionV>
            <wp:extent cx="5940425" cy="3171825"/>
            <wp:effectExtent l="0" t="0" r="0" b="0"/>
            <wp:wrapTopAndBottom/>
            <wp:docPr id="12" name="Диаграмма 12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00000000-0008-0000-01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4302EC" w14:textId="7F4343F8" w:rsidR="00D31A07" w:rsidRPr="003C5509" w:rsidRDefault="002E56A5" w:rsidP="00D31A07">
      <w:pPr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lastRenderedPageBreak/>
        <w:t xml:space="preserve">Паралельно з впровадженням </w:t>
      </w:r>
      <w:r w:rsidRPr="003C5509">
        <w:rPr>
          <w:sz w:val="28"/>
          <w:lang w:val="en-US"/>
        </w:rPr>
        <w:t xml:space="preserve">LED </w:t>
      </w:r>
      <w:r w:rsidRPr="003C5509">
        <w:rPr>
          <w:sz w:val="28"/>
          <w:lang w:val="uk-UA"/>
        </w:rPr>
        <w:t>у зовнішньому освітленні, КП «ЕМЗО</w:t>
      </w:r>
      <w:r w:rsidRPr="003C5509">
        <w:rPr>
          <w:sz w:val="28"/>
          <w:lang w:val="en-US"/>
        </w:rPr>
        <w:t xml:space="preserve"> </w:t>
      </w:r>
      <w:r w:rsidRPr="003C5509">
        <w:rPr>
          <w:sz w:val="28"/>
          <w:lang w:val="uk-UA"/>
        </w:rPr>
        <w:t>«Міськсвітло» провело заміну реконструкцію світлофорних об’єктів з переведенням світлофорів на світлодіодні</w:t>
      </w:r>
      <w:r w:rsidR="00D31A07" w:rsidRPr="003C5509">
        <w:rPr>
          <w:sz w:val="28"/>
          <w:lang w:val="uk-UA"/>
        </w:rPr>
        <w:t xml:space="preserve">. </w:t>
      </w:r>
      <w:r w:rsidRPr="003C5509">
        <w:rPr>
          <w:sz w:val="28"/>
          <w:lang w:val="uk-UA"/>
        </w:rPr>
        <w:t>Завдяки цьому споживання електричної енергії світлофорними об’єктами з 2014 по 2023 рік знизилось у 3,5 рази при тому, що їх кількість збільшилась із 99 до 119 одиниць.</w:t>
      </w:r>
    </w:p>
    <w:p w14:paraId="311FDE81" w14:textId="7967C8C5" w:rsidR="00D31A07" w:rsidRDefault="00583A82" w:rsidP="00EC5EF3">
      <w:pPr>
        <w:jc w:val="both"/>
        <w:rPr>
          <w:sz w:val="28"/>
          <w:lang w:val="uk-UA"/>
        </w:rPr>
      </w:pPr>
      <w:r w:rsidRPr="002E56A5">
        <w:rPr>
          <w:noProof/>
          <w:highlight w:val="green"/>
        </w:rPr>
        <w:drawing>
          <wp:anchor distT="0" distB="0" distL="114300" distR="114300" simplePos="0" relativeHeight="251660288" behindDoc="0" locked="0" layoutInCell="1" allowOverlap="1" wp14:anchorId="6B0601DA" wp14:editId="62B2E075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5940425" cy="2924175"/>
            <wp:effectExtent l="0" t="0" r="0" b="0"/>
            <wp:wrapTopAndBottom/>
            <wp:docPr id="11" name="Диаграмма 1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00000000-0008-0000-01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ED26CC" w14:textId="77777777" w:rsidR="00D31A07" w:rsidRPr="003C5509" w:rsidRDefault="00D31A07" w:rsidP="00D31A07">
      <w:pPr>
        <w:ind w:firstLine="708"/>
        <w:jc w:val="both"/>
        <w:rPr>
          <w:b/>
          <w:bCs/>
          <w:sz w:val="28"/>
          <w:lang w:val="uk-UA"/>
        </w:rPr>
      </w:pPr>
      <w:r w:rsidRPr="003C5509">
        <w:rPr>
          <w:b/>
          <w:bCs/>
          <w:sz w:val="28"/>
          <w:u w:val="single"/>
          <w:lang w:val="uk-UA"/>
        </w:rPr>
        <w:t xml:space="preserve">Сектор </w:t>
      </w:r>
      <w:bookmarkStart w:id="8" w:name="транспорт"/>
      <w:r w:rsidRPr="003C5509">
        <w:rPr>
          <w:b/>
          <w:bCs/>
          <w:sz w:val="28"/>
          <w:u w:val="single"/>
          <w:lang w:val="uk-UA"/>
        </w:rPr>
        <w:t>транспорт</w:t>
      </w:r>
      <w:bookmarkEnd w:id="8"/>
      <w:r w:rsidRPr="003C5509">
        <w:rPr>
          <w:b/>
          <w:bCs/>
          <w:sz w:val="28"/>
          <w:lang w:val="uk-UA"/>
        </w:rPr>
        <w:t xml:space="preserve"> </w:t>
      </w:r>
    </w:p>
    <w:p w14:paraId="6BF65332" w14:textId="26938C15" w:rsidR="00D31A07" w:rsidRPr="003C5509" w:rsidRDefault="00D31A07" w:rsidP="00D31A07">
      <w:pPr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>Враховуючи виклики останніх років (спостерігається чітка тенденція до зменшення обсягу перевезення пасажирів міським електротранспортом та активне використання автотранспортних засобів загального користування)</w:t>
      </w:r>
      <w:r w:rsidR="00A60472" w:rsidRPr="003C5509">
        <w:rPr>
          <w:sz w:val="28"/>
          <w:lang w:val="uk-UA"/>
        </w:rPr>
        <w:t>,</w:t>
      </w:r>
      <w:r w:rsidRPr="003C5509">
        <w:rPr>
          <w:sz w:val="28"/>
          <w:lang w:val="uk-UA"/>
        </w:rPr>
        <w:t xml:space="preserve"> у </w:t>
      </w:r>
      <w:r w:rsidR="009E7A3B" w:rsidRPr="003C5509">
        <w:rPr>
          <w:sz w:val="28"/>
          <w:lang w:val="uk-UA"/>
        </w:rPr>
        <w:t xml:space="preserve">громаді </w:t>
      </w:r>
      <w:r w:rsidRPr="003C5509">
        <w:rPr>
          <w:sz w:val="28"/>
          <w:lang w:val="uk-UA"/>
        </w:rPr>
        <w:t>впроваджуються заходи з розвитку громадського транспорту. Одним з головних недоліків автотранспортних засобів загального користування є забруднення атмосфери викидами CO</w:t>
      </w:r>
      <w:r w:rsidRPr="003C5509">
        <w:rPr>
          <w:sz w:val="28"/>
          <w:vertAlign w:val="subscript"/>
          <w:lang w:val="uk-UA"/>
        </w:rPr>
        <w:t>2</w:t>
      </w:r>
      <w:r w:rsidRPr="003C5509">
        <w:rPr>
          <w:sz w:val="28"/>
          <w:lang w:val="uk-UA"/>
        </w:rPr>
        <w:t xml:space="preserve">, тяжкими металами та іншими продуктами згорання нафтопродуктів. </w:t>
      </w:r>
    </w:p>
    <w:p w14:paraId="63E2A55D" w14:textId="06E91E1E" w:rsidR="00D31A07" w:rsidRPr="003C5509" w:rsidRDefault="00D31A07" w:rsidP="00D31A07">
      <w:pPr>
        <w:tabs>
          <w:tab w:val="left" w:pos="3600"/>
        </w:tabs>
        <w:ind w:firstLine="709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 xml:space="preserve">У </w:t>
      </w:r>
      <w:r w:rsidR="00146F61" w:rsidRPr="003C5509">
        <w:rPr>
          <w:sz w:val="28"/>
          <w:lang w:val="uk-UA"/>
        </w:rPr>
        <w:t>2017-2020</w:t>
      </w:r>
      <w:r w:rsidR="00244C59">
        <w:rPr>
          <w:sz w:val="28"/>
          <w:lang w:val="en-US"/>
        </w:rPr>
        <w:t xml:space="preserve"> </w:t>
      </w:r>
      <w:r w:rsidR="00244C59">
        <w:rPr>
          <w:sz w:val="28"/>
          <w:lang w:val="uk-UA"/>
        </w:rPr>
        <w:t>ро</w:t>
      </w:r>
      <w:r w:rsidR="004A7F88" w:rsidRPr="003C5509">
        <w:rPr>
          <w:sz w:val="28"/>
          <w:lang w:val="en-US"/>
        </w:rPr>
        <w:t>к</w:t>
      </w:r>
      <w:r w:rsidR="00244C59">
        <w:rPr>
          <w:sz w:val="28"/>
          <w:lang w:val="uk-UA"/>
        </w:rPr>
        <w:t>ах</w:t>
      </w:r>
      <w:r w:rsidRPr="003C5509">
        <w:rPr>
          <w:sz w:val="28"/>
          <w:lang w:val="uk-UA"/>
        </w:rPr>
        <w:t xml:space="preserve"> </w:t>
      </w:r>
      <w:r w:rsidR="00146F61" w:rsidRPr="003C5509">
        <w:rPr>
          <w:sz w:val="28"/>
          <w:lang w:val="uk-UA"/>
        </w:rPr>
        <w:t>розпочат</w:t>
      </w:r>
      <w:r w:rsidR="00095720" w:rsidRPr="003C5509">
        <w:rPr>
          <w:sz w:val="28"/>
          <w:lang w:val="uk-UA"/>
        </w:rPr>
        <w:t>о</w:t>
      </w:r>
      <w:r w:rsidRPr="003C5509">
        <w:rPr>
          <w:sz w:val="28"/>
          <w:lang w:val="uk-UA"/>
        </w:rPr>
        <w:t xml:space="preserve"> робот</w:t>
      </w:r>
      <w:r w:rsidR="00095720" w:rsidRPr="003C5509">
        <w:rPr>
          <w:sz w:val="28"/>
          <w:lang w:val="uk-UA"/>
        </w:rPr>
        <w:t>у</w:t>
      </w:r>
      <w:r w:rsidRPr="003C5509">
        <w:rPr>
          <w:sz w:val="28"/>
          <w:lang w:val="uk-UA"/>
        </w:rPr>
        <w:t xml:space="preserve"> над оновлення</w:t>
      </w:r>
      <w:r w:rsidR="00A60472" w:rsidRPr="003C5509">
        <w:rPr>
          <w:sz w:val="28"/>
          <w:lang w:val="uk-UA"/>
        </w:rPr>
        <w:t>м</w:t>
      </w:r>
      <w:r w:rsidRPr="003C5509">
        <w:rPr>
          <w:sz w:val="28"/>
          <w:lang w:val="uk-UA"/>
        </w:rPr>
        <w:t xml:space="preserve"> рухомого складу, розширення</w:t>
      </w:r>
      <w:r w:rsidR="00A60472" w:rsidRPr="003C5509">
        <w:rPr>
          <w:sz w:val="28"/>
          <w:lang w:val="uk-UA"/>
        </w:rPr>
        <w:t>м</w:t>
      </w:r>
      <w:r w:rsidRPr="003C5509">
        <w:rPr>
          <w:sz w:val="28"/>
          <w:lang w:val="uk-UA"/>
        </w:rPr>
        <w:t xml:space="preserve"> мережі тролейбусних ліній, проведення поточного та капітального ремонту тролейбусів, тягових підстанцій і контактної мережі, організаці</w:t>
      </w:r>
      <w:r w:rsidR="00A60472" w:rsidRPr="003C5509">
        <w:rPr>
          <w:sz w:val="28"/>
          <w:lang w:val="uk-UA"/>
        </w:rPr>
        <w:t>єю</w:t>
      </w:r>
      <w:r w:rsidRPr="003C5509">
        <w:rPr>
          <w:sz w:val="28"/>
          <w:lang w:val="uk-UA"/>
        </w:rPr>
        <w:t xml:space="preserve"> роботи електротранспорту для досягнення максимальної ефективності використання транспортних засобів для перевезення пасажирів міста.</w:t>
      </w:r>
    </w:p>
    <w:p w14:paraId="6DC93ABE" w14:textId="44292962" w:rsidR="009E7A3B" w:rsidRPr="003C5509" w:rsidRDefault="00C41E8B" w:rsidP="00C41E8B">
      <w:pPr>
        <w:tabs>
          <w:tab w:val="left" w:pos="3600"/>
        </w:tabs>
        <w:ind w:firstLine="709"/>
        <w:jc w:val="both"/>
        <w:rPr>
          <w:color w:val="000000"/>
          <w:sz w:val="28"/>
          <w:shd w:val="clear" w:color="auto" w:fill="FFFFFF"/>
          <w:lang w:val="uk-UA"/>
        </w:rPr>
      </w:pPr>
      <w:r w:rsidRPr="003C5509">
        <w:rPr>
          <w:sz w:val="28"/>
          <w:lang w:val="uk-UA"/>
        </w:rPr>
        <w:t>У 2022 році завершено реалізацію проєкту</w:t>
      </w:r>
      <w:r w:rsidR="00D31A07" w:rsidRPr="003C5509">
        <w:rPr>
          <w:sz w:val="28"/>
          <w:lang w:val="uk-UA"/>
        </w:rPr>
        <w:t xml:space="preserve"> «</w:t>
      </w:r>
      <w:r w:rsidR="00564C0E" w:rsidRPr="003C5509">
        <w:rPr>
          <w:sz w:val="28"/>
          <w:lang w:val="uk-UA"/>
        </w:rPr>
        <w:t xml:space="preserve">Проект </w:t>
      </w:r>
      <w:r w:rsidR="00D31A07" w:rsidRPr="003C5509">
        <w:rPr>
          <w:sz w:val="28"/>
          <w:lang w:val="uk-UA"/>
        </w:rPr>
        <w:t>модернізац</w:t>
      </w:r>
      <w:r w:rsidR="00A60472" w:rsidRPr="003C5509">
        <w:rPr>
          <w:sz w:val="28"/>
          <w:lang w:val="uk-UA"/>
        </w:rPr>
        <w:t>ії громадського транспорту в м. </w:t>
      </w:r>
      <w:r w:rsidR="00D31A07" w:rsidRPr="003C5509">
        <w:rPr>
          <w:sz w:val="28"/>
          <w:lang w:val="uk-UA"/>
        </w:rPr>
        <w:t>Житомир</w:t>
      </w:r>
      <w:r w:rsidR="00A60472" w:rsidRPr="003C5509">
        <w:rPr>
          <w:sz w:val="28"/>
          <w:lang w:val="uk-UA"/>
        </w:rPr>
        <w:t>і</w:t>
      </w:r>
      <w:r w:rsidR="00D31A07" w:rsidRPr="003C5509">
        <w:rPr>
          <w:sz w:val="28"/>
          <w:lang w:val="uk-UA"/>
        </w:rPr>
        <w:t xml:space="preserve">» </w:t>
      </w:r>
      <w:r w:rsidR="00181DB3" w:rsidRPr="003C5509">
        <w:rPr>
          <w:sz w:val="28"/>
          <w:lang w:val="uk-UA"/>
        </w:rPr>
        <w:t xml:space="preserve">за кошти </w:t>
      </w:r>
      <w:r w:rsidR="00D31A07" w:rsidRPr="003C5509">
        <w:rPr>
          <w:sz w:val="28"/>
          <w:lang w:val="uk-UA"/>
        </w:rPr>
        <w:t>Є</w:t>
      </w:r>
      <w:r w:rsidR="00181DB3" w:rsidRPr="003C5509">
        <w:rPr>
          <w:sz w:val="28"/>
          <w:lang w:val="uk-UA"/>
        </w:rPr>
        <w:t>вропейського банку реконструкції та розвитку (</w:t>
      </w:r>
      <w:r w:rsidR="00A17AEA" w:rsidRPr="003C5509">
        <w:rPr>
          <w:sz w:val="28"/>
          <w:lang w:val="uk-UA"/>
        </w:rPr>
        <w:t>EBRD</w:t>
      </w:r>
      <w:r w:rsidR="00181DB3" w:rsidRPr="003C5509">
        <w:rPr>
          <w:sz w:val="28"/>
          <w:lang w:val="uk-UA"/>
        </w:rPr>
        <w:t>)</w:t>
      </w:r>
      <w:r w:rsidR="00D31A07" w:rsidRPr="003C5509">
        <w:rPr>
          <w:sz w:val="28"/>
          <w:lang w:val="uk-UA"/>
        </w:rPr>
        <w:t xml:space="preserve">. </w:t>
      </w:r>
      <w:r w:rsidR="009E7A3B" w:rsidRPr="003C5509">
        <w:rPr>
          <w:color w:val="000000"/>
          <w:sz w:val="28"/>
          <w:shd w:val="clear" w:color="auto" w:fill="FFFFFF"/>
          <w:lang w:val="uk-UA"/>
        </w:rPr>
        <w:t>В рамках співпраці з ЄБРР у 2020-2021 закуплено 50 нових тролейбусів. Загальна вартість</w:t>
      </w:r>
      <w:r w:rsidR="00A60472" w:rsidRPr="003C5509">
        <w:rPr>
          <w:color w:val="000000"/>
          <w:sz w:val="28"/>
          <w:shd w:val="clear" w:color="auto" w:fill="FFFFFF"/>
          <w:lang w:val="uk-UA"/>
        </w:rPr>
        <w:t xml:space="preserve"> реалізації</w:t>
      </w:r>
      <w:r w:rsidR="009E7A3B" w:rsidRPr="003C5509">
        <w:rPr>
          <w:color w:val="000000"/>
          <w:sz w:val="28"/>
          <w:shd w:val="clear" w:color="auto" w:fill="FFFFFF"/>
          <w:lang w:val="uk-UA"/>
        </w:rPr>
        <w:t xml:space="preserve"> проєкту «Модернізація тролейбусного парку КП «ЖТТУ» становить 12 млн євро, з яких 2 млн </w:t>
      </w:r>
      <w:r w:rsidR="00A60472" w:rsidRPr="003C5509">
        <w:rPr>
          <w:color w:val="000000"/>
          <w:sz w:val="28"/>
          <w:shd w:val="clear" w:color="auto" w:fill="FFFFFF"/>
          <w:lang w:val="uk-UA"/>
        </w:rPr>
        <w:t>євро –</w:t>
      </w:r>
      <w:r w:rsidR="009E7A3B" w:rsidRPr="003C5509">
        <w:rPr>
          <w:color w:val="000000"/>
          <w:sz w:val="28"/>
          <w:shd w:val="clear" w:color="auto" w:fill="FFFFFF"/>
          <w:lang w:val="uk-UA"/>
        </w:rPr>
        <w:t xml:space="preserve"> грантов</w:t>
      </w:r>
      <w:r w:rsidR="00A60472" w:rsidRPr="003C5509">
        <w:rPr>
          <w:color w:val="000000"/>
          <w:sz w:val="28"/>
          <w:shd w:val="clear" w:color="auto" w:fill="FFFFFF"/>
          <w:lang w:val="uk-UA"/>
        </w:rPr>
        <w:t>і</w:t>
      </w:r>
      <w:r w:rsidR="009E7A3B" w:rsidRPr="003C5509">
        <w:rPr>
          <w:color w:val="000000"/>
          <w:sz w:val="28"/>
          <w:shd w:val="clear" w:color="auto" w:fill="FFFFFF"/>
          <w:lang w:val="uk-UA"/>
        </w:rPr>
        <w:t xml:space="preserve"> кошт</w:t>
      </w:r>
      <w:r w:rsidR="00A60472" w:rsidRPr="003C5509">
        <w:rPr>
          <w:color w:val="000000"/>
          <w:sz w:val="28"/>
          <w:shd w:val="clear" w:color="auto" w:fill="FFFFFF"/>
          <w:lang w:val="uk-UA"/>
        </w:rPr>
        <w:t>и</w:t>
      </w:r>
      <w:r w:rsidR="009E7A3B" w:rsidRPr="003C5509">
        <w:rPr>
          <w:color w:val="000000"/>
          <w:sz w:val="28"/>
          <w:shd w:val="clear" w:color="auto" w:fill="FFFFFF"/>
          <w:lang w:val="uk-UA"/>
        </w:rPr>
        <w:t>. Проєкт включає закупівлю тролейбусів, будівництво лінії на мікрорайон Мальованка та будівництво нового мийного комплексу. У 2022 році у зв</w:t>
      </w:r>
      <w:r w:rsidRPr="003C5509">
        <w:rPr>
          <w:color w:val="000000"/>
          <w:sz w:val="28"/>
          <w:shd w:val="clear" w:color="auto" w:fill="FFFFFF"/>
          <w:lang w:val="uk-UA"/>
        </w:rPr>
        <w:t>’</w:t>
      </w:r>
      <w:r w:rsidR="009E7A3B" w:rsidRPr="003C5509">
        <w:rPr>
          <w:color w:val="000000"/>
          <w:sz w:val="28"/>
          <w:shd w:val="clear" w:color="auto" w:fill="FFFFFF"/>
          <w:lang w:val="uk-UA"/>
        </w:rPr>
        <w:t>язку з воєнним станом та проблемами в енергетичному секторі Тал</w:t>
      </w:r>
      <w:r w:rsidR="009548EA" w:rsidRPr="003C5509">
        <w:rPr>
          <w:color w:val="000000"/>
          <w:sz w:val="28"/>
          <w:shd w:val="clear" w:color="auto" w:fill="FFFFFF"/>
          <w:lang w:val="uk-UA"/>
        </w:rPr>
        <w:t>л</w:t>
      </w:r>
      <w:r w:rsidR="009E7A3B" w:rsidRPr="003C5509">
        <w:rPr>
          <w:color w:val="000000"/>
          <w:sz w:val="28"/>
          <w:shd w:val="clear" w:color="auto" w:fill="FFFFFF"/>
          <w:lang w:val="uk-UA"/>
        </w:rPr>
        <w:t>ін</w:t>
      </w:r>
      <w:r w:rsidR="009548EA" w:rsidRPr="003C5509">
        <w:rPr>
          <w:color w:val="000000"/>
          <w:sz w:val="28"/>
          <w:shd w:val="clear" w:color="auto" w:fill="FFFFFF"/>
          <w:lang w:val="uk-UA"/>
        </w:rPr>
        <w:t>н</w:t>
      </w:r>
      <w:r w:rsidR="009E7A3B" w:rsidRPr="003C5509">
        <w:rPr>
          <w:color w:val="000000"/>
          <w:sz w:val="28"/>
          <w:shd w:val="clear" w:color="auto" w:fill="FFFFFF"/>
          <w:lang w:val="uk-UA"/>
        </w:rPr>
        <w:t xml:space="preserve"> передав Житомиру 20 автобусів для часткового оновлення рухомого складу комунального транспорту ЖМТГ. В межах залучення міжнародної технічної допомоги</w:t>
      </w:r>
      <w:r w:rsidR="00A60472" w:rsidRPr="003C5509">
        <w:rPr>
          <w:color w:val="000000"/>
          <w:sz w:val="28"/>
          <w:shd w:val="clear" w:color="auto" w:fill="FFFFFF"/>
          <w:lang w:val="uk-UA"/>
        </w:rPr>
        <w:t xml:space="preserve"> було отримано 5 автобусів </w:t>
      </w:r>
      <w:r w:rsidR="00A60472" w:rsidRPr="003C5509">
        <w:rPr>
          <w:color w:val="000000"/>
          <w:sz w:val="28"/>
          <w:shd w:val="clear" w:color="auto" w:fill="FFFFFF"/>
          <w:lang w:val="uk-UA"/>
        </w:rPr>
        <w:lastRenderedPageBreak/>
        <w:t>марки "MAN"</w:t>
      </w:r>
      <w:r w:rsidR="009E7A3B" w:rsidRPr="003C5509">
        <w:rPr>
          <w:color w:val="000000"/>
          <w:sz w:val="28"/>
          <w:shd w:val="clear" w:color="auto" w:fill="FFFFFF"/>
          <w:lang w:val="uk-UA"/>
        </w:rPr>
        <w:t xml:space="preserve"> від муніципалітету міста Дортмунд (Федерати</w:t>
      </w:r>
      <w:r w:rsidR="009548EA" w:rsidRPr="003C5509">
        <w:rPr>
          <w:color w:val="000000"/>
          <w:sz w:val="28"/>
          <w:shd w:val="clear" w:color="auto" w:fill="FFFFFF"/>
          <w:lang w:val="uk-UA"/>
        </w:rPr>
        <w:t xml:space="preserve">вна Республіка Німеччина) </w:t>
      </w:r>
      <w:r w:rsidR="009E7A3B" w:rsidRPr="003C5509">
        <w:rPr>
          <w:color w:val="000000"/>
          <w:sz w:val="28"/>
          <w:shd w:val="clear" w:color="auto" w:fill="FFFFFF"/>
          <w:lang w:val="uk-UA"/>
        </w:rPr>
        <w:t xml:space="preserve">і 3 автобуси </w:t>
      </w:r>
      <w:r w:rsidR="00A60472" w:rsidRPr="003C5509">
        <w:rPr>
          <w:color w:val="000000"/>
          <w:sz w:val="28"/>
          <w:shd w:val="clear" w:color="auto" w:fill="FFFFFF"/>
          <w:lang w:val="uk-UA"/>
        </w:rPr>
        <w:t>–</w:t>
      </w:r>
      <w:r w:rsidR="009E7A3B" w:rsidRPr="003C5509">
        <w:rPr>
          <w:color w:val="000000"/>
          <w:sz w:val="28"/>
          <w:shd w:val="clear" w:color="auto" w:fill="FFFFFF"/>
          <w:lang w:val="uk-UA"/>
        </w:rPr>
        <w:t xml:space="preserve"> в межах співпраці з м</w:t>
      </w:r>
      <w:r w:rsidR="00A60472" w:rsidRPr="003C5509">
        <w:rPr>
          <w:color w:val="000000"/>
          <w:sz w:val="28"/>
          <w:shd w:val="clear" w:color="auto" w:fill="FFFFFF"/>
          <w:lang w:val="uk-UA"/>
        </w:rPr>
        <w:t>істом</w:t>
      </w:r>
      <w:r w:rsidR="009E7A3B" w:rsidRPr="003C5509">
        <w:rPr>
          <w:color w:val="000000"/>
          <w:sz w:val="28"/>
          <w:shd w:val="clear" w:color="auto" w:fill="FFFFFF"/>
          <w:lang w:val="uk-UA"/>
        </w:rPr>
        <w:t xml:space="preserve"> Малага</w:t>
      </w:r>
      <w:r w:rsidR="00A60472" w:rsidRPr="003C5509">
        <w:rPr>
          <w:color w:val="000000"/>
          <w:sz w:val="28"/>
          <w:shd w:val="clear" w:color="auto" w:fill="FFFFFF"/>
          <w:lang w:val="uk-UA"/>
        </w:rPr>
        <w:t xml:space="preserve"> (Іспанія)</w:t>
      </w:r>
      <w:r w:rsidR="009E7A3B" w:rsidRPr="003C5509">
        <w:rPr>
          <w:color w:val="000000"/>
          <w:sz w:val="28"/>
          <w:shd w:val="clear" w:color="auto" w:fill="FFFFFF"/>
          <w:lang w:val="uk-UA"/>
        </w:rPr>
        <w:t>.</w:t>
      </w:r>
    </w:p>
    <w:p w14:paraId="6AF0FA56" w14:textId="77777777" w:rsidR="004A7F88" w:rsidRPr="003C5509" w:rsidRDefault="004A7F88" w:rsidP="00D31A07">
      <w:pPr>
        <w:ind w:firstLine="708"/>
        <w:jc w:val="both"/>
        <w:rPr>
          <w:b/>
          <w:bCs/>
          <w:sz w:val="28"/>
          <w:u w:val="single"/>
          <w:lang w:val="uk-UA"/>
        </w:rPr>
      </w:pPr>
    </w:p>
    <w:p w14:paraId="7D8C5053" w14:textId="77777777" w:rsidR="00D31A07" w:rsidRPr="003C5509" w:rsidRDefault="00D31A07" w:rsidP="00D31A07">
      <w:pPr>
        <w:ind w:firstLine="708"/>
        <w:jc w:val="both"/>
        <w:rPr>
          <w:b/>
          <w:bCs/>
          <w:sz w:val="28"/>
          <w:u w:val="single"/>
          <w:lang w:val="uk-UA"/>
        </w:rPr>
      </w:pPr>
      <w:r w:rsidRPr="003C5509">
        <w:rPr>
          <w:b/>
          <w:bCs/>
          <w:sz w:val="28"/>
          <w:u w:val="single"/>
          <w:lang w:val="uk-UA"/>
        </w:rPr>
        <w:t>Сектор виробництво теплової енергії</w:t>
      </w:r>
    </w:p>
    <w:p w14:paraId="56BE79D7" w14:textId="48FB2AD6" w:rsidR="006310C8" w:rsidRPr="003C5509" w:rsidRDefault="00D31A07" w:rsidP="006310C8">
      <w:pPr>
        <w:ind w:firstLine="708"/>
        <w:jc w:val="both"/>
        <w:rPr>
          <w:sz w:val="28"/>
        </w:rPr>
      </w:pPr>
      <w:r w:rsidRPr="003C5509">
        <w:rPr>
          <w:sz w:val="28"/>
          <w:lang w:val="uk-UA"/>
        </w:rPr>
        <w:t xml:space="preserve">Послуги з централізованого теплопостачання для підприємств, установ та організацій </w:t>
      </w:r>
      <w:r w:rsidR="006310C8" w:rsidRPr="003C5509">
        <w:rPr>
          <w:sz w:val="28"/>
          <w:lang w:val="uk-UA"/>
        </w:rPr>
        <w:t>громади</w:t>
      </w:r>
      <w:r w:rsidRPr="003C5509">
        <w:rPr>
          <w:sz w:val="28"/>
          <w:lang w:val="uk-UA"/>
        </w:rPr>
        <w:t xml:space="preserve"> надає</w:t>
      </w:r>
      <w:r w:rsidR="006310C8" w:rsidRPr="003C5509">
        <w:rPr>
          <w:sz w:val="28"/>
          <w:lang w:val="uk-UA"/>
        </w:rPr>
        <w:t>ться</w:t>
      </w:r>
      <w:r w:rsidRPr="003C5509">
        <w:rPr>
          <w:sz w:val="28"/>
          <w:lang w:val="uk-UA"/>
        </w:rPr>
        <w:t xml:space="preserve"> в основному </w:t>
      </w:r>
      <w:r w:rsidR="00181DB3" w:rsidRPr="003C5509">
        <w:rPr>
          <w:sz w:val="28"/>
          <w:lang w:val="uk-UA"/>
        </w:rPr>
        <w:t>комунальним підприємством</w:t>
      </w:r>
      <w:r w:rsidRPr="003C5509">
        <w:rPr>
          <w:sz w:val="28"/>
          <w:lang w:val="uk-UA"/>
        </w:rPr>
        <w:t xml:space="preserve"> «Ж</w:t>
      </w:r>
      <w:r w:rsidR="00181DB3" w:rsidRPr="003C5509">
        <w:rPr>
          <w:sz w:val="28"/>
          <w:lang w:val="uk-UA"/>
        </w:rPr>
        <w:t>итомиртеплокомуненерго</w:t>
      </w:r>
      <w:r w:rsidRPr="003C5509">
        <w:rPr>
          <w:sz w:val="28"/>
          <w:lang w:val="uk-UA"/>
        </w:rPr>
        <w:t>»</w:t>
      </w:r>
      <w:r w:rsidR="006310C8" w:rsidRPr="003C5509">
        <w:rPr>
          <w:sz w:val="28"/>
          <w:lang w:val="uk-UA"/>
        </w:rPr>
        <w:t xml:space="preserve"> Житомирської міської ради</w:t>
      </w:r>
      <w:r w:rsidRPr="003C5509">
        <w:rPr>
          <w:sz w:val="28"/>
          <w:lang w:val="uk-UA"/>
        </w:rPr>
        <w:t>. Річний обсяг споживання енергоносіїв у 20</w:t>
      </w:r>
      <w:r w:rsidR="006310C8" w:rsidRPr="003C5509">
        <w:rPr>
          <w:sz w:val="28"/>
          <w:lang w:val="uk-UA"/>
        </w:rPr>
        <w:t>23</w:t>
      </w:r>
      <w:r w:rsidRPr="003C5509">
        <w:rPr>
          <w:sz w:val="28"/>
          <w:lang w:val="uk-UA"/>
        </w:rPr>
        <w:t xml:space="preserve"> році становить: 5</w:t>
      </w:r>
      <w:r w:rsidR="006310C8" w:rsidRPr="003C5509">
        <w:rPr>
          <w:sz w:val="28"/>
          <w:lang w:val="uk-UA"/>
        </w:rPr>
        <w:t>1</w:t>
      </w:r>
      <w:r w:rsidRPr="003C5509">
        <w:rPr>
          <w:sz w:val="28"/>
          <w:lang w:val="uk-UA"/>
        </w:rPr>
        <w:t xml:space="preserve"> 7</w:t>
      </w:r>
      <w:r w:rsidR="006310C8" w:rsidRPr="003C5509">
        <w:rPr>
          <w:sz w:val="28"/>
          <w:lang w:val="uk-UA"/>
        </w:rPr>
        <w:t>21</w:t>
      </w:r>
      <w:r w:rsidRPr="003C5509">
        <w:rPr>
          <w:sz w:val="28"/>
          <w:lang w:val="uk-UA"/>
        </w:rPr>
        <w:t>,0 тис. м</w:t>
      </w:r>
      <w:r w:rsidRPr="003C5509">
        <w:rPr>
          <w:sz w:val="28"/>
          <w:vertAlign w:val="superscript"/>
          <w:lang w:val="uk-UA"/>
        </w:rPr>
        <w:t>3</w:t>
      </w:r>
      <w:r w:rsidRPr="003C5509">
        <w:rPr>
          <w:sz w:val="28"/>
          <w:lang w:val="uk-UA"/>
        </w:rPr>
        <w:t xml:space="preserve"> споживання природного газу та 1</w:t>
      </w:r>
      <w:r w:rsidR="006310C8" w:rsidRPr="003C5509">
        <w:rPr>
          <w:sz w:val="28"/>
          <w:lang w:val="uk-UA"/>
        </w:rPr>
        <w:t>5 </w:t>
      </w:r>
      <w:r w:rsidRPr="003C5509">
        <w:rPr>
          <w:sz w:val="28"/>
          <w:lang w:val="uk-UA"/>
        </w:rPr>
        <w:t>3</w:t>
      </w:r>
      <w:r w:rsidR="006310C8" w:rsidRPr="003C5509">
        <w:rPr>
          <w:sz w:val="28"/>
          <w:lang w:val="uk-UA"/>
        </w:rPr>
        <w:t>07,0</w:t>
      </w:r>
      <w:r w:rsidRPr="003C5509">
        <w:rPr>
          <w:sz w:val="28"/>
          <w:lang w:val="uk-UA"/>
        </w:rPr>
        <w:t xml:space="preserve"> тис. кВт*год споживання електроенергії.</w:t>
      </w:r>
    </w:p>
    <w:p w14:paraId="301D1F60" w14:textId="51749B29" w:rsidR="006310C8" w:rsidRPr="003472FD" w:rsidRDefault="006310C8" w:rsidP="006310C8">
      <w:pPr>
        <w:jc w:val="both"/>
        <w:rPr>
          <w:sz w:val="28"/>
          <w:highlight w:val="green"/>
          <w:lang w:val="uk-UA"/>
        </w:rPr>
      </w:pPr>
      <w:r w:rsidRPr="003472FD">
        <w:rPr>
          <w:noProof/>
          <w:highlight w:val="green"/>
        </w:rPr>
        <w:drawing>
          <wp:anchor distT="0" distB="0" distL="114300" distR="114300" simplePos="0" relativeHeight="251658240" behindDoc="0" locked="0" layoutInCell="1" allowOverlap="1" wp14:anchorId="1587AB6F" wp14:editId="6CC2B158">
            <wp:simplePos x="0" y="0"/>
            <wp:positionH relativeFrom="column">
              <wp:posOffset>1242</wp:posOffset>
            </wp:positionH>
            <wp:positionV relativeFrom="paragraph">
              <wp:posOffset>3589</wp:posOffset>
            </wp:positionV>
            <wp:extent cx="5940425" cy="3498574"/>
            <wp:effectExtent l="0" t="0" r="0" b="0"/>
            <wp:wrapTopAndBottom/>
            <wp:docPr id="1" name="Диаграмма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0A106F" w14:textId="16C9BC96" w:rsidR="00CC6AA6" w:rsidRPr="003C5509" w:rsidRDefault="00C41E8B" w:rsidP="00CC6AA6">
      <w:pPr>
        <w:ind w:firstLine="708"/>
        <w:jc w:val="both"/>
        <w:rPr>
          <w:color w:val="000000" w:themeColor="text1"/>
          <w:sz w:val="28"/>
          <w:shd w:val="clear" w:color="auto" w:fill="FFFFFF"/>
          <w:lang w:val="uk-UA"/>
        </w:rPr>
      </w:pPr>
      <w:r w:rsidRPr="003C5509">
        <w:rPr>
          <w:color w:val="000000" w:themeColor="text1"/>
          <w:sz w:val="28"/>
          <w:lang w:val="uk-UA"/>
        </w:rPr>
        <w:t>У 20</w:t>
      </w:r>
      <w:r w:rsidR="00CC6AA6" w:rsidRPr="003C5509">
        <w:rPr>
          <w:color w:val="000000" w:themeColor="text1"/>
          <w:sz w:val="28"/>
          <w:lang w:val="uk-UA"/>
        </w:rPr>
        <w:t>23 році завершено реалізац</w:t>
      </w:r>
      <w:r w:rsidR="005B114B" w:rsidRPr="003C5509">
        <w:rPr>
          <w:color w:val="000000" w:themeColor="text1"/>
          <w:sz w:val="28"/>
          <w:lang w:val="uk-UA"/>
        </w:rPr>
        <w:t>і</w:t>
      </w:r>
      <w:r w:rsidR="00CC6AA6" w:rsidRPr="003C5509">
        <w:rPr>
          <w:color w:val="000000" w:themeColor="text1"/>
          <w:sz w:val="28"/>
          <w:lang w:val="uk-UA"/>
        </w:rPr>
        <w:t xml:space="preserve">ю проєкту </w:t>
      </w:r>
      <w:r w:rsidR="00D31A07" w:rsidRPr="003C5509">
        <w:rPr>
          <w:color w:val="000000" w:themeColor="text1"/>
          <w:sz w:val="28"/>
          <w:lang w:val="uk-UA"/>
        </w:rPr>
        <w:t>«Енергоефективність у</w:t>
      </w:r>
      <w:r w:rsidR="00181DB3" w:rsidRPr="003C5509">
        <w:rPr>
          <w:color w:val="000000" w:themeColor="text1"/>
          <w:sz w:val="28"/>
          <w:lang w:val="uk-UA"/>
        </w:rPr>
        <w:t xml:space="preserve"> м</w:t>
      </w:r>
      <w:r w:rsidR="00D31A07" w:rsidRPr="003C5509">
        <w:rPr>
          <w:color w:val="000000" w:themeColor="text1"/>
          <w:sz w:val="28"/>
          <w:lang w:val="uk-UA"/>
        </w:rPr>
        <w:t>.</w:t>
      </w:r>
      <w:r w:rsidR="009548EA" w:rsidRPr="003C5509">
        <w:rPr>
          <w:color w:val="000000" w:themeColor="text1"/>
          <w:sz w:val="28"/>
          <w:lang w:val="en-US"/>
        </w:rPr>
        <w:t> </w:t>
      </w:r>
      <w:r w:rsidR="00D31A07" w:rsidRPr="003C5509">
        <w:rPr>
          <w:color w:val="000000" w:themeColor="text1"/>
          <w:sz w:val="28"/>
          <w:lang w:val="uk-UA"/>
        </w:rPr>
        <w:t>Житомир</w:t>
      </w:r>
      <w:r w:rsidR="009548EA" w:rsidRPr="003C5509">
        <w:rPr>
          <w:color w:val="000000" w:themeColor="text1"/>
          <w:sz w:val="28"/>
          <w:lang w:val="uk-UA"/>
        </w:rPr>
        <w:t>і</w:t>
      </w:r>
      <w:r w:rsidR="00D31A07" w:rsidRPr="003C5509">
        <w:rPr>
          <w:color w:val="000000" w:themeColor="text1"/>
          <w:sz w:val="28"/>
          <w:lang w:val="uk-UA"/>
        </w:rPr>
        <w:t xml:space="preserve">» </w:t>
      </w:r>
      <w:r w:rsidR="00181DB3" w:rsidRPr="003C5509">
        <w:rPr>
          <w:color w:val="000000" w:themeColor="text1"/>
          <w:sz w:val="28"/>
          <w:lang w:val="uk-UA"/>
        </w:rPr>
        <w:t xml:space="preserve">у співпраці з Державним секретаріатом з економічних питань Швейцарської конфедерації </w:t>
      </w:r>
      <w:r w:rsidR="00D31A07" w:rsidRPr="003C5509">
        <w:rPr>
          <w:color w:val="000000" w:themeColor="text1"/>
          <w:sz w:val="28"/>
          <w:lang w:val="uk-UA"/>
        </w:rPr>
        <w:t>(</w:t>
      </w:r>
      <w:r w:rsidR="00181DB3" w:rsidRPr="003C5509">
        <w:rPr>
          <w:color w:val="000000" w:themeColor="text1"/>
          <w:sz w:val="28"/>
          <w:lang w:val="en-US"/>
        </w:rPr>
        <w:t>SECO</w:t>
      </w:r>
      <w:r w:rsidR="00D31A07" w:rsidRPr="003C5509">
        <w:rPr>
          <w:color w:val="000000" w:themeColor="text1"/>
          <w:sz w:val="28"/>
          <w:lang w:val="uk-UA"/>
        </w:rPr>
        <w:t>)</w:t>
      </w:r>
      <w:r w:rsidR="009548EA" w:rsidRPr="003C5509">
        <w:rPr>
          <w:color w:val="000000" w:themeColor="text1"/>
          <w:sz w:val="28"/>
          <w:lang w:val="uk-UA"/>
        </w:rPr>
        <w:t>.</w:t>
      </w:r>
      <w:r w:rsidR="00D31A07" w:rsidRPr="003C5509">
        <w:rPr>
          <w:color w:val="000000" w:themeColor="text1"/>
          <w:sz w:val="28"/>
          <w:lang w:val="uk-UA"/>
        </w:rPr>
        <w:t xml:space="preserve"> </w:t>
      </w:r>
      <w:r w:rsidR="009548EA" w:rsidRPr="003C5509">
        <w:rPr>
          <w:color w:val="000000" w:themeColor="text1"/>
          <w:sz w:val="28"/>
          <w:lang w:val="uk-UA"/>
        </w:rPr>
        <w:t>В рамках проєкту проведено</w:t>
      </w:r>
      <w:r w:rsidR="009E7A3B" w:rsidRPr="003C5509">
        <w:rPr>
          <w:color w:val="000000" w:themeColor="text1"/>
          <w:sz w:val="28"/>
          <w:shd w:val="clear" w:color="auto" w:fill="FFFFFF"/>
          <w:lang w:val="uk-UA"/>
        </w:rPr>
        <w:t xml:space="preserve"> реконструкції районної котельні РК-10 шляхом встановлення термодинамічної установки органічного циклу Ренкіна</w:t>
      </w:r>
      <w:r w:rsidR="009548EA" w:rsidRPr="003C5509">
        <w:rPr>
          <w:color w:val="000000" w:themeColor="text1"/>
          <w:sz w:val="28"/>
          <w:shd w:val="clear" w:color="auto" w:fill="FFFFFF"/>
          <w:lang w:val="uk-UA"/>
        </w:rPr>
        <w:t xml:space="preserve"> потужністю 1,2 МВт електричної та 7,1 МВт теплової енергії</w:t>
      </w:r>
      <w:r w:rsidR="009E7A3B" w:rsidRPr="003C5509">
        <w:rPr>
          <w:color w:val="000000" w:themeColor="text1"/>
          <w:sz w:val="28"/>
          <w:shd w:val="clear" w:color="auto" w:fill="FFFFFF"/>
          <w:lang w:val="uk-UA"/>
        </w:rPr>
        <w:t xml:space="preserve"> (паливо</w:t>
      </w:r>
      <w:r w:rsidR="009548EA" w:rsidRPr="003C5509">
        <w:rPr>
          <w:color w:val="000000" w:themeColor="text1"/>
          <w:sz w:val="28"/>
          <w:shd w:val="clear" w:color="auto" w:fill="FFFFFF"/>
          <w:lang w:val="uk-UA"/>
        </w:rPr>
        <w:t xml:space="preserve"> - </w:t>
      </w:r>
      <w:r w:rsidR="009E7A3B" w:rsidRPr="003C5509">
        <w:rPr>
          <w:color w:val="000000" w:themeColor="text1"/>
          <w:sz w:val="28"/>
          <w:shd w:val="clear" w:color="auto" w:fill="FFFFFF"/>
          <w:lang w:val="uk-UA"/>
        </w:rPr>
        <w:t>тріска деревини)</w:t>
      </w:r>
      <w:r w:rsidR="009548EA" w:rsidRPr="003C5509">
        <w:rPr>
          <w:color w:val="000000" w:themeColor="text1"/>
          <w:sz w:val="28"/>
          <w:shd w:val="clear" w:color="auto" w:fill="FFFFFF"/>
          <w:lang w:val="uk-UA"/>
        </w:rPr>
        <w:t xml:space="preserve">. Також в рамках проєкту встановлено 119 індивідуальних теплових пунктів  та реконструйовано 6965 </w:t>
      </w:r>
      <w:proofErr w:type="spellStart"/>
      <w:r w:rsidR="009548EA" w:rsidRPr="003C5509">
        <w:rPr>
          <w:color w:val="000000" w:themeColor="text1"/>
          <w:sz w:val="28"/>
          <w:shd w:val="clear" w:color="auto" w:fill="FFFFFF"/>
          <w:lang w:val="uk-UA"/>
        </w:rPr>
        <w:t>мп</w:t>
      </w:r>
      <w:proofErr w:type="spellEnd"/>
      <w:r w:rsidR="009548EA" w:rsidRPr="003C5509">
        <w:rPr>
          <w:color w:val="000000" w:themeColor="text1"/>
          <w:sz w:val="28"/>
          <w:shd w:val="clear" w:color="auto" w:fill="FFFFFF"/>
          <w:lang w:val="uk-UA"/>
        </w:rPr>
        <w:t xml:space="preserve"> теплових мереж в двотрубному вимірі.</w:t>
      </w:r>
    </w:p>
    <w:p w14:paraId="5A22F768" w14:textId="3E8BE839" w:rsidR="009E7A3B" w:rsidRPr="003C5509" w:rsidRDefault="00CC6AA6" w:rsidP="00CC6AA6">
      <w:pPr>
        <w:ind w:firstLine="708"/>
        <w:jc w:val="both"/>
        <w:rPr>
          <w:color w:val="000000" w:themeColor="text1"/>
          <w:sz w:val="28"/>
          <w:shd w:val="clear" w:color="auto" w:fill="FFFFFF"/>
          <w:lang w:val="uk-UA"/>
        </w:rPr>
      </w:pPr>
      <w:r w:rsidRPr="003C5509">
        <w:rPr>
          <w:color w:val="000000" w:themeColor="text1"/>
          <w:sz w:val="28"/>
          <w:lang w:val="uk-UA"/>
        </w:rPr>
        <w:t>Триває реалізація проєкту «Централізованого теплопостачання міста Житомира» за фінансування Європейським банком реконструкції та розвитку (</w:t>
      </w:r>
      <w:r w:rsidRPr="003C5509">
        <w:rPr>
          <w:color w:val="000000" w:themeColor="text1"/>
          <w:sz w:val="28"/>
          <w:lang w:val="en-US"/>
        </w:rPr>
        <w:t>EBRD</w:t>
      </w:r>
      <w:r w:rsidRPr="003C5509">
        <w:rPr>
          <w:color w:val="000000" w:themeColor="text1"/>
          <w:sz w:val="28"/>
          <w:lang w:val="uk-UA"/>
        </w:rPr>
        <w:t xml:space="preserve">). Також </w:t>
      </w:r>
      <w:r w:rsidRPr="003C5509">
        <w:rPr>
          <w:color w:val="000000" w:themeColor="text1"/>
          <w:sz w:val="28"/>
          <w:shd w:val="clear" w:color="auto" w:fill="FFFFFF"/>
          <w:lang w:val="uk-UA"/>
        </w:rPr>
        <w:t>н</w:t>
      </w:r>
      <w:r w:rsidR="009E7A3B" w:rsidRPr="003C5509">
        <w:rPr>
          <w:color w:val="000000" w:themeColor="text1"/>
          <w:sz w:val="28"/>
          <w:shd w:val="clear" w:color="auto" w:fill="FFFFFF"/>
          <w:lang w:val="uk-UA"/>
        </w:rPr>
        <w:t xml:space="preserve">а стадії реалізації перебувають проєкти з побудови ТЕЦ на біомасі на РК-11 та встановлення двох модульних котелень на біомасі. Додатково підприємство закуповує теплову енергію з біомаси в приватних </w:t>
      </w:r>
      <w:proofErr w:type="spellStart"/>
      <w:r w:rsidR="009E7A3B" w:rsidRPr="003C5509">
        <w:rPr>
          <w:color w:val="000000" w:themeColor="text1"/>
          <w:sz w:val="28"/>
          <w:shd w:val="clear" w:color="auto" w:fill="FFFFFF"/>
          <w:lang w:val="uk-UA"/>
        </w:rPr>
        <w:t>теплопостачальників</w:t>
      </w:r>
      <w:proofErr w:type="spellEnd"/>
      <w:r w:rsidR="009E7A3B" w:rsidRPr="003C5509">
        <w:rPr>
          <w:color w:val="000000" w:themeColor="text1"/>
          <w:sz w:val="28"/>
          <w:shd w:val="clear" w:color="auto" w:fill="FFFFFF"/>
          <w:lang w:val="uk-UA"/>
        </w:rPr>
        <w:t xml:space="preserve"> для подальшої її реалізації своїм споживачам </w:t>
      </w:r>
      <w:r w:rsidR="009548EA" w:rsidRPr="003C5509">
        <w:rPr>
          <w:color w:val="000000" w:themeColor="text1"/>
          <w:sz w:val="28"/>
          <w:shd w:val="clear" w:color="auto" w:fill="FFFFFF"/>
          <w:lang w:val="uk-UA"/>
        </w:rPr>
        <w:t>бюджетним організаціям</w:t>
      </w:r>
      <w:r w:rsidR="009E7A3B" w:rsidRPr="003C5509">
        <w:rPr>
          <w:color w:val="000000" w:themeColor="text1"/>
          <w:sz w:val="28"/>
          <w:shd w:val="clear" w:color="auto" w:fill="FFFFFF"/>
          <w:lang w:val="uk-UA"/>
        </w:rPr>
        <w:t>.</w:t>
      </w:r>
    </w:p>
    <w:p w14:paraId="3B6A5328" w14:textId="29EE894F" w:rsidR="00551B08" w:rsidRPr="003C5509" w:rsidRDefault="00551B08" w:rsidP="00CC6AA6">
      <w:pPr>
        <w:ind w:firstLine="708"/>
        <w:jc w:val="both"/>
        <w:rPr>
          <w:color w:val="000000" w:themeColor="text1"/>
          <w:sz w:val="28"/>
          <w:lang w:val="uk-UA"/>
        </w:rPr>
      </w:pPr>
      <w:r w:rsidRPr="003C5509">
        <w:rPr>
          <w:color w:val="000000" w:themeColor="text1"/>
          <w:sz w:val="28"/>
          <w:shd w:val="clear" w:color="auto" w:fill="FFFFFF"/>
          <w:lang w:val="uk-UA"/>
        </w:rPr>
        <w:t>Для посилення енергетичної стійкості та підвищення ефективності використання енергії КП «</w:t>
      </w:r>
      <w:r w:rsidR="00891672" w:rsidRPr="003C5509">
        <w:rPr>
          <w:color w:val="000000" w:themeColor="text1"/>
          <w:sz w:val="28"/>
          <w:shd w:val="clear" w:color="auto" w:fill="FFFFFF"/>
          <w:lang w:val="uk-UA"/>
        </w:rPr>
        <w:t>Житомиртеплокомуненерго</w:t>
      </w:r>
      <w:r w:rsidRPr="003C5509">
        <w:rPr>
          <w:color w:val="000000" w:themeColor="text1"/>
          <w:sz w:val="28"/>
          <w:shd w:val="clear" w:color="auto" w:fill="FFFFFF"/>
          <w:lang w:val="uk-UA"/>
        </w:rPr>
        <w:t>» реалізовує ряд проєктів з розвитку когенераційних потужностей</w:t>
      </w:r>
      <w:r w:rsidR="00DC121F" w:rsidRPr="003C5509">
        <w:rPr>
          <w:color w:val="000000" w:themeColor="text1"/>
          <w:sz w:val="28"/>
          <w:shd w:val="clear" w:color="auto" w:fill="FFFFFF"/>
          <w:lang w:val="uk-UA"/>
        </w:rPr>
        <w:t>, в тому числі у співпраці з</w:t>
      </w:r>
      <w:r w:rsidR="00DC121F" w:rsidRPr="003C5509">
        <w:rPr>
          <w:color w:val="000000" w:themeColor="text1"/>
          <w:sz w:val="28"/>
          <w:shd w:val="clear" w:color="auto" w:fill="FFFFFF"/>
          <w:lang w:val="en-US"/>
        </w:rPr>
        <w:t xml:space="preserve"> </w:t>
      </w:r>
      <w:r w:rsidR="00DC121F" w:rsidRPr="003C5509">
        <w:rPr>
          <w:color w:val="000000" w:themeColor="text1"/>
          <w:sz w:val="28"/>
          <w:shd w:val="clear" w:color="auto" w:fill="FFFFFF"/>
          <w:lang w:val="uk-UA"/>
        </w:rPr>
        <w:lastRenderedPageBreak/>
        <w:t>Агентством США з міжнародного розвитку (</w:t>
      </w:r>
      <w:r w:rsidR="00DC121F" w:rsidRPr="003C5509">
        <w:rPr>
          <w:color w:val="000000" w:themeColor="text1"/>
          <w:sz w:val="28"/>
          <w:shd w:val="clear" w:color="auto" w:fill="FFFFFF"/>
          <w:lang w:val="en-US"/>
        </w:rPr>
        <w:t>USAID</w:t>
      </w:r>
      <w:r w:rsidR="00DC121F" w:rsidRPr="003C5509">
        <w:rPr>
          <w:color w:val="000000" w:themeColor="text1"/>
          <w:sz w:val="28"/>
          <w:shd w:val="clear" w:color="auto" w:fill="FFFFFF"/>
          <w:lang w:val="uk-UA"/>
        </w:rPr>
        <w:t>)</w:t>
      </w:r>
      <w:r w:rsidR="00DC121F" w:rsidRPr="003C5509">
        <w:rPr>
          <w:color w:val="000000" w:themeColor="text1"/>
          <w:sz w:val="28"/>
          <w:shd w:val="clear" w:color="auto" w:fill="FFFFFF"/>
          <w:lang w:val="en-US"/>
        </w:rPr>
        <w:t xml:space="preserve"> </w:t>
      </w:r>
      <w:r w:rsidR="00DC121F" w:rsidRPr="003C5509">
        <w:rPr>
          <w:color w:val="000000" w:themeColor="text1"/>
          <w:sz w:val="28"/>
          <w:shd w:val="clear" w:color="auto" w:fill="FFFFFF"/>
          <w:lang w:val="uk-UA"/>
        </w:rPr>
        <w:t>та приватними інвесторами</w:t>
      </w:r>
      <w:r w:rsidRPr="003C5509">
        <w:rPr>
          <w:color w:val="000000" w:themeColor="text1"/>
          <w:sz w:val="28"/>
          <w:shd w:val="clear" w:color="auto" w:fill="FFFFFF"/>
          <w:lang w:val="uk-UA"/>
        </w:rPr>
        <w:t>.</w:t>
      </w:r>
    </w:p>
    <w:p w14:paraId="2DDFC960" w14:textId="77777777" w:rsidR="00FC54A2" w:rsidRPr="003C5509" w:rsidRDefault="00FC54A2" w:rsidP="00985FBD">
      <w:pPr>
        <w:jc w:val="both"/>
        <w:rPr>
          <w:sz w:val="28"/>
          <w:lang w:val="uk-UA"/>
        </w:rPr>
      </w:pPr>
    </w:p>
    <w:p w14:paraId="7D3D24DD" w14:textId="5F9F6C0A" w:rsidR="00FC54A2" w:rsidRPr="003C5509" w:rsidRDefault="00FC54A2" w:rsidP="00FC54A2">
      <w:pPr>
        <w:ind w:firstLine="708"/>
        <w:jc w:val="both"/>
        <w:rPr>
          <w:b/>
          <w:bCs/>
          <w:sz w:val="28"/>
          <w:u w:val="single"/>
          <w:lang w:val="uk-UA"/>
        </w:rPr>
      </w:pPr>
      <w:r w:rsidRPr="003C5509">
        <w:rPr>
          <w:b/>
          <w:bCs/>
          <w:sz w:val="28"/>
          <w:u w:val="single"/>
          <w:lang w:val="uk-UA"/>
        </w:rPr>
        <w:t>Сектор водовідведення та водопостачання</w:t>
      </w:r>
    </w:p>
    <w:p w14:paraId="5D3A928A" w14:textId="77777777" w:rsidR="000E0FDF" w:rsidRPr="003C5509" w:rsidRDefault="000E0FDF" w:rsidP="000E0FDF">
      <w:pPr>
        <w:shd w:val="clear" w:color="auto" w:fill="FFFFFF"/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>В місті реалізовується проєкт «Розвиток та реконструкція системи водопостачання/водовідведення міста Житомира» за фінансової підтримки Світового банку (</w:t>
      </w:r>
      <w:proofErr w:type="spellStart"/>
      <w:r w:rsidRPr="003C5509">
        <w:rPr>
          <w:sz w:val="28"/>
          <w:lang w:val="uk-UA"/>
        </w:rPr>
        <w:t>World</w:t>
      </w:r>
      <w:proofErr w:type="spellEnd"/>
      <w:r w:rsidRPr="003C5509">
        <w:rPr>
          <w:sz w:val="28"/>
          <w:lang w:val="uk-UA"/>
        </w:rPr>
        <w:t xml:space="preserve"> </w:t>
      </w:r>
      <w:proofErr w:type="spellStart"/>
      <w:r w:rsidRPr="003C5509">
        <w:rPr>
          <w:sz w:val="28"/>
          <w:lang w:val="uk-UA"/>
        </w:rPr>
        <w:t>Bank</w:t>
      </w:r>
      <w:proofErr w:type="spellEnd"/>
      <w:r w:rsidRPr="003C5509">
        <w:rPr>
          <w:sz w:val="28"/>
          <w:lang w:val="uk-UA"/>
        </w:rPr>
        <w:t xml:space="preserve">). </w:t>
      </w:r>
    </w:p>
    <w:p w14:paraId="2B149F16" w14:textId="77777777" w:rsidR="000E0FDF" w:rsidRPr="003C5509" w:rsidRDefault="000E0FDF" w:rsidP="000E0FDF">
      <w:pPr>
        <w:shd w:val="clear" w:color="auto" w:fill="FFFFFF"/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>Отримано додаткове фінансування від Міжнародного банку реконструкції та розвитку (</w:t>
      </w:r>
      <w:r w:rsidRPr="003C5509">
        <w:rPr>
          <w:sz w:val="28"/>
          <w:lang w:val="en-US"/>
        </w:rPr>
        <w:t>IBRD</w:t>
      </w:r>
      <w:r w:rsidRPr="003C5509">
        <w:rPr>
          <w:sz w:val="28"/>
          <w:lang w:val="uk-UA"/>
        </w:rPr>
        <w:t xml:space="preserve">) на будівництво нового каналізаційної </w:t>
      </w:r>
      <w:proofErr w:type="spellStart"/>
      <w:r w:rsidRPr="003C5509">
        <w:rPr>
          <w:sz w:val="28"/>
          <w:lang w:val="uk-UA"/>
        </w:rPr>
        <w:t>колектора</w:t>
      </w:r>
      <w:proofErr w:type="spellEnd"/>
      <w:r w:rsidRPr="003C5509">
        <w:rPr>
          <w:sz w:val="28"/>
          <w:lang w:val="uk-UA"/>
        </w:rPr>
        <w:t xml:space="preserve"> від головної каналізаційної станції до ОСК-2. </w:t>
      </w:r>
    </w:p>
    <w:p w14:paraId="65BD665F" w14:textId="4052391D" w:rsidR="00B00EE5" w:rsidRPr="003C5509" w:rsidRDefault="000E0FDF" w:rsidP="000E0FDF">
      <w:pPr>
        <w:shd w:val="clear" w:color="auto" w:fill="FFFFFF"/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 xml:space="preserve">Під патронатом компанії </w:t>
      </w:r>
      <w:r w:rsidRPr="003C5509">
        <w:rPr>
          <w:sz w:val="28"/>
        </w:rPr>
        <w:t>ESOTECH</w:t>
      </w:r>
      <w:r w:rsidRPr="003C5509">
        <w:rPr>
          <w:sz w:val="28"/>
          <w:lang w:val="uk-UA"/>
        </w:rPr>
        <w:t xml:space="preserve"> та Центру з питань міжнародної співпраці і розвитку (</w:t>
      </w:r>
      <w:r w:rsidRPr="003C5509">
        <w:rPr>
          <w:sz w:val="28"/>
        </w:rPr>
        <w:t>CMSR</w:t>
      </w:r>
      <w:r w:rsidRPr="003C5509">
        <w:rPr>
          <w:sz w:val="28"/>
          <w:lang w:val="uk-UA"/>
        </w:rPr>
        <w:t>, Словенія) комунальним підприємс</w:t>
      </w:r>
      <w:r w:rsidR="00AC7DDD">
        <w:rPr>
          <w:sz w:val="28"/>
          <w:lang w:val="uk-UA"/>
        </w:rPr>
        <w:t>т</w:t>
      </w:r>
      <w:r w:rsidRPr="003C5509">
        <w:rPr>
          <w:sz w:val="28"/>
          <w:lang w:val="uk-UA"/>
        </w:rPr>
        <w:t xml:space="preserve">вом «Житомирводоканал» у 2019 році підписало Договір про надання гранту для реконструкція головної </w:t>
      </w:r>
      <w:proofErr w:type="spellStart"/>
      <w:r w:rsidRPr="003C5509">
        <w:rPr>
          <w:sz w:val="28"/>
          <w:lang w:val="uk-UA"/>
        </w:rPr>
        <w:t>каналізаційно</w:t>
      </w:r>
      <w:proofErr w:type="spellEnd"/>
      <w:r w:rsidRPr="003C5509">
        <w:rPr>
          <w:sz w:val="28"/>
          <w:lang w:val="uk-UA"/>
        </w:rPr>
        <w:t>-насосної станції та будівництво нової проміжної насосної станції.</w:t>
      </w:r>
    </w:p>
    <w:p w14:paraId="5127D87F" w14:textId="15870508" w:rsidR="000E0FDF" w:rsidRPr="00B00EE5" w:rsidRDefault="00B00EE5" w:rsidP="00B00EE5">
      <w:pPr>
        <w:shd w:val="clear" w:color="auto" w:fill="FFFFFF"/>
        <w:jc w:val="center"/>
        <w:rPr>
          <w:sz w:val="28"/>
          <w:highlight w:val="green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DA9DEB7" wp14:editId="7B92E96C">
            <wp:simplePos x="0" y="0"/>
            <wp:positionH relativeFrom="column">
              <wp:posOffset>1242</wp:posOffset>
            </wp:positionH>
            <wp:positionV relativeFrom="paragraph">
              <wp:posOffset>221</wp:posOffset>
            </wp:positionV>
            <wp:extent cx="5940425" cy="3181350"/>
            <wp:effectExtent l="0" t="0" r="0" b="0"/>
            <wp:wrapTopAndBottom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14:paraId="00A9613F" w14:textId="77777777" w:rsidR="000E0FDF" w:rsidRPr="003C5509" w:rsidRDefault="000E0FDF" w:rsidP="000E0FDF">
      <w:pPr>
        <w:shd w:val="clear" w:color="auto" w:fill="FFFFFF"/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>Водночас для забезпечення безперебійне функціонування водопровідно-каналізаційних мереж та ефективного управління споживанням води кінцевими споживачами виконувалося технічне переоснащення вузлів обліку води в багатоповерхових будинках.</w:t>
      </w:r>
    </w:p>
    <w:p w14:paraId="61F69C5D" w14:textId="67496976" w:rsidR="000E0FDF" w:rsidRPr="003C5509" w:rsidRDefault="000E0FDF" w:rsidP="000E0FDF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3C5509">
        <w:rPr>
          <w:sz w:val="28"/>
          <w:szCs w:val="28"/>
          <w:lang w:val="uk-UA"/>
        </w:rPr>
        <w:t xml:space="preserve">Проблема енергоємності міської інфраструктури виглядає особливо актуальною через залежність міста Житомира від імпортних енергоносіїв (електроенергії та природного газу) та постійне зростання тарифів на паливно-енергетичні ресурси. </w:t>
      </w:r>
      <w:r w:rsidR="00F33B7F" w:rsidRPr="003C5509">
        <w:rPr>
          <w:sz w:val="28"/>
          <w:szCs w:val="28"/>
          <w:lang w:val="uk-UA"/>
        </w:rPr>
        <w:t>Внаслідок</w:t>
      </w:r>
      <w:r w:rsidRPr="003C5509">
        <w:rPr>
          <w:sz w:val="28"/>
          <w:szCs w:val="28"/>
          <w:lang w:val="uk-UA"/>
        </w:rPr>
        <w:t xml:space="preserve"> імпортування енергоресурсів відбувається відтік фінансових ресурсів з </w:t>
      </w:r>
      <w:r w:rsidR="00F33B7F" w:rsidRPr="003C5509">
        <w:rPr>
          <w:sz w:val="28"/>
          <w:szCs w:val="28"/>
          <w:lang w:val="uk-UA"/>
        </w:rPr>
        <w:t>громади</w:t>
      </w:r>
      <w:r w:rsidRPr="003C5509">
        <w:rPr>
          <w:sz w:val="28"/>
          <w:szCs w:val="28"/>
          <w:lang w:val="uk-UA"/>
        </w:rPr>
        <w:t xml:space="preserve"> </w:t>
      </w:r>
      <w:r w:rsidR="00F33B7F" w:rsidRPr="003C5509">
        <w:rPr>
          <w:sz w:val="28"/>
          <w:szCs w:val="28"/>
          <w:lang w:val="uk-UA"/>
        </w:rPr>
        <w:t>для</w:t>
      </w:r>
      <w:r w:rsidRPr="003C5509">
        <w:rPr>
          <w:sz w:val="28"/>
          <w:szCs w:val="28"/>
          <w:lang w:val="uk-UA"/>
        </w:rPr>
        <w:t xml:space="preserve"> оплати кінцевими споживачами (</w:t>
      </w:r>
      <w:r w:rsidR="00F33B7F" w:rsidRPr="003C5509">
        <w:rPr>
          <w:sz w:val="28"/>
          <w:szCs w:val="28"/>
          <w:lang w:val="uk-UA"/>
        </w:rPr>
        <w:t xml:space="preserve">в т.ч. </w:t>
      </w:r>
      <w:r w:rsidRPr="003C5509">
        <w:rPr>
          <w:sz w:val="28"/>
          <w:szCs w:val="28"/>
          <w:lang w:val="uk-UA"/>
        </w:rPr>
        <w:t xml:space="preserve">населенням) рахунків за спожитий природний газ, електроенергію та житлово-комунальні послуги. Подальше зростання цін на енергоресурси матиме вплив на зростання вартості житлово-комунальних </w:t>
      </w:r>
      <w:r w:rsidRPr="003C5509">
        <w:rPr>
          <w:sz w:val="28"/>
          <w:szCs w:val="28"/>
          <w:lang w:val="uk-UA"/>
        </w:rPr>
        <w:lastRenderedPageBreak/>
        <w:t>послуг, відповідне зменшення реального рівня доходів та купівельної спроможності приватних домогосподарств.</w:t>
      </w:r>
    </w:p>
    <w:p w14:paraId="360A3149" w14:textId="7AA7EE7E" w:rsidR="00CC6AA6" w:rsidRPr="003C5509" w:rsidRDefault="000E0FDF" w:rsidP="000E0FDF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3C5509">
        <w:rPr>
          <w:sz w:val="28"/>
          <w:szCs w:val="28"/>
          <w:lang w:val="uk-UA"/>
        </w:rPr>
        <w:t>Для забезпечення о</w:t>
      </w:r>
      <w:r w:rsidR="00456984" w:rsidRPr="003C5509">
        <w:rPr>
          <w:sz w:val="28"/>
          <w:szCs w:val="28"/>
          <w:lang w:val="uk-UA"/>
        </w:rPr>
        <w:t>б’єкт</w:t>
      </w:r>
      <w:r w:rsidRPr="003C5509">
        <w:rPr>
          <w:sz w:val="28"/>
          <w:szCs w:val="28"/>
          <w:lang w:val="uk-UA"/>
        </w:rPr>
        <w:t>ів</w:t>
      </w:r>
      <w:r w:rsidR="00456984" w:rsidRPr="003C5509">
        <w:rPr>
          <w:sz w:val="28"/>
          <w:szCs w:val="28"/>
          <w:lang w:val="uk-UA"/>
        </w:rPr>
        <w:t xml:space="preserve"> КП «Житомирводоканал» </w:t>
      </w:r>
      <w:r w:rsidR="00F33B7F" w:rsidRPr="003C5509">
        <w:rPr>
          <w:sz w:val="28"/>
          <w:szCs w:val="28"/>
          <w:lang w:val="uk-UA"/>
        </w:rPr>
        <w:t>додатковим</w:t>
      </w:r>
      <w:r w:rsidRPr="003C5509">
        <w:rPr>
          <w:sz w:val="28"/>
          <w:szCs w:val="28"/>
          <w:lang w:val="uk-UA"/>
        </w:rPr>
        <w:t xml:space="preserve"> електроживленням</w:t>
      </w:r>
      <w:r w:rsidR="005B114B" w:rsidRPr="003C5509">
        <w:rPr>
          <w:sz w:val="28"/>
          <w:szCs w:val="28"/>
          <w:lang w:val="uk-UA"/>
        </w:rPr>
        <w:t xml:space="preserve"> та зменшення </w:t>
      </w:r>
      <w:r w:rsidR="00F33B7F" w:rsidRPr="003C5509">
        <w:rPr>
          <w:sz w:val="28"/>
          <w:szCs w:val="28"/>
          <w:lang w:val="uk-UA"/>
        </w:rPr>
        <w:t>споживання енергії із зовнішньої енергомережі,</w:t>
      </w:r>
      <w:r w:rsidR="005B114B" w:rsidRPr="003C5509">
        <w:rPr>
          <w:sz w:val="28"/>
          <w:szCs w:val="28"/>
          <w:lang w:val="uk-UA"/>
        </w:rPr>
        <w:t xml:space="preserve"> </w:t>
      </w:r>
      <w:r w:rsidR="00456984" w:rsidRPr="003C5509">
        <w:rPr>
          <w:sz w:val="28"/>
          <w:szCs w:val="28"/>
          <w:lang w:val="uk-UA"/>
        </w:rPr>
        <w:t>заплановано встановлення 12 сонячних електр</w:t>
      </w:r>
      <w:r w:rsidRPr="003C5509">
        <w:rPr>
          <w:sz w:val="28"/>
          <w:szCs w:val="28"/>
          <w:lang w:val="uk-UA"/>
        </w:rPr>
        <w:t xml:space="preserve">ичних </w:t>
      </w:r>
      <w:r w:rsidR="00456984" w:rsidRPr="003C5509">
        <w:rPr>
          <w:sz w:val="28"/>
          <w:szCs w:val="28"/>
          <w:lang w:val="uk-UA"/>
        </w:rPr>
        <w:t>станцій</w:t>
      </w:r>
      <w:r w:rsidRPr="003C5509">
        <w:rPr>
          <w:sz w:val="28"/>
          <w:szCs w:val="28"/>
          <w:lang w:val="uk-UA"/>
        </w:rPr>
        <w:t>, вісім</w:t>
      </w:r>
      <w:r w:rsidR="00456984" w:rsidRPr="003C5509">
        <w:rPr>
          <w:sz w:val="28"/>
          <w:szCs w:val="28"/>
          <w:lang w:val="uk-UA"/>
        </w:rPr>
        <w:t xml:space="preserve"> з яких заплановано </w:t>
      </w:r>
      <w:r w:rsidRPr="003C5509">
        <w:rPr>
          <w:sz w:val="28"/>
          <w:szCs w:val="28"/>
          <w:lang w:val="uk-UA"/>
        </w:rPr>
        <w:t>завершити</w:t>
      </w:r>
      <w:r w:rsidR="00456984" w:rsidRPr="003C5509">
        <w:rPr>
          <w:sz w:val="28"/>
          <w:szCs w:val="28"/>
          <w:lang w:val="uk-UA"/>
        </w:rPr>
        <w:t xml:space="preserve"> до кінця 2024 року.</w:t>
      </w:r>
    </w:p>
    <w:p w14:paraId="05D7A7D3" w14:textId="77777777" w:rsidR="006564AF" w:rsidRPr="003C5509" w:rsidRDefault="006564AF">
      <w:pPr>
        <w:pStyle w:val="1"/>
        <w:tabs>
          <w:tab w:val="left" w:pos="3193"/>
          <w:tab w:val="center" w:pos="4677"/>
        </w:tabs>
        <w:spacing w:before="0"/>
        <w:rPr>
          <w:rFonts w:ascii="Times New Roman" w:hAnsi="Times New Roman" w:cs="Times New Roman"/>
          <w:color w:val="auto"/>
          <w:lang w:val="uk-UA"/>
        </w:rPr>
      </w:pPr>
      <w:bookmarkStart w:id="9" w:name="_Toc424524482"/>
      <w:bookmarkStart w:id="10" w:name="_Toc467428484"/>
    </w:p>
    <w:p w14:paraId="3D4DF8B5" w14:textId="77777777" w:rsidR="006564AF" w:rsidRPr="003C5509" w:rsidRDefault="007601A9">
      <w:pPr>
        <w:pStyle w:val="1"/>
        <w:tabs>
          <w:tab w:val="left" w:pos="3193"/>
          <w:tab w:val="center" w:pos="4677"/>
        </w:tabs>
        <w:spacing w:before="0"/>
        <w:rPr>
          <w:rFonts w:ascii="Times New Roman" w:eastAsia="Times New Roman" w:hAnsi="Times New Roman" w:cs="Times New Roman"/>
          <w:color w:val="auto"/>
          <w:lang w:val="uk-UA"/>
        </w:rPr>
      </w:pPr>
      <w:r w:rsidRPr="003C5509">
        <w:rPr>
          <w:rFonts w:ascii="Times New Roman" w:hAnsi="Times New Roman" w:cs="Times New Roman"/>
          <w:color w:val="auto"/>
          <w:lang w:val="uk-UA"/>
        </w:rPr>
        <w:tab/>
      </w:r>
      <w:r w:rsidR="008C348C" w:rsidRPr="003C5509">
        <w:rPr>
          <w:rFonts w:ascii="Times New Roman" w:hAnsi="Times New Roman" w:cs="Times New Roman"/>
          <w:color w:val="auto"/>
          <w:lang w:val="uk-UA"/>
        </w:rPr>
        <w:t xml:space="preserve">3. </w:t>
      </w:r>
      <w:r w:rsidR="00E322BF" w:rsidRPr="003C5509">
        <w:rPr>
          <w:rFonts w:ascii="Times New Roman" w:eastAsia="Times New Roman" w:hAnsi="Times New Roman" w:cs="Times New Roman"/>
          <w:color w:val="auto"/>
          <w:lang w:val="uk-UA"/>
        </w:rPr>
        <w:t>МЕТА ПРОГРАМИ</w:t>
      </w:r>
      <w:bookmarkEnd w:id="9"/>
      <w:bookmarkEnd w:id="10"/>
    </w:p>
    <w:p w14:paraId="734B144A" w14:textId="77777777" w:rsidR="009A4B91" w:rsidRPr="003C5509" w:rsidRDefault="00B70725" w:rsidP="00B26AA0">
      <w:pPr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ab/>
      </w:r>
      <w:r w:rsidR="001E1ADD" w:rsidRPr="003C5509">
        <w:rPr>
          <w:sz w:val="28"/>
          <w:lang w:val="uk-UA"/>
        </w:rPr>
        <w:t xml:space="preserve">Візія </w:t>
      </w:r>
      <w:r w:rsidR="00DD43A5" w:rsidRPr="003C5509">
        <w:rPr>
          <w:sz w:val="28"/>
          <w:lang w:val="uk-UA"/>
        </w:rPr>
        <w:t>П</w:t>
      </w:r>
      <w:r w:rsidR="001E1ADD" w:rsidRPr="003C5509">
        <w:rPr>
          <w:sz w:val="28"/>
          <w:lang w:val="uk-UA"/>
        </w:rPr>
        <w:t>рограми</w:t>
      </w:r>
      <w:r w:rsidR="00B26AA0" w:rsidRPr="003C5509">
        <w:rPr>
          <w:sz w:val="28"/>
          <w:lang w:val="uk-UA"/>
        </w:rPr>
        <w:t>: «Житомир</w:t>
      </w:r>
      <w:r w:rsidR="00181DB3" w:rsidRPr="003C5509">
        <w:rPr>
          <w:sz w:val="28"/>
          <w:lang w:val="uk-UA"/>
        </w:rPr>
        <w:t>ська міська територіальна громада</w:t>
      </w:r>
      <w:r w:rsidR="00B26AA0" w:rsidRPr="003C5509">
        <w:rPr>
          <w:sz w:val="28"/>
          <w:lang w:val="uk-UA"/>
        </w:rPr>
        <w:t xml:space="preserve"> – </w:t>
      </w:r>
      <w:r w:rsidR="00181DB3" w:rsidRPr="003C5509">
        <w:rPr>
          <w:sz w:val="28"/>
          <w:lang w:val="uk-UA"/>
        </w:rPr>
        <w:t>громада</w:t>
      </w:r>
      <w:r w:rsidR="00B26AA0" w:rsidRPr="003C5509">
        <w:rPr>
          <w:sz w:val="28"/>
          <w:lang w:val="uk-UA"/>
        </w:rPr>
        <w:t xml:space="preserve">, що </w:t>
      </w:r>
      <w:r w:rsidR="00286052" w:rsidRPr="003C5509">
        <w:rPr>
          <w:sz w:val="28"/>
          <w:lang w:val="uk-UA"/>
        </w:rPr>
        <w:t>має нульовий баланс споживання традиційних (викопних) видів палива</w:t>
      </w:r>
      <w:r w:rsidR="00B26AA0" w:rsidRPr="003C5509">
        <w:rPr>
          <w:sz w:val="28"/>
          <w:lang w:val="uk-UA"/>
        </w:rPr>
        <w:t>»</w:t>
      </w:r>
      <w:r w:rsidR="009A4B91" w:rsidRPr="003C5509">
        <w:rPr>
          <w:sz w:val="28"/>
          <w:lang w:val="uk-UA"/>
        </w:rPr>
        <w:t>.</w:t>
      </w:r>
    </w:p>
    <w:p w14:paraId="2256413D" w14:textId="0734CDC3" w:rsidR="00B26AA0" w:rsidRPr="003C5509" w:rsidRDefault="00B26AA0" w:rsidP="00B26AA0">
      <w:pPr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>Метою програми є досягнення балансу між обсягом спожитих традиційних видів палива на території Житомир</w:t>
      </w:r>
      <w:r w:rsidR="00181DB3" w:rsidRPr="003C5509">
        <w:rPr>
          <w:sz w:val="28"/>
          <w:lang w:val="uk-UA"/>
        </w:rPr>
        <w:t>ської міської територіальної громади</w:t>
      </w:r>
      <w:r w:rsidRPr="003C5509">
        <w:rPr>
          <w:sz w:val="28"/>
          <w:lang w:val="uk-UA"/>
        </w:rPr>
        <w:t xml:space="preserve"> та обсягом виробленої на території міста енергії з альтернативних та відновлюваних джерел енергії.</w:t>
      </w:r>
    </w:p>
    <w:p w14:paraId="6211796E" w14:textId="77777777" w:rsidR="00B26AA0" w:rsidRPr="003C5509" w:rsidRDefault="00B26AA0" w:rsidP="003222E5">
      <w:pPr>
        <w:jc w:val="both"/>
        <w:rPr>
          <w:sz w:val="28"/>
          <w:lang w:val="uk-UA"/>
        </w:rPr>
      </w:pPr>
    </w:p>
    <w:p w14:paraId="536C5A9C" w14:textId="77777777" w:rsidR="008C348C" w:rsidRPr="003C5509" w:rsidRDefault="008C348C" w:rsidP="008C348C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bookmarkStart w:id="11" w:name="_Toc424524483"/>
      <w:bookmarkStart w:id="12" w:name="_Toc467428485"/>
      <w:r w:rsidRPr="003C5509">
        <w:rPr>
          <w:rFonts w:ascii="Times New Roman" w:eastAsia="Times New Roman" w:hAnsi="Times New Roman" w:cs="Times New Roman"/>
          <w:color w:val="auto"/>
          <w:lang w:val="uk-UA"/>
        </w:rPr>
        <w:t>4.</w:t>
      </w:r>
      <w:r w:rsidRPr="003C5509">
        <w:rPr>
          <w:rFonts w:ascii="Times New Roman" w:hAnsi="Times New Roman" w:cs="Times New Roman"/>
          <w:color w:val="auto"/>
          <w:lang w:val="uk-UA"/>
        </w:rPr>
        <w:t xml:space="preserve"> </w:t>
      </w:r>
      <w:r w:rsidR="00E322BF" w:rsidRPr="003C5509">
        <w:rPr>
          <w:rFonts w:ascii="Times New Roman" w:eastAsia="Times New Roman" w:hAnsi="Times New Roman" w:cs="Times New Roman"/>
          <w:color w:val="auto"/>
          <w:lang w:val="uk-UA"/>
        </w:rPr>
        <w:t xml:space="preserve">ОБҐРУНТУВАННЯ ШЛЯХІВ І ЗАСОБІВ РОЗВ’ЯЗАННЯ ПРОБЛЕМИ, </w:t>
      </w:r>
      <w:bookmarkEnd w:id="11"/>
      <w:r w:rsidR="00E322BF" w:rsidRPr="003C5509">
        <w:rPr>
          <w:rFonts w:ascii="Times New Roman" w:eastAsia="Times New Roman" w:hAnsi="Times New Roman" w:cs="Times New Roman"/>
          <w:color w:val="auto"/>
          <w:lang w:val="uk-UA"/>
        </w:rPr>
        <w:t>ПОКАЗНИКИ РЕЗУЛЬТАТИВНОСТІ</w:t>
      </w:r>
      <w:bookmarkEnd w:id="12"/>
    </w:p>
    <w:p w14:paraId="7D10E7C2" w14:textId="4AC28818" w:rsidR="00242D33" w:rsidRPr="003C5509" w:rsidRDefault="00D47EF0" w:rsidP="00242D33">
      <w:pPr>
        <w:widowControl w:val="0"/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 xml:space="preserve">Заходи </w:t>
      </w:r>
      <w:r w:rsidR="008408C3" w:rsidRPr="003C5509">
        <w:rPr>
          <w:sz w:val="28"/>
          <w:lang w:val="uk-UA"/>
        </w:rPr>
        <w:t xml:space="preserve">даної </w:t>
      </w:r>
      <w:r w:rsidR="00DD43A5" w:rsidRPr="003C5509">
        <w:rPr>
          <w:sz w:val="28"/>
          <w:lang w:val="uk-UA"/>
        </w:rPr>
        <w:t>П</w:t>
      </w:r>
      <w:r w:rsidRPr="003C5509">
        <w:rPr>
          <w:sz w:val="28"/>
          <w:lang w:val="uk-UA"/>
        </w:rPr>
        <w:t xml:space="preserve">рограми базуються на </w:t>
      </w:r>
      <w:r w:rsidR="00D753DE" w:rsidRPr="003C5509">
        <w:rPr>
          <w:sz w:val="28"/>
          <w:lang w:val="uk-UA"/>
        </w:rPr>
        <w:t>Концепції і</w:t>
      </w:r>
      <w:r w:rsidR="001D786D" w:rsidRPr="003C5509">
        <w:rPr>
          <w:sz w:val="28"/>
          <w:lang w:val="uk-UA"/>
        </w:rPr>
        <w:t>нтегрованого розвитку м. Житомира до 2030</w:t>
      </w:r>
      <w:r w:rsidR="0032576C" w:rsidRPr="003C5509">
        <w:rPr>
          <w:sz w:val="28"/>
          <w:lang w:val="uk-UA"/>
        </w:rPr>
        <w:t xml:space="preserve"> року</w:t>
      </w:r>
      <w:r w:rsidR="001D786D" w:rsidRPr="003C5509">
        <w:rPr>
          <w:sz w:val="28"/>
          <w:lang w:val="uk-UA"/>
        </w:rPr>
        <w:t>, Плану дій зі сталого енергетичного розвитку на 2015-2024 рок</w:t>
      </w:r>
      <w:r w:rsidR="008408C3" w:rsidRPr="003C5509">
        <w:rPr>
          <w:sz w:val="28"/>
          <w:lang w:val="uk-UA"/>
        </w:rPr>
        <w:t xml:space="preserve">и, а також заходах міської цільової програми «Муніципальний енергетичний план </w:t>
      </w:r>
      <w:r w:rsidR="00C87C8A" w:rsidRPr="003C5509">
        <w:rPr>
          <w:sz w:val="28"/>
          <w:lang w:val="uk-UA"/>
        </w:rPr>
        <w:t xml:space="preserve">території </w:t>
      </w:r>
      <w:r w:rsidR="008408C3" w:rsidRPr="003C5509">
        <w:rPr>
          <w:sz w:val="28"/>
          <w:lang w:val="uk-UA"/>
        </w:rPr>
        <w:t>Житомирської міської об’єднаної територіальної громади на 2017-2020 роки».</w:t>
      </w:r>
    </w:p>
    <w:p w14:paraId="0C97F464" w14:textId="77777777" w:rsidR="0050170E" w:rsidRPr="003C5509" w:rsidRDefault="0050170E" w:rsidP="00121B32">
      <w:pPr>
        <w:widowControl w:val="0"/>
        <w:ind w:firstLine="708"/>
        <w:jc w:val="both"/>
        <w:rPr>
          <w:sz w:val="28"/>
          <w:lang w:val="uk-UA"/>
        </w:rPr>
      </w:pPr>
      <w:r w:rsidRPr="003C5509">
        <w:rPr>
          <w:sz w:val="28"/>
          <w:lang w:val="uk-UA"/>
        </w:rPr>
        <w:t xml:space="preserve">Для досягнення мети </w:t>
      </w:r>
      <w:r w:rsidR="00DD43A5" w:rsidRPr="003C5509">
        <w:rPr>
          <w:sz w:val="28"/>
          <w:lang w:val="uk-UA"/>
        </w:rPr>
        <w:t>П</w:t>
      </w:r>
      <w:r w:rsidRPr="003C5509">
        <w:rPr>
          <w:sz w:val="28"/>
          <w:lang w:val="uk-UA"/>
        </w:rPr>
        <w:t>рограми упродовж терміну її дії планується виконати наступні завдання:</w:t>
      </w:r>
    </w:p>
    <w:p w14:paraId="3C875DFF" w14:textId="07D136C3" w:rsidR="004B2ED8" w:rsidRPr="003C5509" w:rsidRDefault="00BB69D7" w:rsidP="0050170E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eastAsia="uk-UA"/>
        </w:rPr>
      </w:pPr>
      <w:r w:rsidRPr="003C5509">
        <w:rPr>
          <w:rStyle w:val="FontStyle62"/>
          <w:sz w:val="28"/>
          <w:lang w:val="uk-UA" w:eastAsia="uk-UA"/>
        </w:rPr>
        <w:t>вдосконалити</w:t>
      </w:r>
      <w:r w:rsidR="00A942F9" w:rsidRPr="003C5509">
        <w:rPr>
          <w:rStyle w:val="FontStyle62"/>
          <w:sz w:val="28"/>
          <w:lang w:val="uk-UA" w:eastAsia="uk-UA"/>
        </w:rPr>
        <w:t xml:space="preserve"> </w:t>
      </w:r>
      <w:bookmarkStart w:id="13" w:name="_Hlk54190853"/>
      <w:r w:rsidRPr="003C5509">
        <w:rPr>
          <w:rStyle w:val="FontStyle62"/>
          <w:sz w:val="28"/>
          <w:lang w:val="uk-UA" w:eastAsia="uk-UA"/>
        </w:rPr>
        <w:t>систем</w:t>
      </w:r>
      <w:r w:rsidR="00DD43A5" w:rsidRPr="003C5509">
        <w:rPr>
          <w:rStyle w:val="FontStyle62"/>
          <w:sz w:val="28"/>
          <w:lang w:val="uk-UA" w:eastAsia="uk-UA"/>
        </w:rPr>
        <w:t>у</w:t>
      </w:r>
      <w:r w:rsidR="004B2ED8" w:rsidRPr="003C5509">
        <w:rPr>
          <w:rStyle w:val="FontStyle62"/>
          <w:sz w:val="28"/>
          <w:lang w:val="uk-UA" w:eastAsia="uk-UA"/>
        </w:rPr>
        <w:t xml:space="preserve"> управління місцевою енергетичною політикою</w:t>
      </w:r>
      <w:r w:rsidR="00B62EFA" w:rsidRPr="003C5509">
        <w:rPr>
          <w:rStyle w:val="FontStyle62"/>
          <w:sz w:val="28"/>
          <w:lang w:val="uk-UA" w:eastAsia="uk-UA"/>
        </w:rPr>
        <w:t xml:space="preserve"> згідно міжнародного стандарту «Європейська </w:t>
      </w:r>
      <w:r w:rsidR="00456984" w:rsidRPr="003C5509">
        <w:rPr>
          <w:rStyle w:val="FontStyle62"/>
          <w:sz w:val="28"/>
          <w:lang w:val="uk-UA" w:eastAsia="uk-UA"/>
        </w:rPr>
        <w:t>енергетична відзнака</w:t>
      </w:r>
      <w:r w:rsidR="00B62EFA" w:rsidRPr="003C5509">
        <w:rPr>
          <w:rStyle w:val="FontStyle62"/>
          <w:sz w:val="28"/>
          <w:lang w:val="uk-UA" w:eastAsia="uk-UA"/>
        </w:rPr>
        <w:t>»</w:t>
      </w:r>
      <w:r w:rsidR="004B2ED8" w:rsidRPr="003C5509">
        <w:rPr>
          <w:rStyle w:val="FontStyle62"/>
          <w:sz w:val="28"/>
          <w:lang w:val="uk-UA" w:eastAsia="uk-UA"/>
        </w:rPr>
        <w:t>;</w:t>
      </w:r>
    </w:p>
    <w:bookmarkEnd w:id="13"/>
    <w:p w14:paraId="302DC5EC" w14:textId="77777777" w:rsidR="0050170E" w:rsidRPr="003C5509" w:rsidRDefault="00270002" w:rsidP="0050170E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eastAsia="uk-UA"/>
        </w:rPr>
      </w:pPr>
      <w:r w:rsidRPr="003C5509">
        <w:rPr>
          <w:rStyle w:val="FontStyle62"/>
          <w:sz w:val="28"/>
          <w:lang w:val="uk-UA" w:eastAsia="uk-UA"/>
        </w:rPr>
        <w:t>зменшити</w:t>
      </w:r>
      <w:r w:rsidR="0050170E" w:rsidRPr="003C5509">
        <w:rPr>
          <w:rStyle w:val="FontStyle62"/>
          <w:sz w:val="28"/>
          <w:lang w:val="uk-UA" w:eastAsia="uk-UA"/>
        </w:rPr>
        <w:t xml:space="preserve"> споживання паливно-енергетичних ресурсів комунальними підприємствами, бюджетними закладами та установами</w:t>
      </w:r>
      <w:r w:rsidR="00171967" w:rsidRPr="003C5509">
        <w:rPr>
          <w:rStyle w:val="FontStyle62"/>
          <w:sz w:val="28"/>
          <w:lang w:val="uk-UA" w:eastAsia="uk-UA"/>
        </w:rPr>
        <w:t xml:space="preserve"> </w:t>
      </w:r>
      <w:r w:rsidR="00BB69D7" w:rsidRPr="003C5509">
        <w:rPr>
          <w:rStyle w:val="FontStyle62"/>
          <w:sz w:val="28"/>
          <w:lang w:val="uk-UA" w:eastAsia="uk-UA"/>
        </w:rPr>
        <w:t>громади</w:t>
      </w:r>
      <w:r w:rsidR="0050170E" w:rsidRPr="003C5509">
        <w:rPr>
          <w:rStyle w:val="FontStyle62"/>
          <w:sz w:val="28"/>
          <w:lang w:val="uk-UA" w:eastAsia="uk-UA"/>
        </w:rPr>
        <w:t>;</w:t>
      </w:r>
    </w:p>
    <w:p w14:paraId="670EB0BF" w14:textId="3DFDEB82" w:rsidR="0050170E" w:rsidRPr="003C5509" w:rsidRDefault="001959C7" w:rsidP="0050170E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eastAsia="uk-UA"/>
        </w:rPr>
      </w:pPr>
      <w:r w:rsidRPr="003C5509">
        <w:rPr>
          <w:rStyle w:val="FontStyle62"/>
          <w:sz w:val="28"/>
          <w:lang w:val="uk-UA" w:eastAsia="uk-UA"/>
        </w:rPr>
        <w:t>збільшити частку спожи</w:t>
      </w:r>
      <w:r w:rsidR="00171967" w:rsidRPr="003C5509">
        <w:rPr>
          <w:rStyle w:val="FontStyle62"/>
          <w:sz w:val="28"/>
          <w:lang w:val="uk-UA" w:eastAsia="uk-UA"/>
        </w:rPr>
        <w:t>тої</w:t>
      </w:r>
      <w:r w:rsidRPr="003C5509">
        <w:rPr>
          <w:rStyle w:val="FontStyle62"/>
          <w:sz w:val="28"/>
          <w:lang w:val="uk-UA" w:eastAsia="uk-UA"/>
        </w:rPr>
        <w:t xml:space="preserve"> </w:t>
      </w:r>
      <w:r w:rsidR="00171967" w:rsidRPr="003C5509">
        <w:rPr>
          <w:rStyle w:val="FontStyle62"/>
          <w:sz w:val="28"/>
          <w:lang w:val="uk-UA" w:eastAsia="uk-UA"/>
        </w:rPr>
        <w:t xml:space="preserve">комунальними підприємствами, бюджетними закладами та установами міста </w:t>
      </w:r>
      <w:r w:rsidRPr="003C5509">
        <w:rPr>
          <w:rStyle w:val="FontStyle62"/>
          <w:sz w:val="28"/>
          <w:lang w:val="uk-UA" w:eastAsia="uk-UA"/>
        </w:rPr>
        <w:t>енергії, виробленої з альтернативних та відновлюваних джерел енергії</w:t>
      </w:r>
      <w:r w:rsidR="0050170E" w:rsidRPr="003C5509">
        <w:rPr>
          <w:rStyle w:val="FontStyle62"/>
          <w:sz w:val="28"/>
          <w:lang w:val="uk-UA" w:eastAsia="uk-UA"/>
        </w:rPr>
        <w:t>;</w:t>
      </w:r>
    </w:p>
    <w:p w14:paraId="399F6A33" w14:textId="4BC72EEC" w:rsidR="008F59FE" w:rsidRPr="003C5509" w:rsidRDefault="00A942F9" w:rsidP="0050170E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eastAsia="uk-UA"/>
        </w:rPr>
      </w:pPr>
      <w:r w:rsidRPr="003C5509">
        <w:rPr>
          <w:rStyle w:val="FontStyle62"/>
          <w:sz w:val="28"/>
          <w:lang w:val="uk-UA" w:eastAsia="uk-UA"/>
        </w:rPr>
        <w:t xml:space="preserve">забезпечити розвиток транспортної інфраструктури </w:t>
      </w:r>
      <w:r w:rsidR="00456984" w:rsidRPr="003C5509">
        <w:rPr>
          <w:rStyle w:val="FontStyle62"/>
          <w:sz w:val="28"/>
          <w:lang w:val="uk-UA" w:eastAsia="uk-UA"/>
        </w:rPr>
        <w:t xml:space="preserve">громади </w:t>
      </w:r>
      <w:r w:rsidRPr="003C5509">
        <w:rPr>
          <w:rStyle w:val="FontStyle62"/>
          <w:sz w:val="28"/>
          <w:lang w:val="uk-UA" w:eastAsia="uk-UA"/>
        </w:rPr>
        <w:t>на принципах сталого розвитку;</w:t>
      </w:r>
    </w:p>
    <w:p w14:paraId="33BA0610" w14:textId="77777777" w:rsidR="00A942F9" w:rsidRPr="003C5509" w:rsidRDefault="00A942F9" w:rsidP="00A942F9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 w:rsidRPr="003C5509">
        <w:rPr>
          <w:rStyle w:val="FontStyle62"/>
          <w:sz w:val="28"/>
          <w:lang w:val="uk-UA" w:eastAsia="uk-UA"/>
        </w:rPr>
        <w:t>забезпечити публічність та прозорість місцевої енергетичної політики;</w:t>
      </w:r>
    </w:p>
    <w:p w14:paraId="02875DFF" w14:textId="77777777" w:rsidR="004B2ED8" w:rsidRPr="003C5509" w:rsidRDefault="004B2ED8" w:rsidP="004B2ED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 w:rsidRPr="003C5509">
        <w:rPr>
          <w:rStyle w:val="FontStyle62"/>
          <w:sz w:val="28"/>
          <w:lang w:val="uk-UA" w:eastAsia="uk-UA"/>
        </w:rPr>
        <w:t xml:space="preserve">забезпечити залучення коштів міжнародних фінансових організацій, фондів та міжнародної технічної допомоги для реалізації місцевих інфраструктурних </w:t>
      </w:r>
      <w:r w:rsidR="00117536" w:rsidRPr="003C5509">
        <w:rPr>
          <w:rStyle w:val="FontStyle62"/>
          <w:sz w:val="28"/>
          <w:lang w:val="uk-UA" w:eastAsia="uk-UA"/>
        </w:rPr>
        <w:t>проєктів</w:t>
      </w:r>
      <w:r w:rsidRPr="003C5509">
        <w:rPr>
          <w:rStyle w:val="FontStyle62"/>
          <w:sz w:val="28"/>
          <w:lang w:val="uk-UA" w:eastAsia="uk-UA"/>
        </w:rPr>
        <w:t>;</w:t>
      </w:r>
    </w:p>
    <w:p w14:paraId="1E2DAC5F" w14:textId="77777777" w:rsidR="0050170E" w:rsidRPr="003C5509" w:rsidRDefault="00171967" w:rsidP="0050170E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eastAsia="uk-UA"/>
        </w:rPr>
      </w:pPr>
      <w:r w:rsidRPr="003C5509">
        <w:rPr>
          <w:rStyle w:val="FontStyle62"/>
          <w:sz w:val="28"/>
          <w:lang w:val="uk-UA" w:eastAsia="uk-UA"/>
        </w:rPr>
        <w:t xml:space="preserve">забезпечити виконання фінансових </w:t>
      </w:r>
      <w:r w:rsidR="004B2ED8" w:rsidRPr="003C5509">
        <w:rPr>
          <w:rStyle w:val="FontStyle62"/>
          <w:sz w:val="28"/>
          <w:lang w:val="uk-UA" w:eastAsia="uk-UA"/>
        </w:rPr>
        <w:t>зобов’язань перед міжнародними фінансовими організаціями.</w:t>
      </w:r>
    </w:p>
    <w:p w14:paraId="593A7CD9" w14:textId="77777777" w:rsidR="0050170E" w:rsidRPr="003C5509" w:rsidRDefault="001E1ADD" w:rsidP="001E1ADD">
      <w:pPr>
        <w:widowControl w:val="0"/>
        <w:ind w:firstLine="708"/>
        <w:jc w:val="both"/>
        <w:rPr>
          <w:rStyle w:val="FontStyle62"/>
          <w:sz w:val="28"/>
          <w:lang w:val="uk-UA" w:eastAsia="uk-UA"/>
        </w:rPr>
      </w:pPr>
      <w:r w:rsidRPr="003C5509">
        <w:rPr>
          <w:rStyle w:val="FontStyle62"/>
          <w:sz w:val="28"/>
          <w:lang w:val="uk-UA" w:eastAsia="uk-UA"/>
        </w:rPr>
        <w:t xml:space="preserve">Детальний перелік завдань та заходів </w:t>
      </w:r>
      <w:r w:rsidR="00DD43A5" w:rsidRPr="003C5509">
        <w:rPr>
          <w:rStyle w:val="FontStyle62"/>
          <w:sz w:val="28"/>
          <w:lang w:val="uk-UA" w:eastAsia="uk-UA"/>
        </w:rPr>
        <w:t>П</w:t>
      </w:r>
      <w:r w:rsidRPr="003C5509">
        <w:rPr>
          <w:rStyle w:val="FontStyle62"/>
          <w:sz w:val="28"/>
          <w:lang w:val="uk-UA" w:eastAsia="uk-UA"/>
        </w:rPr>
        <w:t>р</w:t>
      </w:r>
      <w:r w:rsidR="00DB6217" w:rsidRPr="003C5509">
        <w:rPr>
          <w:rStyle w:val="FontStyle62"/>
          <w:sz w:val="28"/>
          <w:lang w:val="uk-UA" w:eastAsia="uk-UA"/>
        </w:rPr>
        <w:t>ограми представлений в додатку А</w:t>
      </w:r>
      <w:r w:rsidRPr="003C5509">
        <w:rPr>
          <w:rStyle w:val="FontStyle62"/>
          <w:sz w:val="28"/>
          <w:lang w:val="uk-UA" w:eastAsia="uk-UA"/>
        </w:rPr>
        <w:t>.</w:t>
      </w:r>
    </w:p>
    <w:p w14:paraId="33D4747D" w14:textId="77777777" w:rsidR="002D7114" w:rsidRPr="003C5509" w:rsidRDefault="00C975E9" w:rsidP="001E1ADD">
      <w:pPr>
        <w:widowControl w:val="0"/>
        <w:ind w:firstLine="708"/>
        <w:jc w:val="both"/>
        <w:rPr>
          <w:rStyle w:val="FontStyle62"/>
          <w:sz w:val="28"/>
          <w:lang w:val="uk-UA" w:eastAsia="uk-UA"/>
        </w:rPr>
      </w:pPr>
      <w:r w:rsidRPr="003C5509">
        <w:rPr>
          <w:rStyle w:val="FontStyle62"/>
          <w:sz w:val="28"/>
          <w:lang w:val="uk-UA" w:eastAsia="uk-UA"/>
        </w:rPr>
        <w:lastRenderedPageBreak/>
        <w:t>Показники результативності завдань та заходів П</w:t>
      </w:r>
      <w:r w:rsidR="00DB6217" w:rsidRPr="003C5509">
        <w:rPr>
          <w:rStyle w:val="FontStyle62"/>
          <w:sz w:val="28"/>
          <w:lang w:val="uk-UA" w:eastAsia="uk-UA"/>
        </w:rPr>
        <w:t>рограми представлені в додатку Б</w:t>
      </w:r>
      <w:r w:rsidRPr="003C5509">
        <w:rPr>
          <w:rStyle w:val="FontStyle62"/>
          <w:sz w:val="28"/>
          <w:lang w:val="uk-UA" w:eastAsia="uk-UA"/>
        </w:rPr>
        <w:t>.</w:t>
      </w:r>
    </w:p>
    <w:p w14:paraId="7885A936" w14:textId="2ABF0B07" w:rsidR="00B62EFA" w:rsidRDefault="00F31BFD" w:rsidP="006A3EC7">
      <w:pPr>
        <w:widowControl w:val="0"/>
        <w:ind w:firstLine="709"/>
        <w:jc w:val="both"/>
        <w:rPr>
          <w:sz w:val="28"/>
          <w:lang w:val="uk-UA"/>
        </w:rPr>
      </w:pPr>
      <w:r w:rsidRPr="003C5509">
        <w:rPr>
          <w:rStyle w:val="FontStyle62"/>
          <w:sz w:val="28"/>
          <w:lang w:val="uk-UA" w:eastAsia="uk-UA"/>
        </w:rPr>
        <w:t xml:space="preserve">Зв'язок між </w:t>
      </w:r>
      <w:r w:rsidR="00DD43A5" w:rsidRPr="003C5509">
        <w:rPr>
          <w:rStyle w:val="FontStyle62"/>
          <w:sz w:val="28"/>
          <w:lang w:val="uk-UA" w:eastAsia="uk-UA"/>
        </w:rPr>
        <w:t>П</w:t>
      </w:r>
      <w:r w:rsidRPr="003C5509">
        <w:rPr>
          <w:rStyle w:val="FontStyle62"/>
          <w:sz w:val="28"/>
          <w:lang w:val="uk-UA" w:eastAsia="uk-UA"/>
        </w:rPr>
        <w:t xml:space="preserve">рограмою та </w:t>
      </w:r>
      <w:r w:rsidR="00A17AEA" w:rsidRPr="003C5509">
        <w:rPr>
          <w:rStyle w:val="FontStyle62"/>
          <w:sz w:val="28"/>
          <w:lang w:val="uk-UA" w:eastAsia="uk-UA"/>
        </w:rPr>
        <w:t xml:space="preserve">Концепцією </w:t>
      </w:r>
      <w:r w:rsidR="00D753DE" w:rsidRPr="003C5509">
        <w:rPr>
          <w:sz w:val="28"/>
          <w:lang w:val="uk-UA"/>
        </w:rPr>
        <w:t>і</w:t>
      </w:r>
      <w:r w:rsidR="00A17AEA" w:rsidRPr="003C5509">
        <w:rPr>
          <w:sz w:val="28"/>
          <w:lang w:val="uk-UA"/>
        </w:rPr>
        <w:t>нтегрованого розвитку м. Житомира до 2030 року наведено у додатку В.</w:t>
      </w:r>
    </w:p>
    <w:p w14:paraId="3AB97999" w14:textId="77777777" w:rsidR="00242D33" w:rsidRPr="00DB6217" w:rsidRDefault="00242D33" w:rsidP="006A3EC7">
      <w:pPr>
        <w:widowControl w:val="0"/>
        <w:ind w:firstLine="709"/>
        <w:jc w:val="both"/>
        <w:rPr>
          <w:rStyle w:val="FontStyle62"/>
          <w:sz w:val="28"/>
          <w:lang w:val="uk-UA" w:eastAsia="uk-UA"/>
        </w:rPr>
      </w:pPr>
    </w:p>
    <w:p w14:paraId="787ABB85" w14:textId="77777777" w:rsidR="004116C9" w:rsidRDefault="008C348C" w:rsidP="004116C9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14" w:name="_Toc467428486"/>
      <w:bookmarkStart w:id="15" w:name="_Toc424524484"/>
      <w:r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5.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>ОЧІКУВАНІ РЕЗУЛЬТАТИ ВИКОНАННЯ ПРОГРАМИ</w:t>
      </w:r>
      <w:bookmarkEnd w:id="14"/>
    </w:p>
    <w:p w14:paraId="1778CE76" w14:textId="77777777" w:rsidR="00EE2269" w:rsidRPr="003C0CA6" w:rsidRDefault="00EE2269" w:rsidP="00270002">
      <w:pPr>
        <w:widowControl w:val="0"/>
        <w:ind w:firstLine="705"/>
        <w:jc w:val="both"/>
        <w:rPr>
          <w:snapToGrid w:val="0"/>
          <w:sz w:val="28"/>
          <w:lang w:val="uk-UA"/>
        </w:rPr>
      </w:pPr>
      <w:r w:rsidRPr="003C0CA6">
        <w:rPr>
          <w:snapToGrid w:val="0"/>
          <w:sz w:val="28"/>
          <w:lang w:val="uk-UA"/>
        </w:rPr>
        <w:t xml:space="preserve">Завдяки реалізації </w:t>
      </w:r>
      <w:r w:rsidR="00270002" w:rsidRPr="003C0CA6">
        <w:rPr>
          <w:snapToGrid w:val="0"/>
          <w:sz w:val="28"/>
          <w:lang w:val="uk-UA"/>
        </w:rPr>
        <w:t>заходів Програми планується досягти наступних результатів</w:t>
      </w:r>
      <w:r w:rsidRPr="003C0CA6">
        <w:rPr>
          <w:snapToGrid w:val="0"/>
          <w:sz w:val="28"/>
          <w:lang w:val="uk-UA"/>
        </w:rPr>
        <w:t>:</w:t>
      </w:r>
    </w:p>
    <w:p w14:paraId="10954323" w14:textId="162410D4" w:rsidR="00DD43A5" w:rsidRPr="003C0CA6" w:rsidRDefault="00DD43A5" w:rsidP="00DC773A">
      <w:pPr>
        <w:pStyle w:val="af"/>
        <w:widowControl w:val="0"/>
        <w:numPr>
          <w:ilvl w:val="0"/>
          <w:numId w:val="9"/>
        </w:numPr>
        <w:jc w:val="both"/>
        <w:rPr>
          <w:rStyle w:val="FontStyle62"/>
          <w:sz w:val="28"/>
          <w:lang w:eastAsia="uk-UA"/>
        </w:rPr>
      </w:pPr>
      <w:r w:rsidRPr="003C0CA6">
        <w:rPr>
          <w:rStyle w:val="FontStyle62"/>
          <w:sz w:val="28"/>
          <w:lang w:val="uk-UA" w:eastAsia="uk-UA"/>
        </w:rPr>
        <w:t xml:space="preserve">забезпечити сталість </w:t>
      </w:r>
      <w:r w:rsidR="00242D33" w:rsidRPr="003C0CA6">
        <w:rPr>
          <w:rStyle w:val="FontStyle62"/>
          <w:sz w:val="28"/>
          <w:lang w:val="uk-UA" w:eastAsia="uk-UA"/>
        </w:rPr>
        <w:t xml:space="preserve">системи </w:t>
      </w:r>
      <w:r w:rsidRPr="003C0CA6">
        <w:rPr>
          <w:rStyle w:val="FontStyle62"/>
          <w:sz w:val="28"/>
          <w:lang w:val="uk-UA" w:eastAsia="uk-UA"/>
        </w:rPr>
        <w:t xml:space="preserve">управління місцевою енергетичною політикою згідно міжнародного стандарту «Європейська </w:t>
      </w:r>
      <w:r w:rsidR="00456984" w:rsidRPr="003C0CA6">
        <w:rPr>
          <w:rStyle w:val="FontStyle62"/>
          <w:sz w:val="28"/>
          <w:lang w:val="uk-UA" w:eastAsia="uk-UA"/>
        </w:rPr>
        <w:t>енергетична відзнака</w:t>
      </w:r>
      <w:r w:rsidRPr="003C0CA6">
        <w:rPr>
          <w:rStyle w:val="FontStyle62"/>
          <w:sz w:val="28"/>
          <w:lang w:val="uk-UA" w:eastAsia="uk-UA"/>
        </w:rPr>
        <w:t>»;</w:t>
      </w:r>
    </w:p>
    <w:p w14:paraId="493D4704" w14:textId="77777777" w:rsidR="00270002" w:rsidRPr="003C0CA6" w:rsidRDefault="00270002" w:rsidP="00FC54A2">
      <w:pPr>
        <w:pStyle w:val="af"/>
        <w:widowControl w:val="0"/>
        <w:numPr>
          <w:ilvl w:val="0"/>
          <w:numId w:val="9"/>
        </w:numPr>
        <w:jc w:val="both"/>
        <w:rPr>
          <w:rStyle w:val="FontStyle62"/>
          <w:sz w:val="28"/>
          <w:lang w:val="uk-UA" w:eastAsia="uk-UA"/>
        </w:rPr>
      </w:pPr>
      <w:r w:rsidRPr="003C0CA6">
        <w:rPr>
          <w:rStyle w:val="FontStyle62"/>
          <w:sz w:val="28"/>
          <w:lang w:val="uk-UA" w:eastAsia="uk-UA"/>
        </w:rPr>
        <w:t xml:space="preserve">зменшити споживання паливно-енергетичних ресурсів комунальними підприємствами, бюджетними закладами та установами міста </w:t>
      </w:r>
      <w:r w:rsidR="00CB6BED" w:rsidRPr="003C0CA6">
        <w:rPr>
          <w:rStyle w:val="FontStyle62"/>
          <w:sz w:val="28"/>
          <w:lang w:val="uk-UA" w:eastAsia="uk-UA"/>
        </w:rPr>
        <w:t>не менше</w:t>
      </w:r>
      <w:r w:rsidR="00242D33" w:rsidRPr="003C0CA6">
        <w:rPr>
          <w:rStyle w:val="FontStyle62"/>
          <w:sz w:val="28"/>
          <w:lang w:val="uk-UA" w:eastAsia="uk-UA"/>
        </w:rPr>
        <w:t>,</w:t>
      </w:r>
      <w:r w:rsidR="00CB6BED" w:rsidRPr="003C0CA6">
        <w:rPr>
          <w:rStyle w:val="FontStyle62"/>
          <w:sz w:val="28"/>
          <w:lang w:val="uk-UA" w:eastAsia="uk-UA"/>
        </w:rPr>
        <w:t xml:space="preserve"> ніж </w:t>
      </w:r>
      <w:r w:rsidRPr="003C0CA6">
        <w:rPr>
          <w:rStyle w:val="FontStyle62"/>
          <w:sz w:val="28"/>
          <w:lang w:val="uk-UA" w:eastAsia="uk-UA"/>
        </w:rPr>
        <w:t>на 20%;</w:t>
      </w:r>
    </w:p>
    <w:p w14:paraId="68ED08EC" w14:textId="1249868A" w:rsidR="00660411" w:rsidRPr="003C0CA6" w:rsidRDefault="00660411" w:rsidP="00FC54A2">
      <w:pPr>
        <w:pStyle w:val="af"/>
        <w:widowControl w:val="0"/>
        <w:numPr>
          <w:ilvl w:val="0"/>
          <w:numId w:val="9"/>
        </w:numPr>
        <w:jc w:val="both"/>
        <w:rPr>
          <w:rStyle w:val="FontStyle62"/>
          <w:sz w:val="28"/>
          <w:lang w:val="uk-UA" w:eastAsia="uk-UA"/>
        </w:rPr>
      </w:pPr>
      <w:r w:rsidRPr="003C0CA6">
        <w:rPr>
          <w:rStyle w:val="FontStyle62"/>
          <w:sz w:val="28"/>
          <w:lang w:val="uk-UA" w:eastAsia="uk-UA"/>
        </w:rPr>
        <w:t>збільшити генерацію енергії з відновлюваних джерел енергії на території громади не менше, ніж на 20 000 МВт*год за рік.</w:t>
      </w:r>
    </w:p>
    <w:p w14:paraId="28913285" w14:textId="77777777" w:rsidR="00447212" w:rsidRPr="003C0CA6" w:rsidRDefault="00447212" w:rsidP="00447212">
      <w:pPr>
        <w:widowControl w:val="0"/>
        <w:ind w:firstLine="705"/>
        <w:jc w:val="both"/>
        <w:rPr>
          <w:rStyle w:val="FontStyle62"/>
          <w:sz w:val="28"/>
          <w:lang w:val="uk-UA" w:eastAsia="uk-UA"/>
        </w:rPr>
      </w:pPr>
      <w:r w:rsidRPr="003C0CA6">
        <w:rPr>
          <w:rStyle w:val="FontStyle62"/>
          <w:sz w:val="28"/>
          <w:lang w:val="uk-UA" w:eastAsia="uk-UA"/>
        </w:rPr>
        <w:t>Враховуючи те, що згідно Плану дій зі сталого енергетичного розвитку міста на 2015-2024 рік базовим роком для розрахунку базового кадастру викидів СО</w:t>
      </w:r>
      <w:r w:rsidRPr="003C0CA6">
        <w:rPr>
          <w:rStyle w:val="FontStyle62"/>
          <w:sz w:val="28"/>
          <w:vertAlign w:val="subscript"/>
          <w:lang w:val="uk-UA" w:eastAsia="uk-UA"/>
        </w:rPr>
        <w:t>2</w:t>
      </w:r>
      <w:r w:rsidRPr="003C0CA6">
        <w:rPr>
          <w:rStyle w:val="FontStyle62"/>
          <w:sz w:val="28"/>
          <w:lang w:val="uk-UA" w:eastAsia="uk-UA"/>
        </w:rPr>
        <w:t xml:space="preserve"> визначено 2010 рік, то згадані вище результати розраховані в порівнянні з 2010 роком.</w:t>
      </w:r>
    </w:p>
    <w:p w14:paraId="654BDBAD" w14:textId="61B8FC0E" w:rsidR="00447212" w:rsidRPr="003C0CA6" w:rsidRDefault="00447212" w:rsidP="00B45D90">
      <w:pPr>
        <w:widowControl w:val="0"/>
        <w:ind w:firstLine="705"/>
        <w:jc w:val="both"/>
        <w:rPr>
          <w:rStyle w:val="FontStyle62"/>
          <w:sz w:val="28"/>
          <w:lang w:val="uk-UA" w:eastAsia="uk-UA"/>
        </w:rPr>
      </w:pPr>
      <w:r w:rsidRPr="003C0CA6">
        <w:rPr>
          <w:rStyle w:val="FontStyle62"/>
          <w:sz w:val="28"/>
          <w:lang w:val="uk-UA" w:eastAsia="uk-UA"/>
        </w:rPr>
        <w:t>Крім цього</w:t>
      </w:r>
      <w:r w:rsidR="003C0CA6" w:rsidRPr="003C0CA6">
        <w:rPr>
          <w:rStyle w:val="FontStyle62"/>
          <w:sz w:val="28"/>
          <w:lang w:val="uk-UA" w:eastAsia="uk-UA"/>
        </w:rPr>
        <w:t>,</w:t>
      </w:r>
      <w:r w:rsidRPr="003C0CA6">
        <w:rPr>
          <w:rStyle w:val="FontStyle62"/>
          <w:sz w:val="28"/>
          <w:lang w:val="uk-UA" w:eastAsia="uk-UA"/>
        </w:rPr>
        <w:t xml:space="preserve"> для оцінки абсолютної досяжності мети Програми </w:t>
      </w:r>
      <w:r w:rsidR="00B45D90" w:rsidRPr="003C0CA6">
        <w:rPr>
          <w:rStyle w:val="FontStyle62"/>
          <w:sz w:val="28"/>
          <w:lang w:val="uk-UA" w:eastAsia="uk-UA"/>
        </w:rPr>
        <w:t xml:space="preserve">вводимо поняття такого показника, як «коефіцієнт забезпеченості </w:t>
      </w:r>
      <w:r w:rsidR="00DC773A" w:rsidRPr="003C0CA6">
        <w:rPr>
          <w:rStyle w:val="FontStyle62"/>
          <w:sz w:val="28"/>
          <w:lang w:val="uk-UA" w:eastAsia="uk-UA"/>
        </w:rPr>
        <w:t xml:space="preserve">громади </w:t>
      </w:r>
      <w:r w:rsidR="00D6536B" w:rsidRPr="003C0CA6">
        <w:rPr>
          <w:rStyle w:val="FontStyle62"/>
          <w:sz w:val="28"/>
          <w:lang w:val="uk-UA" w:eastAsia="uk-UA"/>
        </w:rPr>
        <w:t xml:space="preserve">власною </w:t>
      </w:r>
      <w:r w:rsidR="003C0CA6" w:rsidRPr="003C0CA6">
        <w:rPr>
          <w:rStyle w:val="FontStyle62"/>
          <w:sz w:val="28"/>
          <w:lang w:val="uk-UA" w:eastAsia="uk-UA"/>
        </w:rPr>
        <w:t xml:space="preserve">сталою </w:t>
      </w:r>
      <w:r w:rsidR="00D6536B" w:rsidRPr="003C0CA6">
        <w:rPr>
          <w:rStyle w:val="FontStyle62"/>
          <w:sz w:val="28"/>
          <w:lang w:val="uk-UA" w:eastAsia="uk-UA"/>
        </w:rPr>
        <w:t>енергією</w:t>
      </w:r>
      <w:r w:rsidR="00B45D90" w:rsidRPr="003C0CA6">
        <w:rPr>
          <w:rStyle w:val="FontStyle62"/>
          <w:sz w:val="28"/>
          <w:lang w:val="uk-UA" w:eastAsia="uk-UA"/>
        </w:rPr>
        <w:t xml:space="preserve">», який розраховується як частка всієї енергії, що вироблена на території </w:t>
      </w:r>
      <w:r w:rsidR="00DC773A" w:rsidRPr="003C0CA6">
        <w:rPr>
          <w:rStyle w:val="FontStyle62"/>
          <w:sz w:val="28"/>
          <w:lang w:val="uk-UA" w:eastAsia="uk-UA"/>
        </w:rPr>
        <w:t xml:space="preserve">громади </w:t>
      </w:r>
      <w:r w:rsidR="00B45D90" w:rsidRPr="003C0CA6">
        <w:rPr>
          <w:rStyle w:val="FontStyle62"/>
          <w:sz w:val="28"/>
          <w:lang w:val="uk-UA" w:eastAsia="uk-UA"/>
        </w:rPr>
        <w:t>з альтернативних та відновлюваних джерел енергії</w:t>
      </w:r>
      <w:r w:rsidR="003C0CA6" w:rsidRPr="003C0CA6">
        <w:rPr>
          <w:rStyle w:val="FontStyle62"/>
          <w:sz w:val="28"/>
          <w:lang w:val="uk-UA" w:eastAsia="uk-UA"/>
        </w:rPr>
        <w:t>,</w:t>
      </w:r>
      <w:r w:rsidR="00B45D90" w:rsidRPr="003C0CA6">
        <w:rPr>
          <w:rStyle w:val="FontStyle62"/>
          <w:sz w:val="28"/>
          <w:lang w:val="uk-UA" w:eastAsia="uk-UA"/>
        </w:rPr>
        <w:t xml:space="preserve"> від </w:t>
      </w:r>
      <w:r w:rsidR="003C0CA6" w:rsidRPr="003C0CA6">
        <w:rPr>
          <w:rStyle w:val="FontStyle62"/>
          <w:sz w:val="28"/>
          <w:lang w:val="uk-UA" w:eastAsia="uk-UA"/>
        </w:rPr>
        <w:t xml:space="preserve">загального </w:t>
      </w:r>
      <w:r w:rsidR="00B45D90" w:rsidRPr="003C0CA6">
        <w:rPr>
          <w:rStyle w:val="FontStyle62"/>
          <w:sz w:val="28"/>
          <w:lang w:val="uk-UA" w:eastAsia="uk-UA"/>
        </w:rPr>
        <w:t xml:space="preserve">обсягу всіх первинних енергоресурсів, що спожиті на території </w:t>
      </w:r>
      <w:r w:rsidR="00DC773A" w:rsidRPr="003C0CA6">
        <w:rPr>
          <w:rStyle w:val="FontStyle62"/>
          <w:sz w:val="28"/>
          <w:lang w:val="uk-UA" w:eastAsia="uk-UA"/>
        </w:rPr>
        <w:t xml:space="preserve">громади </w:t>
      </w:r>
      <w:r w:rsidR="00B45D90" w:rsidRPr="003C0CA6">
        <w:rPr>
          <w:rStyle w:val="FontStyle62"/>
          <w:sz w:val="28"/>
          <w:lang w:val="uk-UA" w:eastAsia="uk-UA"/>
        </w:rPr>
        <w:t>всіма кінцевими споживачами за розрахунковий період (рік).</w:t>
      </w:r>
    </w:p>
    <w:p w14:paraId="2A376101" w14:textId="0051EAFF" w:rsidR="00B45D90" w:rsidRDefault="00B45D90" w:rsidP="00B45D90">
      <w:pPr>
        <w:widowControl w:val="0"/>
        <w:ind w:firstLine="705"/>
        <w:jc w:val="both"/>
        <w:rPr>
          <w:rStyle w:val="FontStyle62"/>
          <w:sz w:val="28"/>
          <w:lang w:val="uk-UA" w:eastAsia="uk-UA"/>
        </w:rPr>
      </w:pPr>
      <w:r w:rsidRPr="003C0CA6">
        <w:rPr>
          <w:rStyle w:val="FontStyle62"/>
          <w:sz w:val="28"/>
          <w:lang w:val="uk-UA" w:eastAsia="uk-UA"/>
        </w:rPr>
        <w:t>Станом на 201</w:t>
      </w:r>
      <w:r w:rsidR="00CB6BED" w:rsidRPr="003C0CA6">
        <w:rPr>
          <w:rStyle w:val="FontStyle62"/>
          <w:sz w:val="28"/>
          <w:lang w:val="uk-UA" w:eastAsia="uk-UA"/>
        </w:rPr>
        <w:t>0 рік та на 01 січня 2017 року</w:t>
      </w:r>
      <w:r w:rsidRPr="003C0CA6">
        <w:rPr>
          <w:rStyle w:val="FontStyle62"/>
          <w:sz w:val="28"/>
          <w:lang w:val="uk-UA" w:eastAsia="uk-UA"/>
        </w:rPr>
        <w:t xml:space="preserve"> рік </w:t>
      </w:r>
      <w:r w:rsidR="00CB6BED" w:rsidRPr="003C0CA6">
        <w:rPr>
          <w:rStyle w:val="FontStyle62"/>
          <w:sz w:val="28"/>
          <w:lang w:val="uk-UA" w:eastAsia="uk-UA"/>
        </w:rPr>
        <w:t xml:space="preserve">згаданий </w:t>
      </w:r>
      <w:r w:rsidRPr="003C0CA6">
        <w:rPr>
          <w:rStyle w:val="FontStyle62"/>
          <w:sz w:val="28"/>
          <w:lang w:val="uk-UA" w:eastAsia="uk-UA"/>
        </w:rPr>
        <w:t xml:space="preserve">коефіцієнт становив </w:t>
      </w:r>
      <w:r w:rsidR="00D36538" w:rsidRPr="003C0CA6">
        <w:rPr>
          <w:rStyle w:val="FontStyle62"/>
          <w:sz w:val="28"/>
          <w:lang w:val="uk-UA" w:eastAsia="uk-UA"/>
        </w:rPr>
        <w:t xml:space="preserve">менше </w:t>
      </w:r>
      <w:r w:rsidRPr="003C0CA6">
        <w:rPr>
          <w:rStyle w:val="FontStyle62"/>
          <w:sz w:val="28"/>
          <w:lang w:val="uk-UA" w:eastAsia="uk-UA"/>
        </w:rPr>
        <w:t>0,</w:t>
      </w:r>
      <w:r w:rsidR="00D36538" w:rsidRPr="003C0CA6">
        <w:rPr>
          <w:rStyle w:val="FontStyle62"/>
          <w:sz w:val="28"/>
          <w:lang w:val="uk-UA" w:eastAsia="uk-UA"/>
        </w:rPr>
        <w:t>1%</w:t>
      </w:r>
      <w:r w:rsidR="00660411" w:rsidRPr="003C0CA6">
        <w:rPr>
          <w:rStyle w:val="FontStyle62"/>
          <w:sz w:val="28"/>
          <w:lang w:val="uk-UA" w:eastAsia="uk-UA"/>
        </w:rPr>
        <w:t>. Н</w:t>
      </w:r>
      <w:r w:rsidRPr="003C0CA6">
        <w:rPr>
          <w:rStyle w:val="FontStyle62"/>
          <w:sz w:val="28"/>
          <w:lang w:val="uk-UA" w:eastAsia="uk-UA"/>
        </w:rPr>
        <w:t>а кінець 202</w:t>
      </w:r>
      <w:r w:rsidR="00DC773A" w:rsidRPr="003C0CA6">
        <w:rPr>
          <w:rStyle w:val="FontStyle62"/>
          <w:sz w:val="28"/>
          <w:lang w:val="uk-UA" w:eastAsia="uk-UA"/>
        </w:rPr>
        <w:t>5</w:t>
      </w:r>
      <w:r w:rsidRPr="003C0CA6">
        <w:rPr>
          <w:rStyle w:val="FontStyle62"/>
          <w:sz w:val="28"/>
          <w:lang w:val="uk-UA" w:eastAsia="uk-UA"/>
        </w:rPr>
        <w:t xml:space="preserve"> року за рахунок реалізації заходів програми планується досягти показника в </w:t>
      </w:r>
      <w:r w:rsidR="0096003C" w:rsidRPr="003C0CA6">
        <w:rPr>
          <w:rStyle w:val="FontStyle62"/>
          <w:sz w:val="28"/>
          <w:lang w:val="uk-UA" w:eastAsia="uk-UA"/>
        </w:rPr>
        <w:t>5</w:t>
      </w:r>
      <w:r w:rsidR="00D36538" w:rsidRPr="003C0CA6">
        <w:rPr>
          <w:rStyle w:val="FontStyle62"/>
          <w:sz w:val="28"/>
          <w:lang w:val="uk-UA" w:eastAsia="uk-UA"/>
        </w:rPr>
        <w:t>,0</w:t>
      </w:r>
      <w:r w:rsidRPr="003C0CA6">
        <w:rPr>
          <w:rStyle w:val="FontStyle62"/>
          <w:sz w:val="28"/>
          <w:lang w:val="uk-UA" w:eastAsia="uk-UA"/>
        </w:rPr>
        <w:t>%.</w:t>
      </w:r>
    </w:p>
    <w:p w14:paraId="29911F15" w14:textId="77777777" w:rsidR="004116C9" w:rsidRPr="00B45D90" w:rsidRDefault="004116C9" w:rsidP="004116C9">
      <w:pPr>
        <w:rPr>
          <w:sz w:val="28"/>
          <w:lang w:val="uk-UA"/>
        </w:rPr>
      </w:pPr>
    </w:p>
    <w:p w14:paraId="3F62398D" w14:textId="77777777" w:rsidR="004116C9" w:rsidRPr="003C0CA6" w:rsidRDefault="002A018E" w:rsidP="004116C9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16" w:name="_Toc467428487"/>
      <w:r w:rsidRPr="003C0CA6">
        <w:rPr>
          <w:rFonts w:ascii="Times New Roman" w:eastAsia="Times New Roman" w:hAnsi="Times New Roman" w:cs="Times New Roman"/>
          <w:b w:val="0"/>
          <w:color w:val="auto"/>
          <w:lang w:val="uk-UA"/>
        </w:rPr>
        <w:t>6</w:t>
      </w:r>
      <w:r w:rsidR="004116C9" w:rsidRPr="003C0CA6">
        <w:rPr>
          <w:rFonts w:ascii="Times New Roman" w:eastAsia="Times New Roman" w:hAnsi="Times New Roman" w:cs="Times New Roman"/>
          <w:color w:val="auto"/>
          <w:lang w:val="uk-UA"/>
        </w:rPr>
        <w:t xml:space="preserve">. </w:t>
      </w:r>
      <w:r w:rsidR="00E322BF" w:rsidRPr="003C0CA6">
        <w:rPr>
          <w:rFonts w:ascii="Times New Roman" w:eastAsia="Times New Roman" w:hAnsi="Times New Roman" w:cs="Times New Roman"/>
          <w:color w:val="auto"/>
          <w:lang w:val="uk-UA"/>
        </w:rPr>
        <w:t>ОБСЯГИ ТА ДЖЕРЕЛА ФІНАНСУВАННЯ ПРОГРАМИ</w:t>
      </w:r>
      <w:bookmarkEnd w:id="16"/>
    </w:p>
    <w:p w14:paraId="3646B6A8" w14:textId="77777777" w:rsidR="00813A38" w:rsidRPr="003C0CA6" w:rsidRDefault="004116C9" w:rsidP="004116C9">
      <w:pPr>
        <w:ind w:firstLine="705"/>
        <w:jc w:val="both"/>
        <w:rPr>
          <w:rFonts w:ascii="Times New Roman CYR" w:hAnsi="Times New Roman CYR"/>
          <w:bCs/>
          <w:iCs w:val="0"/>
          <w:color w:val="000000"/>
          <w:sz w:val="28"/>
          <w:lang w:val="uk-UA"/>
        </w:rPr>
      </w:pPr>
      <w:r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Заходи </w:t>
      </w:r>
      <w:r w:rsidR="0096003C"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>П</w:t>
      </w:r>
      <w:r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рограми передбачають реалізацію інвестиційних енергоефективних </w:t>
      </w:r>
      <w:r w:rsidR="00117536"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проєктів </w:t>
      </w:r>
      <w:r w:rsidR="00813A38"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на території </w:t>
      </w:r>
      <w:r w:rsidR="0096003C"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>громади для</w:t>
      </w:r>
      <w:r w:rsidR="00813A38"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об’єкт</w:t>
      </w:r>
      <w:r w:rsidR="0096003C"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>ів</w:t>
      </w:r>
      <w:r w:rsidR="00813A38"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, що є власністю </w:t>
      </w:r>
      <w:r w:rsidR="0096003C"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Житомирської міської територіальної громади </w:t>
      </w:r>
      <w:r w:rsidR="00813A38"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>та які утримуються за рахунок коштів бюджету</w:t>
      </w:r>
      <w:r w:rsidR="0096003C"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громади</w:t>
      </w:r>
      <w:r w:rsidR="00813A38"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>. Скорочення споживання паливно-енергетичних ресурсів на цих об’єктах, в тому числі вплине і на скорочення видатків міського бюджету на їх утримання.</w:t>
      </w:r>
    </w:p>
    <w:p w14:paraId="51DA1C1A" w14:textId="2346868F" w:rsidR="004116C9" w:rsidRPr="00645B1F" w:rsidRDefault="004116C9" w:rsidP="004116C9">
      <w:pPr>
        <w:ind w:firstLine="705"/>
        <w:jc w:val="both"/>
        <w:rPr>
          <w:bCs/>
          <w:iCs w:val="0"/>
          <w:color w:val="000000"/>
          <w:sz w:val="28"/>
          <w:lang w:val="uk-UA"/>
        </w:rPr>
      </w:pPr>
      <w:r w:rsidRPr="003C0CA6">
        <w:rPr>
          <w:bCs/>
          <w:iCs w:val="0"/>
          <w:color w:val="000000"/>
          <w:sz w:val="28"/>
          <w:lang w:val="uk-UA"/>
        </w:rPr>
        <w:t xml:space="preserve">Джерелом </w:t>
      </w:r>
      <w:r w:rsidRPr="00645B1F">
        <w:rPr>
          <w:bCs/>
          <w:iCs w:val="0"/>
          <w:color w:val="000000"/>
          <w:sz w:val="28"/>
          <w:lang w:val="uk-UA"/>
        </w:rPr>
        <w:t xml:space="preserve">фінансування </w:t>
      </w:r>
      <w:r w:rsidR="00813A38" w:rsidRPr="00645B1F">
        <w:rPr>
          <w:bCs/>
          <w:iCs w:val="0"/>
          <w:color w:val="000000"/>
          <w:sz w:val="28"/>
          <w:lang w:val="uk-UA"/>
        </w:rPr>
        <w:t xml:space="preserve">заходів </w:t>
      </w:r>
      <w:r w:rsidRPr="00645B1F">
        <w:rPr>
          <w:bCs/>
          <w:iCs w:val="0"/>
          <w:color w:val="000000"/>
          <w:sz w:val="28"/>
          <w:lang w:val="uk-UA"/>
        </w:rPr>
        <w:t>Програми крім коштів бюдж</w:t>
      </w:r>
      <w:r w:rsidR="00813A38" w:rsidRPr="00645B1F">
        <w:rPr>
          <w:bCs/>
          <w:iCs w:val="0"/>
          <w:color w:val="000000"/>
          <w:sz w:val="28"/>
          <w:lang w:val="uk-UA"/>
        </w:rPr>
        <w:t xml:space="preserve">ету </w:t>
      </w:r>
      <w:r w:rsidR="0096003C" w:rsidRPr="00645B1F">
        <w:rPr>
          <w:bCs/>
          <w:iCs w:val="0"/>
          <w:color w:val="000000"/>
          <w:sz w:val="28"/>
          <w:lang w:val="uk-UA"/>
        </w:rPr>
        <w:t xml:space="preserve">громади </w:t>
      </w:r>
      <w:r w:rsidR="00813A38" w:rsidRPr="00645B1F">
        <w:rPr>
          <w:bCs/>
          <w:iCs w:val="0"/>
          <w:color w:val="000000"/>
          <w:sz w:val="28"/>
          <w:lang w:val="uk-UA"/>
        </w:rPr>
        <w:t>будуть</w:t>
      </w:r>
      <w:r w:rsidRPr="00645B1F">
        <w:rPr>
          <w:bCs/>
          <w:iCs w:val="0"/>
          <w:color w:val="000000"/>
          <w:sz w:val="28"/>
          <w:lang w:val="uk-UA"/>
        </w:rPr>
        <w:t xml:space="preserve"> кредити, гранти міжнародних організацій та міжнародна технічна допомога</w:t>
      </w:r>
      <w:r w:rsidR="00DC773A" w:rsidRPr="00645B1F">
        <w:rPr>
          <w:sz w:val="28"/>
          <w:lang w:val="uk-UA"/>
        </w:rPr>
        <w:t xml:space="preserve"> та інші джерела фінансування, не заборонені законодавством.</w:t>
      </w:r>
    </w:p>
    <w:p w14:paraId="3774FFD1" w14:textId="77777777" w:rsidR="00813A38" w:rsidRPr="003C0CA6" w:rsidRDefault="00813A38" w:rsidP="004116C9">
      <w:pPr>
        <w:ind w:firstLine="705"/>
        <w:jc w:val="both"/>
        <w:rPr>
          <w:rFonts w:ascii="Times New Roman CYR" w:hAnsi="Times New Roman CYR"/>
          <w:bCs/>
          <w:iCs w:val="0"/>
          <w:color w:val="000000"/>
          <w:sz w:val="28"/>
          <w:lang w:val="uk-UA"/>
        </w:rPr>
      </w:pPr>
      <w:r w:rsidRPr="00645B1F">
        <w:rPr>
          <w:rFonts w:ascii="Times New Roman CYR" w:hAnsi="Times New Roman CYR"/>
          <w:bCs/>
          <w:iCs w:val="0"/>
          <w:color w:val="000000"/>
          <w:sz w:val="28"/>
          <w:lang w:val="uk-UA"/>
        </w:rPr>
        <w:t>Потенційні джерела залучення</w:t>
      </w:r>
      <w:r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коштів для реалізації заходів Програми:</w:t>
      </w:r>
    </w:p>
    <w:p w14:paraId="1E86BDC2" w14:textId="77777777" w:rsidR="00813A38" w:rsidRPr="003C0CA6" w:rsidRDefault="006B4485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 w:rsidRPr="003C0CA6">
        <w:rPr>
          <w:rStyle w:val="FontStyle62"/>
          <w:sz w:val="28"/>
          <w:lang w:val="uk-UA" w:eastAsia="uk-UA"/>
        </w:rPr>
        <w:t>Світовий банк</w:t>
      </w:r>
      <w:r w:rsidR="004116C9" w:rsidRPr="003C0CA6">
        <w:rPr>
          <w:rStyle w:val="FontStyle62"/>
          <w:sz w:val="28"/>
          <w:lang w:val="uk-UA" w:eastAsia="uk-UA"/>
        </w:rPr>
        <w:t xml:space="preserve"> (</w:t>
      </w:r>
      <w:r w:rsidRPr="003C0CA6">
        <w:rPr>
          <w:rStyle w:val="FontStyle62"/>
          <w:sz w:val="28"/>
          <w:lang w:val="en-US" w:eastAsia="uk-UA"/>
        </w:rPr>
        <w:t>World Bank</w:t>
      </w:r>
      <w:r w:rsidR="004116C9" w:rsidRPr="003C0CA6">
        <w:rPr>
          <w:rStyle w:val="FontStyle62"/>
          <w:sz w:val="28"/>
          <w:lang w:val="uk-UA" w:eastAsia="uk-UA"/>
        </w:rPr>
        <w:t>)</w:t>
      </w:r>
      <w:r w:rsidR="00813A38" w:rsidRPr="003C0CA6">
        <w:rPr>
          <w:rStyle w:val="FontStyle62"/>
          <w:sz w:val="28"/>
          <w:lang w:val="uk-UA" w:eastAsia="uk-UA"/>
        </w:rPr>
        <w:t>;</w:t>
      </w:r>
    </w:p>
    <w:p w14:paraId="322A843C" w14:textId="77777777" w:rsidR="00813A38" w:rsidRPr="003C0CA6" w:rsidRDefault="004116C9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 w:rsidRPr="003C0CA6">
        <w:rPr>
          <w:rStyle w:val="FontStyle62"/>
          <w:sz w:val="28"/>
          <w:lang w:val="uk-UA" w:eastAsia="uk-UA"/>
        </w:rPr>
        <w:t>Європейськ</w:t>
      </w:r>
      <w:r w:rsidR="00813A38" w:rsidRPr="003C0CA6">
        <w:rPr>
          <w:rStyle w:val="FontStyle62"/>
          <w:sz w:val="28"/>
          <w:lang w:val="uk-UA" w:eastAsia="uk-UA"/>
        </w:rPr>
        <w:t>ий банк</w:t>
      </w:r>
      <w:r w:rsidRPr="003C0CA6">
        <w:rPr>
          <w:rStyle w:val="FontStyle62"/>
          <w:sz w:val="28"/>
          <w:lang w:val="uk-UA" w:eastAsia="uk-UA"/>
        </w:rPr>
        <w:t xml:space="preserve"> ре</w:t>
      </w:r>
      <w:r w:rsidR="00813A38" w:rsidRPr="003C0CA6">
        <w:rPr>
          <w:rStyle w:val="FontStyle62"/>
          <w:sz w:val="28"/>
          <w:lang w:val="uk-UA" w:eastAsia="uk-UA"/>
        </w:rPr>
        <w:t>конструкції та розвитку (</w:t>
      </w:r>
      <w:r w:rsidR="006B4485" w:rsidRPr="003C0CA6">
        <w:rPr>
          <w:rStyle w:val="FontStyle62"/>
          <w:sz w:val="28"/>
          <w:lang w:val="en-US" w:eastAsia="uk-UA"/>
        </w:rPr>
        <w:t>EBRD</w:t>
      </w:r>
      <w:r w:rsidR="00813A38" w:rsidRPr="003C0CA6">
        <w:rPr>
          <w:rStyle w:val="FontStyle62"/>
          <w:sz w:val="28"/>
          <w:lang w:val="uk-UA" w:eastAsia="uk-UA"/>
        </w:rPr>
        <w:t>);</w:t>
      </w:r>
    </w:p>
    <w:p w14:paraId="241FB396" w14:textId="77777777" w:rsidR="00813A38" w:rsidRPr="003C0CA6" w:rsidRDefault="00813A38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 w:rsidRPr="003C0CA6">
        <w:rPr>
          <w:rStyle w:val="FontStyle62"/>
          <w:sz w:val="28"/>
          <w:lang w:val="uk-UA" w:eastAsia="uk-UA"/>
        </w:rPr>
        <w:t>Європейський інвестиційний банк (</w:t>
      </w:r>
      <w:r w:rsidR="006B4485" w:rsidRPr="003C0CA6">
        <w:rPr>
          <w:rStyle w:val="FontStyle62"/>
          <w:sz w:val="28"/>
          <w:lang w:val="en-US" w:eastAsia="uk-UA"/>
        </w:rPr>
        <w:t>EIB</w:t>
      </w:r>
      <w:r w:rsidRPr="003C0CA6">
        <w:rPr>
          <w:rStyle w:val="FontStyle62"/>
          <w:sz w:val="28"/>
          <w:lang w:val="uk-UA" w:eastAsia="uk-UA"/>
        </w:rPr>
        <w:t>);</w:t>
      </w:r>
    </w:p>
    <w:p w14:paraId="6F394766" w14:textId="77777777" w:rsidR="00813A38" w:rsidRPr="003C0CA6" w:rsidRDefault="00813A38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 w:rsidRPr="003C0CA6">
        <w:rPr>
          <w:rStyle w:val="FontStyle62"/>
          <w:sz w:val="28"/>
          <w:lang w:val="uk-UA" w:eastAsia="uk-UA"/>
        </w:rPr>
        <w:lastRenderedPageBreak/>
        <w:t>Фонд</w:t>
      </w:r>
      <w:r w:rsidR="004116C9" w:rsidRPr="003C0CA6">
        <w:rPr>
          <w:rStyle w:val="FontStyle62"/>
          <w:sz w:val="28"/>
          <w:lang w:val="uk-UA" w:eastAsia="uk-UA"/>
        </w:rPr>
        <w:t xml:space="preserve"> Східноєвропейського партнерства з ене</w:t>
      </w:r>
      <w:r w:rsidRPr="003C0CA6">
        <w:rPr>
          <w:rStyle w:val="FontStyle62"/>
          <w:sz w:val="28"/>
          <w:lang w:val="uk-UA" w:eastAsia="uk-UA"/>
        </w:rPr>
        <w:t>ргоефективності та довкілля Е5Р;</w:t>
      </w:r>
      <w:r w:rsidR="004116C9" w:rsidRPr="003C0CA6">
        <w:rPr>
          <w:rStyle w:val="FontStyle62"/>
          <w:sz w:val="28"/>
          <w:lang w:val="uk-UA" w:eastAsia="uk-UA"/>
        </w:rPr>
        <w:t xml:space="preserve"> </w:t>
      </w:r>
    </w:p>
    <w:p w14:paraId="0374FFF5" w14:textId="77777777" w:rsidR="00813A38" w:rsidRPr="003C0CA6" w:rsidRDefault="006B4485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 w:rsidRPr="003C0CA6">
        <w:rPr>
          <w:rStyle w:val="FontStyle62"/>
          <w:sz w:val="28"/>
          <w:lang w:val="uk-UA" w:eastAsia="uk-UA"/>
        </w:rPr>
        <w:t>Державний секретаріат з економічних питань Швейцарської конфедерації</w:t>
      </w:r>
      <w:r w:rsidR="004116C9" w:rsidRPr="003C0CA6">
        <w:rPr>
          <w:rStyle w:val="FontStyle62"/>
          <w:sz w:val="28"/>
          <w:lang w:val="uk-UA" w:eastAsia="uk-UA"/>
        </w:rPr>
        <w:t xml:space="preserve"> (SECO</w:t>
      </w:r>
      <w:r w:rsidR="00813A38" w:rsidRPr="003C0CA6">
        <w:rPr>
          <w:rStyle w:val="FontStyle62"/>
          <w:sz w:val="28"/>
          <w:lang w:val="uk-UA" w:eastAsia="uk-UA"/>
        </w:rPr>
        <w:t>);</w:t>
      </w:r>
    </w:p>
    <w:p w14:paraId="3A8BFCB2" w14:textId="77777777" w:rsidR="00813A38" w:rsidRPr="003C0CA6" w:rsidRDefault="00813A38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rStyle w:val="FontStyle62"/>
          <w:sz w:val="28"/>
          <w:lang w:val="uk-UA" w:eastAsia="uk-UA"/>
        </w:rPr>
      </w:pPr>
      <w:r w:rsidRPr="003C0CA6">
        <w:rPr>
          <w:rStyle w:val="FontStyle62"/>
          <w:sz w:val="28"/>
          <w:lang w:val="uk-UA" w:eastAsia="uk-UA"/>
        </w:rPr>
        <w:t xml:space="preserve">Північна Екологічна Фінансова Корпорація </w:t>
      </w:r>
      <w:r w:rsidR="006B4485" w:rsidRPr="003C0CA6">
        <w:rPr>
          <w:rStyle w:val="FontStyle62"/>
          <w:sz w:val="28"/>
          <w:lang w:val="uk-UA" w:eastAsia="uk-UA"/>
        </w:rPr>
        <w:t>(</w:t>
      </w:r>
      <w:r w:rsidR="006B4485" w:rsidRPr="003C0CA6">
        <w:rPr>
          <w:rStyle w:val="FontStyle62"/>
          <w:sz w:val="28"/>
          <w:lang w:val="en-US" w:eastAsia="uk-UA"/>
        </w:rPr>
        <w:t>NEFCO</w:t>
      </w:r>
      <w:r w:rsidR="006B4485" w:rsidRPr="003C0CA6">
        <w:rPr>
          <w:rStyle w:val="FontStyle62"/>
          <w:sz w:val="28"/>
          <w:lang w:val="uk-UA" w:eastAsia="uk-UA"/>
        </w:rPr>
        <w:t>)</w:t>
      </w:r>
      <w:r w:rsidRPr="003C0CA6">
        <w:rPr>
          <w:rStyle w:val="FontStyle62"/>
          <w:sz w:val="28"/>
          <w:lang w:val="uk-UA" w:eastAsia="uk-UA"/>
        </w:rPr>
        <w:t>;</w:t>
      </w:r>
    </w:p>
    <w:p w14:paraId="276A1654" w14:textId="27FCEA98" w:rsidR="00813A38" w:rsidRPr="003C0CA6" w:rsidRDefault="004116C9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sz w:val="28"/>
          <w:szCs w:val="26"/>
          <w:lang w:val="uk-UA" w:eastAsia="uk-UA"/>
        </w:rPr>
      </w:pPr>
      <w:r w:rsidRPr="003C0CA6">
        <w:rPr>
          <w:rStyle w:val="FontStyle62"/>
          <w:sz w:val="28"/>
          <w:lang w:val="uk-UA" w:eastAsia="uk-UA"/>
        </w:rPr>
        <w:t xml:space="preserve">Німецького </w:t>
      </w:r>
      <w:r w:rsidR="00663104" w:rsidRPr="003C0CA6">
        <w:rPr>
          <w:rStyle w:val="FontStyle62"/>
          <w:sz w:val="28"/>
          <w:lang w:val="uk-UA" w:eastAsia="uk-UA"/>
        </w:rPr>
        <w:t>товариства міжнародного</w:t>
      </w:r>
      <w:r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співробітництва (GIZ</w:t>
      </w:r>
      <w:r w:rsidR="00813A38"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>);</w:t>
      </w:r>
    </w:p>
    <w:p w14:paraId="2BE749F1" w14:textId="77777777" w:rsidR="00813A38" w:rsidRPr="003C0CA6" w:rsidRDefault="00813A38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sz w:val="28"/>
          <w:szCs w:val="26"/>
          <w:lang w:val="uk-UA" w:eastAsia="uk-UA"/>
        </w:rPr>
      </w:pPr>
      <w:r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>Програма</w:t>
      </w:r>
      <w:r w:rsidR="004116C9"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розвитку Організації Об’</w:t>
      </w:r>
      <w:r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>єднаних Націй (ПРООН);</w:t>
      </w:r>
    </w:p>
    <w:p w14:paraId="630C6995" w14:textId="77777777" w:rsidR="004116C9" w:rsidRPr="003C0CA6" w:rsidRDefault="00813A38" w:rsidP="00813A38">
      <w:pPr>
        <w:pStyle w:val="af"/>
        <w:widowControl w:val="0"/>
        <w:numPr>
          <w:ilvl w:val="0"/>
          <w:numId w:val="14"/>
        </w:numPr>
        <w:ind w:left="1134" w:hanging="425"/>
        <w:jc w:val="both"/>
        <w:rPr>
          <w:sz w:val="28"/>
          <w:szCs w:val="26"/>
          <w:lang w:val="uk-UA" w:eastAsia="uk-UA"/>
        </w:rPr>
      </w:pPr>
      <w:r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>Шведське</w:t>
      </w:r>
      <w:r w:rsidR="004116C9"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агентств</w:t>
      </w:r>
      <w:r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>о</w:t>
      </w:r>
      <w:r w:rsidR="004116C9"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з питань міжнародної співпраці та розвитку (SIDA)</w:t>
      </w:r>
      <w:r w:rsidR="002E0264"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 xml:space="preserve"> та інші</w:t>
      </w:r>
      <w:r w:rsidR="004116C9" w:rsidRPr="003C0CA6">
        <w:rPr>
          <w:rFonts w:ascii="Times New Roman CYR" w:hAnsi="Times New Roman CYR"/>
          <w:bCs/>
          <w:iCs w:val="0"/>
          <w:color w:val="000000"/>
          <w:sz w:val="28"/>
          <w:lang w:val="uk-UA"/>
        </w:rPr>
        <w:t>.</w:t>
      </w:r>
    </w:p>
    <w:p w14:paraId="6E3B5A75" w14:textId="77777777" w:rsidR="002A018E" w:rsidRPr="003C0CA6" w:rsidRDefault="004116C9" w:rsidP="002A018E">
      <w:pPr>
        <w:widowControl w:val="0"/>
        <w:ind w:firstLine="708"/>
        <w:jc w:val="right"/>
      </w:pPr>
      <w:r w:rsidRPr="003C0CA6">
        <w:rPr>
          <w:sz w:val="28"/>
          <w:lang w:val="uk-UA"/>
        </w:rPr>
        <w:t xml:space="preserve">Таблиця </w:t>
      </w:r>
      <w:r w:rsidR="005D100D" w:rsidRPr="003C0CA6">
        <w:rPr>
          <w:sz w:val="28"/>
          <w:lang w:val="uk-UA"/>
        </w:rPr>
        <w:t>6</w:t>
      </w:r>
      <w:r w:rsidRPr="003C0CA6">
        <w:rPr>
          <w:sz w:val="28"/>
          <w:lang w:val="uk-UA"/>
        </w:rPr>
        <w:t>.1.</w:t>
      </w:r>
    </w:p>
    <w:p w14:paraId="760A38D4" w14:textId="3D443ABC" w:rsidR="004116C9" w:rsidRPr="009A4B91" w:rsidRDefault="004116C9" w:rsidP="004116C9">
      <w:pPr>
        <w:pStyle w:val="ab"/>
        <w:widowControl w:val="0"/>
        <w:tabs>
          <w:tab w:val="left" w:pos="0"/>
        </w:tabs>
        <w:autoSpaceDE w:val="0"/>
        <w:autoSpaceDN w:val="0"/>
        <w:jc w:val="center"/>
        <w:rPr>
          <w:bCs/>
          <w:iCs/>
          <w:color w:val="000000"/>
        </w:rPr>
      </w:pPr>
      <w:r w:rsidRPr="003C0CA6">
        <w:rPr>
          <w:rFonts w:ascii="Times New Roman CYR" w:hAnsi="Times New Roman CYR"/>
          <w:color w:val="000000"/>
        </w:rPr>
        <w:t xml:space="preserve">Ресурсне забезпечення </w:t>
      </w:r>
      <w:r w:rsidRPr="003C0CA6">
        <w:rPr>
          <w:bCs/>
          <w:iCs/>
          <w:color w:val="000000"/>
        </w:rPr>
        <w:t>Програми на 20</w:t>
      </w:r>
      <w:r w:rsidR="00C373ED" w:rsidRPr="003C0CA6">
        <w:rPr>
          <w:bCs/>
          <w:iCs/>
          <w:color w:val="000000"/>
        </w:rPr>
        <w:t>21</w:t>
      </w:r>
      <w:r w:rsidR="003E552D" w:rsidRPr="003C0CA6">
        <w:rPr>
          <w:bCs/>
          <w:iCs/>
          <w:color w:val="000000"/>
        </w:rPr>
        <w:t>-202</w:t>
      </w:r>
      <w:r w:rsidR="00BB4C45" w:rsidRPr="003C0CA6">
        <w:rPr>
          <w:bCs/>
          <w:iCs/>
          <w:color w:val="000000"/>
        </w:rPr>
        <w:t>5</w:t>
      </w:r>
      <w:r w:rsidRPr="003C0CA6">
        <w:rPr>
          <w:bCs/>
          <w:iCs/>
          <w:color w:val="000000"/>
        </w:rPr>
        <w:t xml:space="preserve"> роки, тис. грн</w:t>
      </w:r>
    </w:p>
    <w:tbl>
      <w:tblPr>
        <w:tblStyle w:val="af1"/>
        <w:tblW w:w="966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96"/>
        <w:gridCol w:w="1134"/>
        <w:gridCol w:w="1134"/>
        <w:gridCol w:w="1134"/>
        <w:gridCol w:w="1134"/>
        <w:gridCol w:w="1134"/>
        <w:gridCol w:w="1701"/>
      </w:tblGrid>
      <w:tr w:rsidR="00BB4C45" w:rsidRPr="00D5746A" w14:paraId="2CAED084" w14:textId="77777777" w:rsidTr="009D3AAC">
        <w:trPr>
          <w:trHeight w:val="827"/>
        </w:trPr>
        <w:tc>
          <w:tcPr>
            <w:tcW w:w="2296" w:type="dxa"/>
            <w:shd w:val="clear" w:color="auto" w:fill="DBE5F1" w:themeFill="accent1" w:themeFillTint="33"/>
            <w:vAlign w:val="center"/>
          </w:tcPr>
          <w:p w14:paraId="013326D0" w14:textId="77777777" w:rsidR="00BB4C45" w:rsidRPr="00847D24" w:rsidRDefault="00BB4C45" w:rsidP="004116C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847D24">
              <w:rPr>
                <w:rFonts w:ascii="Times New Roman CYR" w:hAnsi="Times New Roman CYR"/>
                <w:b/>
                <w:color w:val="000000"/>
                <w:sz w:val="24"/>
              </w:rPr>
              <w:t>Обсяг коштів, що пропонується залучити на виконання Програми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264AE8A" w14:textId="77777777" w:rsidR="00BB4C45" w:rsidRDefault="00BB4C45" w:rsidP="00EA05F3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2021 рік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B88A7B9" w14:textId="77777777" w:rsidR="00BB4C45" w:rsidRPr="00847D24" w:rsidRDefault="00BB4C45" w:rsidP="00EA05F3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2022 рік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4971D0B" w14:textId="77777777" w:rsidR="00BB4C45" w:rsidRPr="003E552D" w:rsidRDefault="00BB4C45" w:rsidP="00EA05F3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2023 рік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441ED01" w14:textId="77777777" w:rsidR="00BB4C45" w:rsidRPr="003E552D" w:rsidRDefault="00BB4C45" w:rsidP="00EA05F3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2024 рік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26BE136E" w14:textId="77777777" w:rsidR="00BB4C45" w:rsidRDefault="00BB4C45" w:rsidP="00EA05F3">
            <w:pPr>
              <w:pStyle w:val="ab"/>
              <w:widowControl w:val="0"/>
              <w:tabs>
                <w:tab w:val="left" w:pos="114"/>
              </w:tabs>
              <w:autoSpaceDE w:val="0"/>
              <w:autoSpaceDN w:val="0"/>
              <w:ind w:right="256"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  <w:p w14:paraId="56CE60EC" w14:textId="77777777" w:rsidR="00BB4C45" w:rsidRDefault="00BB4C45" w:rsidP="00EA05F3">
            <w:pPr>
              <w:pStyle w:val="ab"/>
              <w:widowControl w:val="0"/>
              <w:tabs>
                <w:tab w:val="left" w:pos="114"/>
              </w:tabs>
              <w:autoSpaceDE w:val="0"/>
              <w:autoSpaceDN w:val="0"/>
              <w:ind w:right="256"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  <w:p w14:paraId="20D15741" w14:textId="1EBF4039" w:rsidR="00BB4C45" w:rsidRPr="00847D24" w:rsidRDefault="00BB4C45" w:rsidP="00EA05F3">
            <w:pPr>
              <w:pStyle w:val="ab"/>
              <w:widowControl w:val="0"/>
              <w:tabs>
                <w:tab w:val="left" w:pos="114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2025 рік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702DEB75" w14:textId="55B52175" w:rsidR="00BB4C45" w:rsidRDefault="00BB4C45" w:rsidP="00EA05F3">
            <w:pPr>
              <w:pStyle w:val="ab"/>
              <w:widowControl w:val="0"/>
              <w:tabs>
                <w:tab w:val="left" w:pos="114"/>
              </w:tabs>
              <w:autoSpaceDE w:val="0"/>
              <w:autoSpaceDN w:val="0"/>
              <w:ind w:right="256"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847D24">
              <w:rPr>
                <w:rFonts w:ascii="Times New Roman CYR" w:hAnsi="Times New Roman CYR"/>
                <w:b/>
                <w:color w:val="000000"/>
                <w:sz w:val="24"/>
              </w:rPr>
              <w:t>Всього витрат на виконання Програми</w:t>
            </w:r>
          </w:p>
        </w:tc>
      </w:tr>
      <w:tr w:rsidR="00BB4C45" w:rsidRPr="00D5746A" w14:paraId="1360F1A3" w14:textId="77777777" w:rsidTr="009D3AAC">
        <w:trPr>
          <w:trHeight w:val="78"/>
        </w:trPr>
        <w:tc>
          <w:tcPr>
            <w:tcW w:w="2296" w:type="dxa"/>
          </w:tcPr>
          <w:p w14:paraId="4982347D" w14:textId="77777777" w:rsidR="00BB4C45" w:rsidRPr="00D5746A" w:rsidRDefault="00BB4C45" w:rsidP="00DC679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D5746A">
              <w:rPr>
                <w:rFonts w:ascii="Times New Roman CYR" w:hAnsi="Times New Roman CYR"/>
                <w:color w:val="000000"/>
                <w:sz w:val="24"/>
              </w:rPr>
              <w:t>Обсяг ресурсів, всього,</w:t>
            </w:r>
            <w:r>
              <w:rPr>
                <w:rFonts w:ascii="Times New Roman CYR" w:hAnsi="Times New Roman CYR"/>
                <w:color w:val="000000"/>
                <w:sz w:val="24"/>
              </w:rPr>
              <w:t xml:space="preserve"> </w:t>
            </w:r>
            <w:r w:rsidRPr="00D5746A">
              <w:rPr>
                <w:rFonts w:ascii="Times New Roman CYR" w:hAnsi="Times New Roman CYR"/>
                <w:color w:val="000000"/>
                <w:sz w:val="24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14:paraId="232485C4" w14:textId="77777777" w:rsidR="00BB4C45" w:rsidRPr="00EA05F3" w:rsidRDefault="00BB4C45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en-US"/>
              </w:rPr>
            </w:pPr>
            <w:r w:rsidRPr="00EA05F3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en-US"/>
              </w:rPr>
              <w:t>110</w:t>
            </w:r>
            <w:r w:rsidRPr="00EA05F3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 xml:space="preserve"> </w:t>
            </w:r>
            <w:r w:rsidRPr="00EA05F3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en-US"/>
              </w:rPr>
              <w:t>451</w:t>
            </w:r>
            <w:r w:rsidRPr="00EA05F3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,</w:t>
            </w:r>
            <w:r w:rsidRPr="00EA05F3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vAlign w:val="center"/>
          </w:tcPr>
          <w:p w14:paraId="4B2C6853" w14:textId="22BE690C" w:rsidR="00BB4C45" w:rsidRPr="00EA05F3" w:rsidRDefault="00BB4C45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en-US"/>
              </w:rPr>
            </w:pPr>
            <w:r w:rsidRPr="00EA05F3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en-US"/>
              </w:rPr>
              <w:t>163 290</w:t>
            </w:r>
            <w:r w:rsidRPr="00EA05F3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,</w:t>
            </w:r>
            <w:r w:rsidR="009D3AAC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14:paraId="01AB13DE" w14:textId="4B1F1715" w:rsidR="00BB4C45" w:rsidRPr="009D3AAC" w:rsidRDefault="009D3AAC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</w:pPr>
            <w:r w:rsidRPr="009D3AAC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en-US"/>
              </w:rPr>
              <w:t>158 257,</w:t>
            </w:r>
            <w:r w:rsidR="00BB4C45" w:rsidRPr="009D3AAC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14:paraId="1B25EBB7" w14:textId="6E36342B" w:rsidR="00BB4C45" w:rsidRPr="009D3AAC" w:rsidRDefault="00C73DF3" w:rsidP="00564C0E">
            <w:pPr>
              <w:jc w:val="center"/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</w:pPr>
            <w:r w:rsidRPr="009D3AAC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329 643,8</w:t>
            </w:r>
          </w:p>
        </w:tc>
        <w:tc>
          <w:tcPr>
            <w:tcW w:w="1134" w:type="dxa"/>
            <w:vAlign w:val="center"/>
          </w:tcPr>
          <w:p w14:paraId="028FB4C8" w14:textId="6724D5BA" w:rsidR="00BB4C45" w:rsidRPr="009D3AAC" w:rsidRDefault="007F5B7C" w:rsidP="007F5B7C">
            <w:pPr>
              <w:jc w:val="center"/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238 788</w:t>
            </w:r>
            <w:r w:rsidR="00C73DF3" w:rsidRPr="009D3AAC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  <w:vAlign w:val="center"/>
          </w:tcPr>
          <w:p w14:paraId="18D08A93" w14:textId="229680D1" w:rsidR="00BB4C45" w:rsidRPr="009D3AAC" w:rsidRDefault="00175F96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1 000 431,7</w:t>
            </w:r>
          </w:p>
        </w:tc>
      </w:tr>
      <w:tr w:rsidR="00BB4C45" w:rsidRPr="00D5746A" w14:paraId="0681D691" w14:textId="77777777" w:rsidTr="009D3AAC">
        <w:tc>
          <w:tcPr>
            <w:tcW w:w="2296" w:type="dxa"/>
          </w:tcPr>
          <w:p w14:paraId="0922B197" w14:textId="77777777" w:rsidR="00BB4C45" w:rsidRPr="00D5746A" w:rsidRDefault="00BB4C45" w:rsidP="004116C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>
              <w:rPr>
                <w:rFonts w:ascii="Times New Roman CYR" w:hAnsi="Times New Roman CYR"/>
                <w:color w:val="000000"/>
                <w:sz w:val="24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14:paraId="1303AA40" w14:textId="77777777" w:rsidR="00BB4C45" w:rsidRPr="009D3AAC" w:rsidRDefault="00BB4C45" w:rsidP="00BB003E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9D3AAC">
              <w:rPr>
                <w:rFonts w:ascii="Times New Roman CYR" w:hAnsi="Times New Roman CYR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0EA71C2A" w14:textId="77777777" w:rsidR="00BB4C45" w:rsidRPr="009D3AAC" w:rsidRDefault="00BB4C45" w:rsidP="00BB003E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9D3AAC">
              <w:rPr>
                <w:rFonts w:ascii="Times New Roman CYR" w:hAnsi="Times New Roman CYR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BF0329A" w14:textId="77777777" w:rsidR="00BB4C45" w:rsidRPr="009D3AAC" w:rsidRDefault="00BB4C45" w:rsidP="00BB003E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9D3AAC">
              <w:rPr>
                <w:rFonts w:ascii="Times New Roman CYR" w:hAnsi="Times New Roman CYR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08D21265" w14:textId="65C82D02" w:rsidR="00BB4C45" w:rsidRPr="009D3AAC" w:rsidRDefault="00C73DF3" w:rsidP="00BB003E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9D3AAC">
              <w:rPr>
                <w:rFonts w:ascii="Times New Roman CYR" w:hAnsi="Times New Roman CYR"/>
                <w:color w:val="000000"/>
                <w:sz w:val="20"/>
                <w:szCs w:val="20"/>
              </w:rPr>
              <w:t>44</w:t>
            </w:r>
            <w:r w:rsidR="009D2E77" w:rsidRPr="009D3AAC">
              <w:rPr>
                <w:rFonts w:ascii="Times New Roman CYR" w:hAnsi="Times New Roman CYR"/>
                <w:color w:val="000000"/>
                <w:sz w:val="20"/>
                <w:szCs w:val="20"/>
              </w:rPr>
              <w:t> </w:t>
            </w:r>
            <w:r w:rsidRPr="009D3AAC">
              <w:rPr>
                <w:rFonts w:ascii="Times New Roman CYR" w:hAnsi="Times New Roman CYR"/>
                <w:color w:val="000000"/>
                <w:sz w:val="20"/>
                <w:szCs w:val="20"/>
              </w:rPr>
              <w:t>895,1</w:t>
            </w:r>
          </w:p>
        </w:tc>
        <w:tc>
          <w:tcPr>
            <w:tcW w:w="1134" w:type="dxa"/>
            <w:vAlign w:val="center"/>
          </w:tcPr>
          <w:p w14:paraId="33C4B1B2" w14:textId="2A602F25" w:rsidR="00BB4C45" w:rsidRPr="009D3AAC" w:rsidRDefault="00C73DF3" w:rsidP="00BB003E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9D3AAC">
              <w:rPr>
                <w:rFonts w:ascii="Times New Roman CYR" w:hAnsi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14:paraId="7E185500" w14:textId="4B7398BE" w:rsidR="00BB4C45" w:rsidRPr="009D3AAC" w:rsidRDefault="00C73DF3" w:rsidP="00BB003E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9D3AAC">
              <w:rPr>
                <w:rFonts w:ascii="Times New Roman CYR" w:hAnsi="Times New Roman CYR"/>
                <w:color w:val="000000"/>
                <w:sz w:val="20"/>
                <w:szCs w:val="20"/>
              </w:rPr>
              <w:t>44</w:t>
            </w:r>
            <w:r w:rsidR="009D2E77" w:rsidRPr="009D3AAC">
              <w:rPr>
                <w:rFonts w:ascii="Times New Roman CYR" w:hAnsi="Times New Roman CYR"/>
                <w:color w:val="000000"/>
                <w:sz w:val="20"/>
                <w:szCs w:val="20"/>
              </w:rPr>
              <w:t> </w:t>
            </w:r>
            <w:r w:rsidRPr="009D3AAC">
              <w:rPr>
                <w:rFonts w:ascii="Times New Roman CYR" w:hAnsi="Times New Roman CYR"/>
                <w:color w:val="000000"/>
                <w:sz w:val="20"/>
                <w:szCs w:val="20"/>
              </w:rPr>
              <w:t>895,1</w:t>
            </w:r>
          </w:p>
        </w:tc>
      </w:tr>
      <w:tr w:rsidR="00BB4C45" w:rsidRPr="00D5746A" w14:paraId="3D7987BF" w14:textId="77777777" w:rsidTr="009D3AAC">
        <w:tc>
          <w:tcPr>
            <w:tcW w:w="2296" w:type="dxa"/>
          </w:tcPr>
          <w:p w14:paraId="3E112C01" w14:textId="77777777" w:rsidR="00BB4C45" w:rsidRPr="00D5746A" w:rsidRDefault="00BB4C45" w:rsidP="00D36538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D5746A">
              <w:rPr>
                <w:rFonts w:ascii="Times New Roman CYR" w:hAnsi="Times New Roman CYR"/>
                <w:color w:val="000000"/>
                <w:sz w:val="24"/>
              </w:rPr>
              <w:t>міський бюджет</w:t>
            </w:r>
          </w:p>
        </w:tc>
        <w:tc>
          <w:tcPr>
            <w:tcW w:w="1134" w:type="dxa"/>
            <w:vAlign w:val="center"/>
          </w:tcPr>
          <w:p w14:paraId="33D1E619" w14:textId="77777777" w:rsidR="00BB4C45" w:rsidRPr="00EA05F3" w:rsidRDefault="00BB4C45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</w:pPr>
            <w:r w:rsidRPr="00EA05F3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107 204,2</w:t>
            </w:r>
          </w:p>
        </w:tc>
        <w:tc>
          <w:tcPr>
            <w:tcW w:w="1134" w:type="dxa"/>
            <w:vAlign w:val="center"/>
          </w:tcPr>
          <w:p w14:paraId="16752EB7" w14:textId="77777777" w:rsidR="00BB4C45" w:rsidRPr="00EA05F3" w:rsidRDefault="00BB4C45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</w:pPr>
            <w:r w:rsidRPr="00EA05F3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162 887,6</w:t>
            </w:r>
          </w:p>
        </w:tc>
        <w:tc>
          <w:tcPr>
            <w:tcW w:w="1134" w:type="dxa"/>
            <w:vAlign w:val="center"/>
          </w:tcPr>
          <w:p w14:paraId="288DEFF5" w14:textId="77777777" w:rsidR="00BB4C45" w:rsidRPr="009D3AAC" w:rsidRDefault="00BB4C45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</w:pPr>
            <w:r w:rsidRPr="009D3AAC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158 130,5</w:t>
            </w:r>
          </w:p>
        </w:tc>
        <w:tc>
          <w:tcPr>
            <w:tcW w:w="1134" w:type="dxa"/>
            <w:vAlign w:val="center"/>
          </w:tcPr>
          <w:p w14:paraId="683B5CCC" w14:textId="11860FC6" w:rsidR="00BB4C45" w:rsidRPr="009D3AAC" w:rsidRDefault="00F84FE3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</w:pPr>
            <w:r w:rsidRPr="009D3AAC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277 926,2</w:t>
            </w:r>
          </w:p>
        </w:tc>
        <w:tc>
          <w:tcPr>
            <w:tcW w:w="1134" w:type="dxa"/>
            <w:vAlign w:val="center"/>
          </w:tcPr>
          <w:p w14:paraId="3D263F75" w14:textId="6DC9A3C6" w:rsidR="00BB4C45" w:rsidRPr="009D3AAC" w:rsidRDefault="007F5B7C" w:rsidP="007F5B7C">
            <w:pPr>
              <w:jc w:val="center"/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238 288</w:t>
            </w:r>
            <w:r w:rsidR="00EF3FC8" w:rsidRPr="009D3AAC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  <w:vAlign w:val="center"/>
          </w:tcPr>
          <w:p w14:paraId="4863F34C" w14:textId="52D117D4" w:rsidR="00BB4C45" w:rsidRPr="009D3AAC" w:rsidRDefault="00175F96" w:rsidP="00175F96">
            <w:pPr>
              <w:jc w:val="center"/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944437</w:t>
            </w:r>
            <w:r w:rsidR="009D3AAC" w:rsidRPr="009D3AAC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2</w:t>
            </w:r>
          </w:p>
        </w:tc>
      </w:tr>
      <w:tr w:rsidR="00BB4C45" w:rsidRPr="00D5746A" w14:paraId="769A17D2" w14:textId="77777777" w:rsidTr="009D3AAC">
        <w:tc>
          <w:tcPr>
            <w:tcW w:w="2296" w:type="dxa"/>
          </w:tcPr>
          <w:p w14:paraId="7A597BC1" w14:textId="77777777" w:rsidR="00BB4C45" w:rsidRPr="00D5746A" w:rsidRDefault="00BB4C45" w:rsidP="00D36538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D5746A">
              <w:rPr>
                <w:rFonts w:ascii="Times New Roman CYR" w:hAnsi="Times New Roman CYR"/>
                <w:color w:val="000000"/>
                <w:sz w:val="24"/>
              </w:rPr>
              <w:t>кошти небюджетних джерел</w:t>
            </w:r>
          </w:p>
        </w:tc>
        <w:tc>
          <w:tcPr>
            <w:tcW w:w="1134" w:type="dxa"/>
            <w:vAlign w:val="center"/>
          </w:tcPr>
          <w:p w14:paraId="55EDA55B" w14:textId="77777777" w:rsidR="00BB4C45" w:rsidRPr="00EA05F3" w:rsidRDefault="00BB4C45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</w:pPr>
            <w:r w:rsidRPr="00EA05F3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3247,5</w:t>
            </w:r>
          </w:p>
        </w:tc>
        <w:tc>
          <w:tcPr>
            <w:tcW w:w="1134" w:type="dxa"/>
            <w:vAlign w:val="center"/>
          </w:tcPr>
          <w:p w14:paraId="18ED72D8" w14:textId="77777777" w:rsidR="00BB4C45" w:rsidRPr="00EA05F3" w:rsidRDefault="00BB4C45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</w:pPr>
            <w:r w:rsidRPr="00EA05F3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402,9</w:t>
            </w:r>
          </w:p>
        </w:tc>
        <w:tc>
          <w:tcPr>
            <w:tcW w:w="1134" w:type="dxa"/>
            <w:vAlign w:val="center"/>
          </w:tcPr>
          <w:p w14:paraId="685B99B0" w14:textId="77777777" w:rsidR="00BB4C45" w:rsidRPr="009D3AAC" w:rsidRDefault="00BB4C45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</w:pPr>
            <w:r w:rsidRPr="009D3AAC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126,5</w:t>
            </w:r>
          </w:p>
        </w:tc>
        <w:tc>
          <w:tcPr>
            <w:tcW w:w="1134" w:type="dxa"/>
            <w:vAlign w:val="center"/>
          </w:tcPr>
          <w:p w14:paraId="1D23F13F" w14:textId="5884167F" w:rsidR="00BB4C45" w:rsidRPr="009D3AAC" w:rsidRDefault="00F84FE3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</w:pPr>
            <w:r w:rsidRPr="009D3AAC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6 822,5</w:t>
            </w:r>
          </w:p>
        </w:tc>
        <w:tc>
          <w:tcPr>
            <w:tcW w:w="1134" w:type="dxa"/>
            <w:vAlign w:val="center"/>
          </w:tcPr>
          <w:p w14:paraId="351536DA" w14:textId="312CCA61" w:rsidR="00BB4C45" w:rsidRPr="009D3AAC" w:rsidRDefault="00A72043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</w:pPr>
            <w:r w:rsidRPr="009D3AAC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500,0</w:t>
            </w:r>
          </w:p>
        </w:tc>
        <w:tc>
          <w:tcPr>
            <w:tcW w:w="1701" w:type="dxa"/>
            <w:vAlign w:val="center"/>
          </w:tcPr>
          <w:p w14:paraId="06EABE7B" w14:textId="20AA595F" w:rsidR="00BB4C45" w:rsidRPr="009D3AAC" w:rsidRDefault="009D3AAC" w:rsidP="00BB003E">
            <w:pPr>
              <w:jc w:val="center"/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</w:pPr>
            <w:r w:rsidRPr="009D3AAC">
              <w:rPr>
                <w:rFonts w:ascii="Times New Roman CYR" w:hAnsi="Times New Roman CYR"/>
                <w:iCs w:val="0"/>
                <w:color w:val="000000"/>
                <w:sz w:val="20"/>
                <w:szCs w:val="20"/>
                <w:lang w:val="uk-UA"/>
              </w:rPr>
              <w:t>11 099,4</w:t>
            </w:r>
          </w:p>
        </w:tc>
      </w:tr>
    </w:tbl>
    <w:p w14:paraId="1090DAC3" w14:textId="03B3A727" w:rsidR="004116C9" w:rsidRDefault="004116C9" w:rsidP="004116C9">
      <w:pPr>
        <w:ind w:firstLine="705"/>
        <w:jc w:val="both"/>
        <w:rPr>
          <w:rFonts w:ascii="Times New Roman CYR" w:hAnsi="Times New Roman CYR"/>
          <w:bCs/>
          <w:iCs w:val="0"/>
          <w:color w:val="000000"/>
          <w:sz w:val="28"/>
          <w:lang w:val="uk-UA"/>
        </w:rPr>
      </w:pPr>
    </w:p>
    <w:p w14:paraId="20252DE7" w14:textId="77777777" w:rsidR="002A018E" w:rsidRPr="003026AF" w:rsidRDefault="004116C9" w:rsidP="002A018E">
      <w:pPr>
        <w:pStyle w:val="1"/>
        <w:spacing w:before="0"/>
        <w:ind w:firstLine="567"/>
        <w:rPr>
          <w:rFonts w:ascii="Times New Roman" w:hAnsi="Times New Roman" w:cs="Times New Roman"/>
          <w:color w:val="auto"/>
          <w:lang w:val="uk-UA"/>
        </w:rPr>
      </w:pPr>
      <w:bookmarkStart w:id="17" w:name="_Toc467428488"/>
      <w:r>
        <w:rPr>
          <w:rFonts w:ascii="Times New Roman" w:eastAsia="Times New Roman" w:hAnsi="Times New Roman" w:cs="Times New Roman"/>
          <w:color w:val="auto"/>
          <w:lang w:val="uk-UA"/>
        </w:rPr>
        <w:t>7</w:t>
      </w:r>
      <w:r w:rsidRPr="003026AF">
        <w:rPr>
          <w:rFonts w:ascii="Times New Roman" w:eastAsia="Times New Roman" w:hAnsi="Times New Roman" w:cs="Times New Roman"/>
          <w:color w:val="auto"/>
          <w:lang w:val="uk-UA"/>
        </w:rPr>
        <w:t xml:space="preserve">. </w:t>
      </w:r>
      <w:r w:rsidR="00E322BF" w:rsidRPr="003026AF">
        <w:rPr>
          <w:rFonts w:ascii="Times New Roman" w:eastAsia="Times New Roman" w:hAnsi="Times New Roman" w:cs="Times New Roman"/>
          <w:color w:val="auto"/>
          <w:lang w:val="uk-UA"/>
        </w:rPr>
        <w:t>СТРОКИ ТА ЕТАПИ ВИКОНАННЯ ПРОГРАМИ</w:t>
      </w:r>
      <w:bookmarkEnd w:id="15"/>
      <w:bookmarkEnd w:id="17"/>
    </w:p>
    <w:p w14:paraId="4D5EC033" w14:textId="464FED77" w:rsidR="002A018E" w:rsidRPr="003026AF" w:rsidRDefault="004116C9" w:rsidP="002A018E">
      <w:pPr>
        <w:pStyle w:val="ab"/>
        <w:widowControl w:val="0"/>
        <w:tabs>
          <w:tab w:val="left" w:pos="0"/>
        </w:tabs>
        <w:autoSpaceDE w:val="0"/>
        <w:autoSpaceDN w:val="0"/>
        <w:ind w:firstLine="709"/>
        <w:rPr>
          <w:rFonts w:ascii="Times New Roman CYR" w:hAnsi="Times New Roman CYR"/>
          <w:color w:val="000000"/>
        </w:rPr>
      </w:pPr>
      <w:r w:rsidRPr="003026AF">
        <w:rPr>
          <w:rFonts w:ascii="Times New Roman CYR" w:hAnsi="Times New Roman CYR"/>
          <w:color w:val="000000"/>
        </w:rPr>
        <w:t xml:space="preserve">Реалізувати програму планується в </w:t>
      </w:r>
      <w:r w:rsidR="00BB4C45" w:rsidRPr="003026AF">
        <w:rPr>
          <w:rFonts w:ascii="Times New Roman CYR" w:hAnsi="Times New Roman CYR"/>
          <w:color w:val="000000"/>
        </w:rPr>
        <w:t>5</w:t>
      </w:r>
      <w:r w:rsidRPr="003026AF">
        <w:rPr>
          <w:rFonts w:ascii="Times New Roman CYR" w:hAnsi="Times New Roman CYR"/>
          <w:color w:val="000000"/>
        </w:rPr>
        <w:t xml:space="preserve"> етап</w:t>
      </w:r>
      <w:r w:rsidR="00BB4C45" w:rsidRPr="003026AF">
        <w:rPr>
          <w:rFonts w:ascii="Times New Roman CYR" w:hAnsi="Times New Roman CYR"/>
          <w:color w:val="000000"/>
        </w:rPr>
        <w:t>ів</w:t>
      </w:r>
      <w:r w:rsidRPr="003026AF">
        <w:rPr>
          <w:rFonts w:ascii="Times New Roman CYR" w:hAnsi="Times New Roman CYR"/>
          <w:color w:val="000000"/>
        </w:rPr>
        <w:t xml:space="preserve"> упродовж 20</w:t>
      </w:r>
      <w:r w:rsidR="00C373ED" w:rsidRPr="003026AF">
        <w:rPr>
          <w:rFonts w:ascii="Times New Roman CYR" w:hAnsi="Times New Roman CYR"/>
          <w:color w:val="000000"/>
        </w:rPr>
        <w:t>21</w:t>
      </w:r>
      <w:r w:rsidRPr="003026AF">
        <w:rPr>
          <w:rFonts w:ascii="Times New Roman CYR" w:hAnsi="Times New Roman CYR"/>
          <w:color w:val="000000"/>
        </w:rPr>
        <w:t>-202</w:t>
      </w:r>
      <w:r w:rsidR="00BB4C45" w:rsidRPr="003026AF">
        <w:rPr>
          <w:rFonts w:ascii="Times New Roman CYR" w:hAnsi="Times New Roman CYR"/>
          <w:color w:val="000000"/>
        </w:rPr>
        <w:t>5</w:t>
      </w:r>
      <w:r w:rsidRPr="003026AF">
        <w:rPr>
          <w:rFonts w:ascii="Times New Roman CYR" w:hAnsi="Times New Roman CYR"/>
          <w:color w:val="000000"/>
        </w:rPr>
        <w:t xml:space="preserve"> років.</w:t>
      </w:r>
    </w:p>
    <w:p w14:paraId="470030BB" w14:textId="77777777" w:rsidR="002A018E" w:rsidRPr="003026AF" w:rsidRDefault="004116C9" w:rsidP="002A018E">
      <w:pPr>
        <w:pStyle w:val="ab"/>
        <w:widowControl w:val="0"/>
        <w:tabs>
          <w:tab w:val="left" w:pos="0"/>
        </w:tabs>
        <w:autoSpaceDE w:val="0"/>
        <w:autoSpaceDN w:val="0"/>
        <w:ind w:firstLine="709"/>
        <w:rPr>
          <w:rFonts w:ascii="Times New Roman CYR" w:hAnsi="Times New Roman CYR"/>
          <w:color w:val="000000"/>
        </w:rPr>
      </w:pPr>
      <w:r w:rsidRPr="003026AF">
        <w:rPr>
          <w:rFonts w:ascii="Times New Roman CYR" w:hAnsi="Times New Roman CYR"/>
          <w:color w:val="000000"/>
        </w:rPr>
        <w:t xml:space="preserve">Тривалість програми обумовлена терміном реалізації інвестиційних </w:t>
      </w:r>
      <w:r w:rsidR="00564C0E" w:rsidRPr="003026AF">
        <w:rPr>
          <w:rFonts w:ascii="Times New Roman CYR" w:hAnsi="Times New Roman CYR"/>
          <w:color w:val="000000"/>
        </w:rPr>
        <w:t xml:space="preserve">проєктів </w:t>
      </w:r>
      <w:r w:rsidRPr="003026AF">
        <w:rPr>
          <w:rFonts w:ascii="Times New Roman CYR" w:hAnsi="Times New Roman CYR"/>
          <w:color w:val="000000"/>
        </w:rPr>
        <w:t>(заходів), що є її складовою та спрямовані на досягнення мети програми.</w:t>
      </w:r>
    </w:p>
    <w:p w14:paraId="6D5A455B" w14:textId="77777777" w:rsidR="008C348C" w:rsidRPr="003026AF" w:rsidRDefault="008C348C" w:rsidP="008C348C">
      <w:pPr>
        <w:pStyle w:val="ab"/>
        <w:widowControl w:val="0"/>
        <w:tabs>
          <w:tab w:val="left" w:pos="0"/>
        </w:tabs>
        <w:autoSpaceDE w:val="0"/>
        <w:autoSpaceDN w:val="0"/>
        <w:ind w:firstLine="0"/>
        <w:jc w:val="center"/>
        <w:rPr>
          <w:b/>
        </w:rPr>
      </w:pPr>
    </w:p>
    <w:p w14:paraId="3B23A294" w14:textId="77777777" w:rsidR="008C348C" w:rsidRPr="003026AF" w:rsidRDefault="00B62EFA" w:rsidP="00DC773A">
      <w:pPr>
        <w:pStyle w:val="1"/>
        <w:spacing w:before="0"/>
        <w:jc w:val="center"/>
      </w:pPr>
      <w:bookmarkStart w:id="18" w:name="_Toc424524486"/>
      <w:bookmarkStart w:id="19" w:name="_Toc467428489"/>
      <w:r w:rsidRPr="003026AF">
        <w:rPr>
          <w:rFonts w:ascii="Times New Roman" w:hAnsi="Times New Roman" w:cs="Times New Roman"/>
          <w:color w:val="auto"/>
          <w:lang w:val="uk-UA"/>
        </w:rPr>
        <w:t>8</w:t>
      </w:r>
      <w:r w:rsidR="008C348C" w:rsidRPr="003026AF">
        <w:rPr>
          <w:rFonts w:ascii="Times New Roman" w:hAnsi="Times New Roman" w:cs="Times New Roman"/>
          <w:color w:val="auto"/>
          <w:lang w:val="uk-UA"/>
        </w:rPr>
        <w:t xml:space="preserve">. </w:t>
      </w:r>
      <w:r w:rsidR="00E322BF" w:rsidRPr="003026AF">
        <w:rPr>
          <w:rFonts w:ascii="Times New Roman" w:eastAsia="Times New Roman" w:hAnsi="Times New Roman" w:cs="Times New Roman"/>
          <w:color w:val="auto"/>
          <w:lang w:val="uk-UA"/>
        </w:rPr>
        <w:t>КООРДИНАЦІЯ ТА КОНТРОЛЬ ЗА ХОДОМ ВИКОНАННЯМ ПРОГРАМИ</w:t>
      </w:r>
      <w:bookmarkEnd w:id="18"/>
      <w:bookmarkEnd w:id="19"/>
    </w:p>
    <w:p w14:paraId="6120DE9B" w14:textId="2E33B27A" w:rsidR="002E0264" w:rsidRPr="003026AF" w:rsidRDefault="002E0264" w:rsidP="003222E5">
      <w:pPr>
        <w:ind w:firstLine="708"/>
        <w:jc w:val="both"/>
        <w:rPr>
          <w:color w:val="000000"/>
          <w:sz w:val="28"/>
          <w:lang w:val="uk-UA"/>
        </w:rPr>
      </w:pPr>
      <w:r w:rsidRPr="003026AF">
        <w:rPr>
          <w:color w:val="000000"/>
          <w:sz w:val="28"/>
          <w:lang w:val="uk-UA"/>
        </w:rPr>
        <w:t>Координацію</w:t>
      </w:r>
      <w:r w:rsidR="003222E5" w:rsidRPr="003026AF">
        <w:rPr>
          <w:color w:val="000000"/>
          <w:sz w:val="28"/>
          <w:lang w:val="uk-UA"/>
        </w:rPr>
        <w:t xml:space="preserve"> </w:t>
      </w:r>
      <w:r w:rsidR="00EE2269" w:rsidRPr="003026AF">
        <w:rPr>
          <w:color w:val="000000"/>
          <w:sz w:val="28"/>
          <w:lang w:val="uk-UA"/>
        </w:rPr>
        <w:t xml:space="preserve">дій виконавців </w:t>
      </w:r>
      <w:r w:rsidR="003222E5" w:rsidRPr="003026AF">
        <w:rPr>
          <w:color w:val="000000"/>
          <w:sz w:val="28"/>
          <w:lang w:val="uk-UA"/>
        </w:rPr>
        <w:t xml:space="preserve">Програми </w:t>
      </w:r>
      <w:r w:rsidR="00EE2269" w:rsidRPr="003026AF">
        <w:rPr>
          <w:color w:val="000000"/>
          <w:sz w:val="28"/>
          <w:lang w:val="uk-UA"/>
        </w:rPr>
        <w:t>здійсню</w:t>
      </w:r>
      <w:r w:rsidR="003222E5" w:rsidRPr="003026AF">
        <w:rPr>
          <w:color w:val="000000"/>
          <w:sz w:val="28"/>
          <w:lang w:val="uk-UA"/>
        </w:rPr>
        <w:t>є департамент економічного розвитку міської ради</w:t>
      </w:r>
      <w:r w:rsidR="00EE2269" w:rsidRPr="003026AF">
        <w:rPr>
          <w:color w:val="000000"/>
          <w:sz w:val="28"/>
          <w:lang w:val="uk-UA"/>
        </w:rPr>
        <w:t xml:space="preserve"> в особі уповноваженої внутрішнім наказом директора департаменту економічного розвитку міської ради особи</w:t>
      </w:r>
      <w:r w:rsidR="00907537" w:rsidRPr="003026AF">
        <w:rPr>
          <w:color w:val="000000"/>
          <w:sz w:val="28"/>
          <w:lang w:val="uk-UA"/>
        </w:rPr>
        <w:t xml:space="preserve"> – координатор</w:t>
      </w:r>
      <w:r w:rsidR="00544667" w:rsidRPr="003026AF">
        <w:rPr>
          <w:color w:val="000000"/>
          <w:sz w:val="28"/>
          <w:lang w:val="uk-UA"/>
        </w:rPr>
        <w:t>а</w:t>
      </w:r>
      <w:r w:rsidR="00907537" w:rsidRPr="003026AF">
        <w:rPr>
          <w:color w:val="000000"/>
          <w:sz w:val="28"/>
          <w:lang w:val="uk-UA"/>
        </w:rPr>
        <w:t xml:space="preserve"> Програми.</w:t>
      </w:r>
      <w:r w:rsidR="003222E5" w:rsidRPr="003026AF">
        <w:rPr>
          <w:color w:val="000000"/>
          <w:sz w:val="28"/>
          <w:lang w:val="uk-UA"/>
        </w:rPr>
        <w:t xml:space="preserve"> </w:t>
      </w:r>
      <w:r w:rsidR="00987431" w:rsidRPr="003026AF">
        <w:rPr>
          <w:color w:val="000000"/>
          <w:sz w:val="28"/>
          <w:lang w:val="uk-UA"/>
        </w:rPr>
        <w:t xml:space="preserve">Питання реалізації заходів Програми виноситимуться на розгляд </w:t>
      </w:r>
      <w:r w:rsidR="00C373ED" w:rsidRPr="003026AF">
        <w:rPr>
          <w:color w:val="000000"/>
          <w:sz w:val="28"/>
          <w:lang w:val="uk-UA"/>
        </w:rPr>
        <w:t>засідань</w:t>
      </w:r>
      <w:r w:rsidR="00BB3955" w:rsidRPr="003026AF">
        <w:rPr>
          <w:color w:val="000000"/>
          <w:sz w:val="28"/>
          <w:lang w:val="uk-UA"/>
        </w:rPr>
        <w:t xml:space="preserve"> р</w:t>
      </w:r>
      <w:r w:rsidR="00987431" w:rsidRPr="003026AF">
        <w:rPr>
          <w:color w:val="000000"/>
          <w:sz w:val="28"/>
          <w:lang w:val="uk-UA"/>
        </w:rPr>
        <w:t xml:space="preserve">обочої групи </w:t>
      </w:r>
      <w:r w:rsidR="00C373ED" w:rsidRPr="003026AF">
        <w:rPr>
          <w:color w:val="000000"/>
          <w:sz w:val="28"/>
          <w:lang w:val="uk-UA"/>
        </w:rPr>
        <w:t xml:space="preserve">з </w:t>
      </w:r>
      <w:r w:rsidR="00DC773A" w:rsidRPr="003026AF">
        <w:rPr>
          <w:sz w:val="28"/>
          <w:lang w:val="uk-UA"/>
        </w:rPr>
        <w:t>впровадження Європейської енергетичної відзнаки та реалізації місцевої енергетичної та кліматичної політики</w:t>
      </w:r>
      <w:r w:rsidR="00987431" w:rsidRPr="003026AF">
        <w:rPr>
          <w:color w:val="000000"/>
          <w:sz w:val="28"/>
          <w:lang w:val="uk-UA"/>
        </w:rPr>
        <w:t>.</w:t>
      </w:r>
    </w:p>
    <w:p w14:paraId="4508CE27" w14:textId="45500448" w:rsidR="003222E5" w:rsidRPr="003026AF" w:rsidRDefault="003222E5" w:rsidP="003222E5">
      <w:pPr>
        <w:ind w:firstLine="708"/>
        <w:jc w:val="both"/>
        <w:rPr>
          <w:color w:val="000000"/>
          <w:sz w:val="28"/>
          <w:lang w:val="uk-UA"/>
        </w:rPr>
      </w:pPr>
      <w:r w:rsidRPr="003026AF">
        <w:rPr>
          <w:color w:val="000000"/>
          <w:sz w:val="28"/>
          <w:lang w:val="uk-UA"/>
        </w:rPr>
        <w:t xml:space="preserve">Виконавцями Програми визначені виконавчі органи </w:t>
      </w:r>
      <w:r w:rsidR="00544667" w:rsidRPr="003026AF">
        <w:rPr>
          <w:color w:val="000000"/>
          <w:sz w:val="28"/>
          <w:lang w:val="uk-UA"/>
        </w:rPr>
        <w:t xml:space="preserve">Житомирської </w:t>
      </w:r>
      <w:r w:rsidRPr="003026AF">
        <w:rPr>
          <w:color w:val="000000"/>
          <w:sz w:val="28"/>
          <w:lang w:val="uk-UA"/>
        </w:rPr>
        <w:t>міської ради, комунальні підприємства Житомирської міської ради, комунальні та бюджетні установи</w:t>
      </w:r>
      <w:r w:rsidR="00877B04" w:rsidRPr="003026AF">
        <w:rPr>
          <w:color w:val="000000"/>
          <w:sz w:val="28"/>
          <w:lang w:val="uk-UA"/>
        </w:rPr>
        <w:t>, а також інші організації</w:t>
      </w:r>
      <w:r w:rsidRPr="003026AF">
        <w:rPr>
          <w:color w:val="000000"/>
          <w:sz w:val="28"/>
          <w:lang w:val="uk-UA"/>
        </w:rPr>
        <w:t>.</w:t>
      </w:r>
    </w:p>
    <w:p w14:paraId="7DD992F1" w14:textId="77777777" w:rsidR="00907537" w:rsidRPr="003026AF" w:rsidRDefault="00907537" w:rsidP="003222E5">
      <w:pPr>
        <w:ind w:firstLine="708"/>
        <w:jc w:val="both"/>
        <w:rPr>
          <w:color w:val="000000"/>
          <w:sz w:val="28"/>
          <w:lang w:val="uk-UA"/>
        </w:rPr>
      </w:pPr>
      <w:r w:rsidRPr="003026AF">
        <w:rPr>
          <w:color w:val="000000"/>
          <w:sz w:val="28"/>
          <w:lang w:val="uk-UA"/>
        </w:rPr>
        <w:t xml:space="preserve">Про зміни, які виникають в процесі виконання заходів Програми відповідний виконавець повідомляє координатора. Якщо такі зміни </w:t>
      </w:r>
      <w:r w:rsidR="007A459E" w:rsidRPr="003026AF">
        <w:rPr>
          <w:color w:val="000000"/>
          <w:sz w:val="28"/>
          <w:lang w:val="uk-UA"/>
        </w:rPr>
        <w:t xml:space="preserve">не відповідають цілям початкового завдання, тоді виконавець надає письмове обгрунтування внесення таких змін до заходу. </w:t>
      </w:r>
    </w:p>
    <w:p w14:paraId="1EE73385" w14:textId="77777777" w:rsidR="00EE2269" w:rsidRPr="003026AF" w:rsidRDefault="00EE2269" w:rsidP="003222E5">
      <w:pPr>
        <w:pStyle w:val="af0"/>
        <w:spacing w:before="0" w:beforeAutospacing="0" w:after="0" w:afterAutospacing="0"/>
        <w:ind w:firstLine="720"/>
        <w:jc w:val="both"/>
        <w:rPr>
          <w:color w:val="000000"/>
          <w:sz w:val="28"/>
          <w:lang w:val="uk-UA"/>
        </w:rPr>
      </w:pPr>
      <w:r w:rsidRPr="003026AF">
        <w:rPr>
          <w:color w:val="000000"/>
          <w:sz w:val="28"/>
          <w:lang w:val="uk-UA"/>
        </w:rPr>
        <w:lastRenderedPageBreak/>
        <w:t xml:space="preserve">З метою належного контролю за реалізацією заходів Програми координатор може ініціювати проведення виїзних перевірок, </w:t>
      </w:r>
      <w:r w:rsidR="00907537" w:rsidRPr="003026AF">
        <w:rPr>
          <w:color w:val="000000"/>
          <w:sz w:val="28"/>
          <w:lang w:val="uk-UA"/>
        </w:rPr>
        <w:t xml:space="preserve">нарад тощо, </w:t>
      </w:r>
      <w:r w:rsidRPr="003026AF">
        <w:rPr>
          <w:color w:val="000000"/>
          <w:sz w:val="28"/>
          <w:lang w:val="uk-UA"/>
        </w:rPr>
        <w:t xml:space="preserve">в чому числі із залученням сторонньої експертної допомоги. </w:t>
      </w:r>
    </w:p>
    <w:p w14:paraId="26B0347C" w14:textId="77777777" w:rsidR="003222E5" w:rsidRPr="003026AF" w:rsidRDefault="003222E5" w:rsidP="003222E5">
      <w:pPr>
        <w:pStyle w:val="af0"/>
        <w:spacing w:before="0" w:beforeAutospacing="0" w:after="0" w:afterAutospacing="0"/>
        <w:ind w:firstLine="720"/>
        <w:jc w:val="both"/>
        <w:rPr>
          <w:color w:val="000000"/>
          <w:sz w:val="28"/>
          <w:lang w:val="uk-UA"/>
        </w:rPr>
      </w:pPr>
      <w:r w:rsidRPr="003026AF">
        <w:rPr>
          <w:color w:val="000000"/>
          <w:sz w:val="28"/>
          <w:lang w:val="uk-UA"/>
        </w:rPr>
        <w:t>Виконавці Програми щоквартально</w:t>
      </w:r>
      <w:r w:rsidR="0065278F" w:rsidRPr="003026AF">
        <w:rPr>
          <w:color w:val="000000"/>
          <w:sz w:val="28"/>
          <w:lang w:val="uk-UA"/>
        </w:rPr>
        <w:t xml:space="preserve">, упродовж </w:t>
      </w:r>
      <w:r w:rsidR="00877B04" w:rsidRPr="003026AF">
        <w:rPr>
          <w:color w:val="000000"/>
          <w:sz w:val="28"/>
          <w:lang w:val="uk-UA"/>
        </w:rPr>
        <w:t>1</w:t>
      </w:r>
      <w:r w:rsidR="0065278F" w:rsidRPr="003026AF">
        <w:rPr>
          <w:color w:val="000000"/>
          <w:sz w:val="28"/>
          <w:lang w:val="uk-UA"/>
        </w:rPr>
        <w:t>0 календарних днів</w:t>
      </w:r>
      <w:r w:rsidRPr="003026AF">
        <w:rPr>
          <w:color w:val="000000"/>
          <w:sz w:val="28"/>
          <w:lang w:val="uk-UA"/>
        </w:rPr>
        <w:t xml:space="preserve"> </w:t>
      </w:r>
      <w:r w:rsidR="0065278F" w:rsidRPr="003026AF">
        <w:rPr>
          <w:color w:val="000000"/>
          <w:sz w:val="28"/>
          <w:lang w:val="uk-UA"/>
        </w:rPr>
        <w:t xml:space="preserve">після закінчення звітного періоду, </w:t>
      </w:r>
      <w:r w:rsidRPr="003026AF">
        <w:rPr>
          <w:color w:val="000000"/>
          <w:sz w:val="28"/>
          <w:lang w:val="uk-UA"/>
        </w:rPr>
        <w:t xml:space="preserve">надають департаменту економічного розвитку міської ради інформацію про виконання </w:t>
      </w:r>
      <w:r w:rsidR="0065278F" w:rsidRPr="003026AF">
        <w:rPr>
          <w:color w:val="000000"/>
          <w:sz w:val="28"/>
          <w:lang w:val="uk-UA"/>
        </w:rPr>
        <w:t>відповідних</w:t>
      </w:r>
      <w:r w:rsidRPr="003026AF">
        <w:rPr>
          <w:color w:val="000000"/>
          <w:sz w:val="28"/>
          <w:lang w:val="uk-UA"/>
        </w:rPr>
        <w:t xml:space="preserve"> заходів. За результат</w:t>
      </w:r>
      <w:r w:rsidR="00F42BF4" w:rsidRPr="003026AF">
        <w:rPr>
          <w:color w:val="000000"/>
          <w:sz w:val="28"/>
          <w:lang w:val="uk-UA"/>
        </w:rPr>
        <w:t>ами</w:t>
      </w:r>
      <w:r w:rsidRPr="003026AF">
        <w:rPr>
          <w:color w:val="000000"/>
          <w:sz w:val="28"/>
          <w:lang w:val="uk-UA"/>
        </w:rPr>
        <w:t xml:space="preserve"> аналізу отриманої інформації </w:t>
      </w:r>
      <w:r w:rsidR="0065278F" w:rsidRPr="003026AF">
        <w:rPr>
          <w:color w:val="000000"/>
          <w:sz w:val="28"/>
          <w:lang w:val="uk-UA"/>
        </w:rPr>
        <w:t>департамент економічного розвитку міської ради здійснює</w:t>
      </w:r>
      <w:r w:rsidRPr="003026AF">
        <w:rPr>
          <w:color w:val="000000"/>
          <w:sz w:val="28"/>
          <w:lang w:val="uk-UA"/>
        </w:rPr>
        <w:t xml:space="preserve"> її узагальнення та моніторинг виконання.</w:t>
      </w:r>
    </w:p>
    <w:p w14:paraId="50DA313E" w14:textId="77777777" w:rsidR="00496D9D" w:rsidRPr="003026AF" w:rsidRDefault="003222E5" w:rsidP="003222E5">
      <w:pPr>
        <w:ind w:firstLine="720"/>
        <w:jc w:val="both"/>
        <w:rPr>
          <w:color w:val="000000"/>
          <w:sz w:val="28"/>
          <w:lang w:val="uk-UA"/>
        </w:rPr>
      </w:pPr>
      <w:r w:rsidRPr="003026AF">
        <w:rPr>
          <w:color w:val="000000"/>
          <w:sz w:val="28"/>
          <w:lang w:val="uk-UA"/>
        </w:rPr>
        <w:t xml:space="preserve">Департамент економічного розвитку міської ради </w:t>
      </w:r>
      <w:r w:rsidR="0065278F" w:rsidRPr="003026AF">
        <w:rPr>
          <w:color w:val="000000"/>
          <w:sz w:val="28"/>
          <w:lang w:val="uk-UA"/>
        </w:rPr>
        <w:t xml:space="preserve">упродовж </w:t>
      </w:r>
      <w:r w:rsidR="00877B04" w:rsidRPr="003026AF">
        <w:rPr>
          <w:color w:val="000000"/>
          <w:sz w:val="28"/>
          <w:lang w:val="uk-UA"/>
        </w:rPr>
        <w:t>15</w:t>
      </w:r>
      <w:r w:rsidR="0065278F" w:rsidRPr="003026AF">
        <w:rPr>
          <w:color w:val="000000"/>
          <w:sz w:val="28"/>
          <w:lang w:val="uk-UA"/>
        </w:rPr>
        <w:t xml:space="preserve"> календарних днів після закінчення звітного періоду,</w:t>
      </w:r>
      <w:r w:rsidRPr="003026AF">
        <w:rPr>
          <w:color w:val="000000"/>
          <w:sz w:val="28"/>
          <w:lang w:val="uk-UA"/>
        </w:rPr>
        <w:t xml:space="preserve"> здійснює оцінку результа</w:t>
      </w:r>
      <w:r w:rsidR="0065278F" w:rsidRPr="003026AF">
        <w:rPr>
          <w:color w:val="000000"/>
          <w:sz w:val="28"/>
          <w:lang w:val="uk-UA"/>
        </w:rPr>
        <w:t>тів виконання заходів Програми та публікує зведену інформацію про хід виконання заходів та досягнуті результати на сайті міської ради.</w:t>
      </w:r>
    </w:p>
    <w:p w14:paraId="5D9FFA34" w14:textId="77777777" w:rsidR="003222E5" w:rsidRPr="003026AF" w:rsidRDefault="003222E5" w:rsidP="003222E5">
      <w:pPr>
        <w:ind w:firstLine="720"/>
        <w:jc w:val="both"/>
        <w:rPr>
          <w:color w:val="000000"/>
          <w:sz w:val="28"/>
          <w:lang w:val="uk-UA"/>
        </w:rPr>
      </w:pPr>
      <w:r w:rsidRPr="003026AF">
        <w:rPr>
          <w:color w:val="000000"/>
          <w:sz w:val="28"/>
          <w:lang w:val="uk-UA"/>
        </w:rPr>
        <w:t xml:space="preserve">Після закінчення строку реалізації </w:t>
      </w:r>
      <w:bookmarkStart w:id="20" w:name="_GoBack"/>
      <w:bookmarkEnd w:id="20"/>
      <w:r w:rsidRPr="003026AF">
        <w:rPr>
          <w:color w:val="000000"/>
          <w:sz w:val="28"/>
          <w:lang w:val="uk-UA"/>
        </w:rPr>
        <w:t>Програми департамент економічного розвитку міської ради готує підсумковий звіт про її виконання</w:t>
      </w:r>
      <w:r w:rsidR="0065278F" w:rsidRPr="003026AF">
        <w:rPr>
          <w:color w:val="000000"/>
          <w:sz w:val="28"/>
          <w:lang w:val="uk-UA"/>
        </w:rPr>
        <w:t xml:space="preserve"> та публікує на сайті міської ради</w:t>
      </w:r>
      <w:r w:rsidRPr="003026AF">
        <w:rPr>
          <w:color w:val="000000"/>
          <w:sz w:val="28"/>
          <w:lang w:val="uk-UA"/>
        </w:rPr>
        <w:t>.</w:t>
      </w:r>
    </w:p>
    <w:p w14:paraId="5D4E7F32" w14:textId="6815521B" w:rsidR="0066431E" w:rsidRDefault="003222E5" w:rsidP="00564C0E">
      <w:pPr>
        <w:ind w:firstLine="720"/>
        <w:jc w:val="both"/>
        <w:rPr>
          <w:color w:val="000000"/>
          <w:sz w:val="28"/>
          <w:lang w:val="uk-UA"/>
        </w:rPr>
      </w:pPr>
      <w:r w:rsidRPr="003026AF">
        <w:rPr>
          <w:color w:val="000000"/>
          <w:sz w:val="28"/>
          <w:lang w:val="uk-UA"/>
        </w:rPr>
        <w:t>Основні напрями і заходи програми можуть коригуватися в період її дії з урахуванням соціально</w:t>
      </w:r>
      <w:r w:rsidR="00496D9D" w:rsidRPr="003026AF">
        <w:rPr>
          <w:color w:val="000000"/>
          <w:sz w:val="28"/>
          <w:lang w:val="uk-UA"/>
        </w:rPr>
        <w:t>-</w:t>
      </w:r>
      <w:r w:rsidRPr="003026AF">
        <w:rPr>
          <w:color w:val="000000"/>
          <w:sz w:val="28"/>
          <w:lang w:val="uk-UA"/>
        </w:rPr>
        <w:t xml:space="preserve">економічної ситуації в </w:t>
      </w:r>
      <w:r w:rsidR="003F007E" w:rsidRPr="003026AF">
        <w:rPr>
          <w:color w:val="000000"/>
          <w:sz w:val="28"/>
          <w:lang w:val="uk-UA"/>
        </w:rPr>
        <w:t>громаді</w:t>
      </w:r>
      <w:r w:rsidRPr="003026AF">
        <w:rPr>
          <w:color w:val="000000"/>
          <w:sz w:val="28"/>
          <w:lang w:val="uk-UA"/>
        </w:rPr>
        <w:t>.</w:t>
      </w:r>
    </w:p>
    <w:p w14:paraId="6A481031" w14:textId="77777777" w:rsidR="00302140" w:rsidRDefault="00302140" w:rsidP="00564C0E">
      <w:pPr>
        <w:ind w:firstLine="720"/>
        <w:jc w:val="both"/>
        <w:rPr>
          <w:color w:val="000000"/>
          <w:sz w:val="28"/>
          <w:lang w:val="uk-UA"/>
        </w:rPr>
      </w:pPr>
    </w:p>
    <w:p w14:paraId="6CA98F93" w14:textId="77777777" w:rsidR="00302140" w:rsidRDefault="00302140" w:rsidP="00564C0E">
      <w:pPr>
        <w:ind w:firstLine="720"/>
        <w:jc w:val="both"/>
        <w:rPr>
          <w:color w:val="000000"/>
          <w:sz w:val="28"/>
          <w:lang w:val="uk-UA"/>
        </w:rPr>
      </w:pPr>
    </w:p>
    <w:tbl>
      <w:tblPr>
        <w:tblStyle w:val="af1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786"/>
      </w:tblGrid>
      <w:tr w:rsidR="00244C59" w:rsidRPr="00952462" w14:paraId="23F915E6" w14:textId="77777777" w:rsidTr="00F8446E">
        <w:tc>
          <w:tcPr>
            <w:tcW w:w="5103" w:type="dxa"/>
          </w:tcPr>
          <w:p w14:paraId="47285AA2" w14:textId="77777777" w:rsidR="00244C59" w:rsidRPr="00952462" w:rsidRDefault="00244C59" w:rsidP="00F8446E">
            <w:pPr>
              <w:rPr>
                <w:sz w:val="28"/>
                <w:lang w:val="uk-UA"/>
              </w:rPr>
            </w:pPr>
            <w:r w:rsidRPr="00952462">
              <w:rPr>
                <w:sz w:val="28"/>
                <w:lang w:val="uk-UA"/>
              </w:rPr>
              <w:t>Директор департаменту економічного</w:t>
            </w:r>
          </w:p>
          <w:p w14:paraId="7229DF47" w14:textId="77777777" w:rsidR="00244C59" w:rsidRDefault="00244C59" w:rsidP="00F8446E">
            <w:pPr>
              <w:rPr>
                <w:sz w:val="28"/>
                <w:lang w:val="uk-UA"/>
              </w:rPr>
            </w:pPr>
            <w:r w:rsidRPr="00952462">
              <w:rPr>
                <w:sz w:val="28"/>
                <w:lang w:val="uk-UA"/>
              </w:rPr>
              <w:t>розвитку міської ради</w:t>
            </w:r>
          </w:p>
          <w:p w14:paraId="4B678C3F" w14:textId="77777777" w:rsidR="00244C59" w:rsidRDefault="00244C59" w:rsidP="00F8446E">
            <w:pPr>
              <w:rPr>
                <w:sz w:val="28"/>
                <w:lang w:val="uk-UA"/>
              </w:rPr>
            </w:pPr>
          </w:p>
          <w:p w14:paraId="25C9CBF5" w14:textId="77777777" w:rsidR="00244C59" w:rsidRDefault="00244C59" w:rsidP="00F8446E">
            <w:pPr>
              <w:rPr>
                <w:sz w:val="28"/>
                <w:lang w:val="uk-UA"/>
              </w:rPr>
            </w:pPr>
          </w:p>
          <w:p w14:paraId="5E7C24A0" w14:textId="77777777" w:rsidR="00244C59" w:rsidRPr="00952462" w:rsidRDefault="00244C59" w:rsidP="00F8446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Секретар міської ради                                                           </w:t>
            </w:r>
          </w:p>
        </w:tc>
        <w:tc>
          <w:tcPr>
            <w:tcW w:w="4786" w:type="dxa"/>
          </w:tcPr>
          <w:p w14:paraId="5B9602DD" w14:textId="77777777" w:rsidR="00244C59" w:rsidRPr="00952462" w:rsidRDefault="00244C59" w:rsidP="00F8446E">
            <w:pPr>
              <w:jc w:val="right"/>
              <w:rPr>
                <w:sz w:val="28"/>
                <w:lang w:val="uk-UA"/>
              </w:rPr>
            </w:pPr>
          </w:p>
          <w:p w14:paraId="24F8B1FA" w14:textId="77777777" w:rsidR="00244C59" w:rsidRDefault="00244C59" w:rsidP="00F8446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</w:t>
            </w:r>
            <w:r w:rsidRPr="00952462">
              <w:rPr>
                <w:sz w:val="28"/>
                <w:lang w:val="uk-UA"/>
              </w:rPr>
              <w:t>Вікторія СИЧОВА</w:t>
            </w:r>
          </w:p>
          <w:p w14:paraId="73D0878D" w14:textId="77777777" w:rsidR="00244C59" w:rsidRDefault="00244C59" w:rsidP="00F8446E">
            <w:pPr>
              <w:jc w:val="right"/>
              <w:rPr>
                <w:sz w:val="28"/>
                <w:lang w:val="uk-UA"/>
              </w:rPr>
            </w:pPr>
          </w:p>
          <w:p w14:paraId="49A240B5" w14:textId="77777777" w:rsidR="00244C59" w:rsidRDefault="00244C59" w:rsidP="00F8446E">
            <w:pPr>
              <w:jc w:val="right"/>
              <w:rPr>
                <w:sz w:val="28"/>
                <w:lang w:val="uk-UA"/>
              </w:rPr>
            </w:pPr>
          </w:p>
          <w:p w14:paraId="21ED3438" w14:textId="77777777" w:rsidR="00244C59" w:rsidRPr="00952462" w:rsidRDefault="00244C59" w:rsidP="00F8446E">
            <w:pPr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Галина ШИМАНСЬКА</w:t>
            </w:r>
          </w:p>
        </w:tc>
      </w:tr>
    </w:tbl>
    <w:p w14:paraId="3FF5E7A6" w14:textId="77777777" w:rsidR="00302140" w:rsidRPr="00564C0E" w:rsidRDefault="00302140" w:rsidP="00564C0E">
      <w:pPr>
        <w:ind w:firstLine="720"/>
        <w:jc w:val="both"/>
        <w:rPr>
          <w:color w:val="000000"/>
          <w:sz w:val="28"/>
          <w:lang w:val="uk-UA"/>
        </w:rPr>
      </w:pPr>
    </w:p>
    <w:sectPr w:rsidR="00302140" w:rsidRPr="00564C0E" w:rsidSect="00102328">
      <w:headerReference w:type="default" r:id="rId16"/>
      <w:footerReference w:type="default" r:id="rId17"/>
      <w:headerReference w:type="first" r:id="rId18"/>
      <w:pgSz w:w="11906" w:h="16838"/>
      <w:pgMar w:top="1134" w:right="850" w:bottom="851" w:left="1701" w:header="708" w:footer="273" w:gutter="0"/>
      <w:pgNumType w:start="2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55AE939" w16cex:dateUtc="2024-10-20T19:12:00Z"/>
  <w16cex:commentExtensible w16cex:durableId="14CD9F7A" w16cex:dateUtc="2024-10-20T19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02D2619" w16cid:durableId="155AE939"/>
  <w16cid:commentId w16cid:paraId="567BA30D" w16cid:durableId="14CD9F7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76D38C" w14:textId="77777777" w:rsidR="000D40BF" w:rsidRDefault="000D40BF" w:rsidP="00F13C4D">
      <w:r>
        <w:separator/>
      </w:r>
    </w:p>
  </w:endnote>
  <w:endnote w:type="continuationSeparator" w:id="0">
    <w:p w14:paraId="77520D49" w14:textId="77777777" w:rsidR="000D40BF" w:rsidRDefault="000D40BF" w:rsidP="00F1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DFA6A" w14:textId="77777777" w:rsidR="00FC54A2" w:rsidRDefault="00FC54A2">
    <w:pPr>
      <w:pStyle w:val="a5"/>
      <w:jc w:val="center"/>
    </w:pPr>
  </w:p>
  <w:p w14:paraId="4C6C71F3" w14:textId="77777777" w:rsidR="00FC54A2" w:rsidRDefault="00FC54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2335F9" w14:textId="77777777" w:rsidR="000D40BF" w:rsidRDefault="000D40BF" w:rsidP="00F13C4D">
      <w:r>
        <w:separator/>
      </w:r>
    </w:p>
  </w:footnote>
  <w:footnote w:type="continuationSeparator" w:id="0">
    <w:p w14:paraId="6517BC0E" w14:textId="77777777" w:rsidR="000D40BF" w:rsidRDefault="000D40BF" w:rsidP="00F1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</w:rPr>
      <w:id w:val="89648063"/>
      <w:docPartObj>
        <w:docPartGallery w:val="Page Numbers (Top of Page)"/>
        <w:docPartUnique/>
      </w:docPartObj>
    </w:sdtPr>
    <w:sdtEndPr/>
    <w:sdtContent>
      <w:p w14:paraId="2FF1F62F" w14:textId="77777777" w:rsidR="00B11A29" w:rsidRPr="002B56AB" w:rsidRDefault="002A018E">
        <w:pPr>
          <w:pStyle w:val="a3"/>
          <w:jc w:val="center"/>
          <w:rPr>
            <w:sz w:val="28"/>
            <w:lang w:val="uk-UA"/>
          </w:rPr>
        </w:pPr>
        <w:r w:rsidRPr="002A018E">
          <w:rPr>
            <w:sz w:val="28"/>
          </w:rPr>
          <w:fldChar w:fldCharType="begin"/>
        </w:r>
        <w:r w:rsidRPr="002A018E">
          <w:rPr>
            <w:sz w:val="28"/>
          </w:rPr>
          <w:instrText xml:space="preserve"> PAGE   \* MERGEFORMAT </w:instrText>
        </w:r>
        <w:r w:rsidRPr="002A018E">
          <w:rPr>
            <w:sz w:val="28"/>
          </w:rPr>
          <w:fldChar w:fldCharType="separate"/>
        </w:r>
        <w:r w:rsidR="0089780F">
          <w:rPr>
            <w:noProof/>
            <w:sz w:val="28"/>
          </w:rPr>
          <w:t>15</w:t>
        </w:r>
        <w:r w:rsidRPr="002A018E">
          <w:rPr>
            <w:sz w:val="28"/>
          </w:rPr>
          <w:fldChar w:fldCharType="end"/>
        </w:r>
        <w:r w:rsidRPr="002A018E">
          <w:rPr>
            <w:sz w:val="28"/>
            <w:lang w:val="uk-UA"/>
          </w:rPr>
          <w:t xml:space="preserve"> </w:t>
        </w:r>
      </w:p>
      <w:p w14:paraId="707E45D5" w14:textId="77777777" w:rsidR="006564AF" w:rsidRDefault="002A018E">
        <w:pPr>
          <w:pStyle w:val="a3"/>
          <w:jc w:val="right"/>
          <w:rPr>
            <w:sz w:val="28"/>
          </w:rPr>
        </w:pPr>
        <w:r w:rsidRPr="002A018E">
          <w:rPr>
            <w:sz w:val="28"/>
            <w:lang w:val="uk-UA"/>
          </w:rPr>
          <w:t>Продовження додатка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648064"/>
      <w:docPartObj>
        <w:docPartGallery w:val="Page Numbers (Top of Page)"/>
        <w:docPartUnique/>
      </w:docPartObj>
    </w:sdtPr>
    <w:sdtEndPr/>
    <w:sdtContent>
      <w:p w14:paraId="2B504131" w14:textId="77777777" w:rsidR="00612164" w:rsidRDefault="002A018E">
        <w:pPr>
          <w:pStyle w:val="a3"/>
          <w:jc w:val="center"/>
        </w:pPr>
        <w:r>
          <w:fldChar w:fldCharType="begin"/>
        </w:r>
        <w:r w:rsidR="00612164">
          <w:instrText xml:space="preserve"> PAGE   \* MERGEFORMAT </w:instrText>
        </w:r>
        <w:r>
          <w:fldChar w:fldCharType="separate"/>
        </w:r>
        <w:r w:rsidR="0089780F">
          <w:rPr>
            <w:noProof/>
          </w:rPr>
          <w:t>2</w:t>
        </w:r>
        <w:r>
          <w:fldChar w:fldCharType="end"/>
        </w:r>
      </w:p>
    </w:sdtContent>
  </w:sdt>
  <w:p w14:paraId="0F6035E3" w14:textId="77777777" w:rsidR="00CA392C" w:rsidRDefault="00CA392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B947CF8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2" w15:restartNumberingAfterBreak="0">
    <w:nsid w:val="023E323F"/>
    <w:multiLevelType w:val="hybridMultilevel"/>
    <w:tmpl w:val="DA9C478A"/>
    <w:lvl w:ilvl="0" w:tplc="9FA28200">
      <w:numFmt w:val="bullet"/>
      <w:lvlText w:val="-"/>
      <w:lvlJc w:val="left"/>
      <w:pPr>
        <w:ind w:left="927" w:hanging="360"/>
      </w:pPr>
      <w:rPr>
        <w:rFonts w:ascii="Liberation Serif" w:eastAsia="NSimSun" w:hAnsi="Liberation Serif" w:cs="Arial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03B675C"/>
    <w:multiLevelType w:val="hybridMultilevel"/>
    <w:tmpl w:val="81786796"/>
    <w:lvl w:ilvl="0" w:tplc="64A81E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D71863"/>
    <w:multiLevelType w:val="hybridMultilevel"/>
    <w:tmpl w:val="3DDA6180"/>
    <w:lvl w:ilvl="0" w:tplc="700AC97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D6931"/>
    <w:multiLevelType w:val="hybridMultilevel"/>
    <w:tmpl w:val="38E03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E0A15"/>
    <w:multiLevelType w:val="hybridMultilevel"/>
    <w:tmpl w:val="65AAAE7C"/>
    <w:lvl w:ilvl="0" w:tplc="49CA57A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4F3D41"/>
    <w:multiLevelType w:val="hybridMultilevel"/>
    <w:tmpl w:val="38E03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0180D"/>
    <w:multiLevelType w:val="hybridMultilevel"/>
    <w:tmpl w:val="CCF45A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49301D"/>
    <w:multiLevelType w:val="hybridMultilevel"/>
    <w:tmpl w:val="1846AA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C443A03"/>
    <w:multiLevelType w:val="hybridMultilevel"/>
    <w:tmpl w:val="C7AA6112"/>
    <w:lvl w:ilvl="0" w:tplc="D54ED27E">
      <w:start w:val="1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2D3581C"/>
    <w:multiLevelType w:val="multilevel"/>
    <w:tmpl w:val="F51E0776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1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2" w15:restartNumberingAfterBreak="0">
    <w:nsid w:val="431E189A"/>
    <w:multiLevelType w:val="multilevel"/>
    <w:tmpl w:val="06EE2B9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  <w:b/>
        <w:sz w:val="27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3" w15:restartNumberingAfterBreak="0">
    <w:nsid w:val="53245BE0"/>
    <w:multiLevelType w:val="hybridMultilevel"/>
    <w:tmpl w:val="73A8514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DB476B"/>
    <w:multiLevelType w:val="hybridMultilevel"/>
    <w:tmpl w:val="EC0C41FE"/>
    <w:lvl w:ilvl="0" w:tplc="8DD0C5CE">
      <w:start w:val="7"/>
      <w:numFmt w:val="bullet"/>
      <w:lvlText w:val="-"/>
      <w:lvlJc w:val="left"/>
      <w:pPr>
        <w:ind w:left="1065" w:hanging="360"/>
      </w:pPr>
      <w:rPr>
        <w:rFonts w:ascii="Times New Roman CYR" w:eastAsia="Times New Roman" w:hAnsi="Times New Roman CYR" w:cs="Times New Roman CYR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6CC47C9F"/>
    <w:multiLevelType w:val="hybridMultilevel"/>
    <w:tmpl w:val="568C8A0E"/>
    <w:lvl w:ilvl="0" w:tplc="04190013">
      <w:start w:val="1"/>
      <w:numFmt w:val="upperRoman"/>
      <w:lvlText w:val="%1."/>
      <w:lvlJc w:val="righ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700A00D5"/>
    <w:multiLevelType w:val="hybridMultilevel"/>
    <w:tmpl w:val="D5826CF4"/>
    <w:lvl w:ilvl="0" w:tplc="AD9818A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1F22E7C"/>
    <w:multiLevelType w:val="hybridMultilevel"/>
    <w:tmpl w:val="44024E8E"/>
    <w:lvl w:ilvl="0" w:tplc="201418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500886"/>
    <w:multiLevelType w:val="singleLevel"/>
    <w:tmpl w:val="3B2C6A9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7"/>
  </w:num>
  <w:num w:numId="5">
    <w:abstractNumId w:val="13"/>
  </w:num>
  <w:num w:numId="6">
    <w:abstractNumId w:val="6"/>
  </w:num>
  <w:num w:numId="7">
    <w:abstractNumId w:val="5"/>
  </w:num>
  <w:num w:numId="8">
    <w:abstractNumId w:val="16"/>
  </w:num>
  <w:num w:numId="9">
    <w:abstractNumId w:val="14"/>
  </w:num>
  <w:num w:numId="10">
    <w:abstractNumId w:val="1"/>
  </w:num>
  <w:num w:numId="11">
    <w:abstractNumId w:val="15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7"/>
  </w:num>
  <w:num w:numId="15">
    <w:abstractNumId w:val="4"/>
  </w:num>
  <w:num w:numId="16">
    <w:abstractNumId w:val="9"/>
  </w:num>
  <w:num w:numId="17">
    <w:abstractNumId w:val="10"/>
  </w:num>
  <w:num w:numId="18">
    <w:abstractNumId w:val="2"/>
  </w:num>
  <w:num w:numId="19">
    <w:abstractNumId w:val="1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3C4D"/>
    <w:rsid w:val="000004FC"/>
    <w:rsid w:val="00005B05"/>
    <w:rsid w:val="00011F7A"/>
    <w:rsid w:val="00017103"/>
    <w:rsid w:val="00022CF0"/>
    <w:rsid w:val="00031962"/>
    <w:rsid w:val="0003533A"/>
    <w:rsid w:val="00035661"/>
    <w:rsid w:val="00035694"/>
    <w:rsid w:val="00043FF4"/>
    <w:rsid w:val="00047E7E"/>
    <w:rsid w:val="00051AF4"/>
    <w:rsid w:val="00054B7D"/>
    <w:rsid w:val="0006129D"/>
    <w:rsid w:val="00065024"/>
    <w:rsid w:val="000657BF"/>
    <w:rsid w:val="000673BE"/>
    <w:rsid w:val="00085632"/>
    <w:rsid w:val="00095720"/>
    <w:rsid w:val="0009745C"/>
    <w:rsid w:val="000A03C3"/>
    <w:rsid w:val="000B018E"/>
    <w:rsid w:val="000B09E3"/>
    <w:rsid w:val="000B2751"/>
    <w:rsid w:val="000B70C1"/>
    <w:rsid w:val="000C2162"/>
    <w:rsid w:val="000D1961"/>
    <w:rsid w:val="000D40BF"/>
    <w:rsid w:val="000D4E0B"/>
    <w:rsid w:val="000E0FDF"/>
    <w:rsid w:val="000F3A23"/>
    <w:rsid w:val="0010100A"/>
    <w:rsid w:val="00102328"/>
    <w:rsid w:val="00112D25"/>
    <w:rsid w:val="00117536"/>
    <w:rsid w:val="00121B32"/>
    <w:rsid w:val="00121CEE"/>
    <w:rsid w:val="0012553A"/>
    <w:rsid w:val="001342A4"/>
    <w:rsid w:val="00136778"/>
    <w:rsid w:val="001418ED"/>
    <w:rsid w:val="00143D2D"/>
    <w:rsid w:val="00146F61"/>
    <w:rsid w:val="00154D9C"/>
    <w:rsid w:val="001567AF"/>
    <w:rsid w:val="00160DFC"/>
    <w:rsid w:val="00171967"/>
    <w:rsid w:val="00172581"/>
    <w:rsid w:val="00175F96"/>
    <w:rsid w:val="00177AE6"/>
    <w:rsid w:val="00181538"/>
    <w:rsid w:val="00181DB3"/>
    <w:rsid w:val="001844B6"/>
    <w:rsid w:val="00190D64"/>
    <w:rsid w:val="001959C7"/>
    <w:rsid w:val="001C3E71"/>
    <w:rsid w:val="001D786D"/>
    <w:rsid w:val="001E0B11"/>
    <w:rsid w:val="001E1ADD"/>
    <w:rsid w:val="001E1D9C"/>
    <w:rsid w:val="001F1F7B"/>
    <w:rsid w:val="001F3077"/>
    <w:rsid w:val="001F3240"/>
    <w:rsid w:val="00205B72"/>
    <w:rsid w:val="00211838"/>
    <w:rsid w:val="0021527B"/>
    <w:rsid w:val="002165EC"/>
    <w:rsid w:val="00226727"/>
    <w:rsid w:val="0023105A"/>
    <w:rsid w:val="002339C9"/>
    <w:rsid w:val="002354BA"/>
    <w:rsid w:val="0023587D"/>
    <w:rsid w:val="00242D33"/>
    <w:rsid w:val="00244C59"/>
    <w:rsid w:val="00244D09"/>
    <w:rsid w:val="00256683"/>
    <w:rsid w:val="002574CB"/>
    <w:rsid w:val="00270002"/>
    <w:rsid w:val="00271B0D"/>
    <w:rsid w:val="002730F0"/>
    <w:rsid w:val="00276331"/>
    <w:rsid w:val="002836CA"/>
    <w:rsid w:val="00284F04"/>
    <w:rsid w:val="00286052"/>
    <w:rsid w:val="00291502"/>
    <w:rsid w:val="00292CF4"/>
    <w:rsid w:val="00297E64"/>
    <w:rsid w:val="002A018E"/>
    <w:rsid w:val="002A3751"/>
    <w:rsid w:val="002A4790"/>
    <w:rsid w:val="002A6944"/>
    <w:rsid w:val="002B01D7"/>
    <w:rsid w:val="002B238D"/>
    <w:rsid w:val="002B56AB"/>
    <w:rsid w:val="002B6D20"/>
    <w:rsid w:val="002B7128"/>
    <w:rsid w:val="002B76DA"/>
    <w:rsid w:val="002C0652"/>
    <w:rsid w:val="002C1A2F"/>
    <w:rsid w:val="002C2027"/>
    <w:rsid w:val="002C6620"/>
    <w:rsid w:val="002D1968"/>
    <w:rsid w:val="002D7114"/>
    <w:rsid w:val="002E0264"/>
    <w:rsid w:val="002E030E"/>
    <w:rsid w:val="002E28D8"/>
    <w:rsid w:val="002E3258"/>
    <w:rsid w:val="002E56A5"/>
    <w:rsid w:val="002E633A"/>
    <w:rsid w:val="002F1257"/>
    <w:rsid w:val="002F1450"/>
    <w:rsid w:val="00302140"/>
    <w:rsid w:val="003026AF"/>
    <w:rsid w:val="003134F8"/>
    <w:rsid w:val="00320452"/>
    <w:rsid w:val="003222E5"/>
    <w:rsid w:val="00323462"/>
    <w:rsid w:val="003240A0"/>
    <w:rsid w:val="0032576C"/>
    <w:rsid w:val="0033229B"/>
    <w:rsid w:val="003327CD"/>
    <w:rsid w:val="003413C4"/>
    <w:rsid w:val="003472FD"/>
    <w:rsid w:val="00356941"/>
    <w:rsid w:val="0037628A"/>
    <w:rsid w:val="003805A6"/>
    <w:rsid w:val="00397190"/>
    <w:rsid w:val="003B3B0C"/>
    <w:rsid w:val="003B3F03"/>
    <w:rsid w:val="003B7758"/>
    <w:rsid w:val="003C0CA6"/>
    <w:rsid w:val="003C1B44"/>
    <w:rsid w:val="003C264A"/>
    <w:rsid w:val="003C5509"/>
    <w:rsid w:val="003C6947"/>
    <w:rsid w:val="003C7D34"/>
    <w:rsid w:val="003E552D"/>
    <w:rsid w:val="003E60C5"/>
    <w:rsid w:val="003F007E"/>
    <w:rsid w:val="00411090"/>
    <w:rsid w:val="00411566"/>
    <w:rsid w:val="004116C9"/>
    <w:rsid w:val="00412BB0"/>
    <w:rsid w:val="00423567"/>
    <w:rsid w:val="00433252"/>
    <w:rsid w:val="00437D42"/>
    <w:rsid w:val="004401FC"/>
    <w:rsid w:val="00447212"/>
    <w:rsid w:val="00450AB5"/>
    <w:rsid w:val="0045284A"/>
    <w:rsid w:val="00456279"/>
    <w:rsid w:val="0045661C"/>
    <w:rsid w:val="00456984"/>
    <w:rsid w:val="00462857"/>
    <w:rsid w:val="00463067"/>
    <w:rsid w:val="00463B69"/>
    <w:rsid w:val="00464CF7"/>
    <w:rsid w:val="00472219"/>
    <w:rsid w:val="00482E8B"/>
    <w:rsid w:val="0048546E"/>
    <w:rsid w:val="00496D9D"/>
    <w:rsid w:val="004A49AA"/>
    <w:rsid w:val="004A4BAD"/>
    <w:rsid w:val="004A7F88"/>
    <w:rsid w:val="004B1BF5"/>
    <w:rsid w:val="004B2140"/>
    <w:rsid w:val="004B2776"/>
    <w:rsid w:val="004B2ED8"/>
    <w:rsid w:val="004C540D"/>
    <w:rsid w:val="004C5591"/>
    <w:rsid w:val="004C64D1"/>
    <w:rsid w:val="004D373B"/>
    <w:rsid w:val="004D631C"/>
    <w:rsid w:val="004D6463"/>
    <w:rsid w:val="004E0B3F"/>
    <w:rsid w:val="004E16F2"/>
    <w:rsid w:val="004E4F85"/>
    <w:rsid w:val="004F2306"/>
    <w:rsid w:val="0050170E"/>
    <w:rsid w:val="00503F83"/>
    <w:rsid w:val="00506776"/>
    <w:rsid w:val="00510F4A"/>
    <w:rsid w:val="00511002"/>
    <w:rsid w:val="005171F0"/>
    <w:rsid w:val="00522CAB"/>
    <w:rsid w:val="00537D1C"/>
    <w:rsid w:val="00544288"/>
    <w:rsid w:val="00544667"/>
    <w:rsid w:val="00551B08"/>
    <w:rsid w:val="0055594A"/>
    <w:rsid w:val="00556A34"/>
    <w:rsid w:val="00557508"/>
    <w:rsid w:val="00564C0E"/>
    <w:rsid w:val="0057788D"/>
    <w:rsid w:val="00583A82"/>
    <w:rsid w:val="005866A4"/>
    <w:rsid w:val="005B01E6"/>
    <w:rsid w:val="005B114B"/>
    <w:rsid w:val="005B5967"/>
    <w:rsid w:val="005C6191"/>
    <w:rsid w:val="005D100D"/>
    <w:rsid w:val="005D55C5"/>
    <w:rsid w:val="005E35D0"/>
    <w:rsid w:val="005E5AF4"/>
    <w:rsid w:val="005F0112"/>
    <w:rsid w:val="005F0483"/>
    <w:rsid w:val="005F06FE"/>
    <w:rsid w:val="005F1135"/>
    <w:rsid w:val="005F6C17"/>
    <w:rsid w:val="00605EA4"/>
    <w:rsid w:val="006079E2"/>
    <w:rsid w:val="00607ABF"/>
    <w:rsid w:val="00611F8A"/>
    <w:rsid w:val="00612164"/>
    <w:rsid w:val="00621B58"/>
    <w:rsid w:val="00623320"/>
    <w:rsid w:val="006310C8"/>
    <w:rsid w:val="00635A7D"/>
    <w:rsid w:val="00645B1F"/>
    <w:rsid w:val="0065278F"/>
    <w:rsid w:val="006564AF"/>
    <w:rsid w:val="00660411"/>
    <w:rsid w:val="00663104"/>
    <w:rsid w:val="00663B3D"/>
    <w:rsid w:val="0066431E"/>
    <w:rsid w:val="0066593A"/>
    <w:rsid w:val="00674203"/>
    <w:rsid w:val="00674EA7"/>
    <w:rsid w:val="0067582A"/>
    <w:rsid w:val="0069071E"/>
    <w:rsid w:val="00694F6D"/>
    <w:rsid w:val="0069579B"/>
    <w:rsid w:val="006A00B6"/>
    <w:rsid w:val="006A3EC7"/>
    <w:rsid w:val="006A682E"/>
    <w:rsid w:val="006B1472"/>
    <w:rsid w:val="006B4485"/>
    <w:rsid w:val="006B4AC5"/>
    <w:rsid w:val="006B714A"/>
    <w:rsid w:val="006C251B"/>
    <w:rsid w:val="006D544A"/>
    <w:rsid w:val="006E12C1"/>
    <w:rsid w:val="006E1514"/>
    <w:rsid w:val="006F0C7F"/>
    <w:rsid w:val="006F2A7F"/>
    <w:rsid w:val="006F4D25"/>
    <w:rsid w:val="007003B1"/>
    <w:rsid w:val="00704C1B"/>
    <w:rsid w:val="00704D0B"/>
    <w:rsid w:val="00711526"/>
    <w:rsid w:val="00722662"/>
    <w:rsid w:val="00723073"/>
    <w:rsid w:val="007352C7"/>
    <w:rsid w:val="00735FF9"/>
    <w:rsid w:val="00736B8D"/>
    <w:rsid w:val="00740FB3"/>
    <w:rsid w:val="007501BA"/>
    <w:rsid w:val="00754B1A"/>
    <w:rsid w:val="007601A9"/>
    <w:rsid w:val="00774110"/>
    <w:rsid w:val="0078175A"/>
    <w:rsid w:val="00786430"/>
    <w:rsid w:val="00787CB2"/>
    <w:rsid w:val="00787D46"/>
    <w:rsid w:val="007931EF"/>
    <w:rsid w:val="007A459E"/>
    <w:rsid w:val="007A550E"/>
    <w:rsid w:val="007B0238"/>
    <w:rsid w:val="007B5254"/>
    <w:rsid w:val="007D5F78"/>
    <w:rsid w:val="007D6599"/>
    <w:rsid w:val="007D6A65"/>
    <w:rsid w:val="007F5B7C"/>
    <w:rsid w:val="00801243"/>
    <w:rsid w:val="00804BF3"/>
    <w:rsid w:val="00810C87"/>
    <w:rsid w:val="00811034"/>
    <w:rsid w:val="00812A32"/>
    <w:rsid w:val="00813A38"/>
    <w:rsid w:val="00814153"/>
    <w:rsid w:val="00815313"/>
    <w:rsid w:val="008253D1"/>
    <w:rsid w:val="008312F7"/>
    <w:rsid w:val="008408C3"/>
    <w:rsid w:val="00840E3E"/>
    <w:rsid w:val="00844C51"/>
    <w:rsid w:val="00845A6A"/>
    <w:rsid w:val="00847D24"/>
    <w:rsid w:val="00854946"/>
    <w:rsid w:val="00866F12"/>
    <w:rsid w:val="008718AF"/>
    <w:rsid w:val="008722C0"/>
    <w:rsid w:val="00873510"/>
    <w:rsid w:val="00876348"/>
    <w:rsid w:val="00877B04"/>
    <w:rsid w:val="008866BA"/>
    <w:rsid w:val="00886E9E"/>
    <w:rsid w:val="00886F2B"/>
    <w:rsid w:val="00887A76"/>
    <w:rsid w:val="00891672"/>
    <w:rsid w:val="00892B8D"/>
    <w:rsid w:val="0089780F"/>
    <w:rsid w:val="008B390B"/>
    <w:rsid w:val="008B6322"/>
    <w:rsid w:val="008C33B7"/>
    <w:rsid w:val="008C348C"/>
    <w:rsid w:val="008C3DF6"/>
    <w:rsid w:val="008D21E4"/>
    <w:rsid w:val="008D47C0"/>
    <w:rsid w:val="008D4EAD"/>
    <w:rsid w:val="008E60CA"/>
    <w:rsid w:val="008F59FE"/>
    <w:rsid w:val="008F7738"/>
    <w:rsid w:val="00903860"/>
    <w:rsid w:val="00904985"/>
    <w:rsid w:val="00907537"/>
    <w:rsid w:val="009134D5"/>
    <w:rsid w:val="00914E7E"/>
    <w:rsid w:val="00916FE7"/>
    <w:rsid w:val="00930418"/>
    <w:rsid w:val="00931A1F"/>
    <w:rsid w:val="009325CC"/>
    <w:rsid w:val="009365BF"/>
    <w:rsid w:val="009421E9"/>
    <w:rsid w:val="00946543"/>
    <w:rsid w:val="009506D0"/>
    <w:rsid w:val="00953CD5"/>
    <w:rsid w:val="009548EA"/>
    <w:rsid w:val="00956327"/>
    <w:rsid w:val="0096003C"/>
    <w:rsid w:val="009656C4"/>
    <w:rsid w:val="009801E6"/>
    <w:rsid w:val="00980359"/>
    <w:rsid w:val="00980B8D"/>
    <w:rsid w:val="00984877"/>
    <w:rsid w:val="00985FBD"/>
    <w:rsid w:val="00987431"/>
    <w:rsid w:val="009A4786"/>
    <w:rsid w:val="009A4B91"/>
    <w:rsid w:val="009B20F0"/>
    <w:rsid w:val="009B64F2"/>
    <w:rsid w:val="009B798C"/>
    <w:rsid w:val="009C0626"/>
    <w:rsid w:val="009C0DA1"/>
    <w:rsid w:val="009C3BB7"/>
    <w:rsid w:val="009C721D"/>
    <w:rsid w:val="009D2E77"/>
    <w:rsid w:val="009D3AAC"/>
    <w:rsid w:val="009D5729"/>
    <w:rsid w:val="009E4068"/>
    <w:rsid w:val="009E4A54"/>
    <w:rsid w:val="009E5967"/>
    <w:rsid w:val="009E7A3B"/>
    <w:rsid w:val="009F2B38"/>
    <w:rsid w:val="009F4E82"/>
    <w:rsid w:val="00A02948"/>
    <w:rsid w:val="00A17AEA"/>
    <w:rsid w:val="00A20E73"/>
    <w:rsid w:val="00A22275"/>
    <w:rsid w:val="00A237F9"/>
    <w:rsid w:val="00A2398D"/>
    <w:rsid w:val="00A32D05"/>
    <w:rsid w:val="00A3373E"/>
    <w:rsid w:val="00A43199"/>
    <w:rsid w:val="00A4389D"/>
    <w:rsid w:val="00A56A07"/>
    <w:rsid w:val="00A60472"/>
    <w:rsid w:val="00A616E4"/>
    <w:rsid w:val="00A72043"/>
    <w:rsid w:val="00A76958"/>
    <w:rsid w:val="00A80C10"/>
    <w:rsid w:val="00A931DA"/>
    <w:rsid w:val="00A93315"/>
    <w:rsid w:val="00A942F9"/>
    <w:rsid w:val="00A9632E"/>
    <w:rsid w:val="00A96DB9"/>
    <w:rsid w:val="00AA3864"/>
    <w:rsid w:val="00AA5786"/>
    <w:rsid w:val="00AA7436"/>
    <w:rsid w:val="00AC17B2"/>
    <w:rsid w:val="00AC2B87"/>
    <w:rsid w:val="00AC6180"/>
    <w:rsid w:val="00AC7DDD"/>
    <w:rsid w:val="00AD0075"/>
    <w:rsid w:val="00AD129B"/>
    <w:rsid w:val="00AD31FA"/>
    <w:rsid w:val="00AD6F23"/>
    <w:rsid w:val="00AE03B1"/>
    <w:rsid w:val="00AE2315"/>
    <w:rsid w:val="00AE343B"/>
    <w:rsid w:val="00AE4838"/>
    <w:rsid w:val="00AF31D3"/>
    <w:rsid w:val="00B00EE5"/>
    <w:rsid w:val="00B051A0"/>
    <w:rsid w:val="00B06832"/>
    <w:rsid w:val="00B11A29"/>
    <w:rsid w:val="00B14251"/>
    <w:rsid w:val="00B22132"/>
    <w:rsid w:val="00B26AA0"/>
    <w:rsid w:val="00B431CA"/>
    <w:rsid w:val="00B45D90"/>
    <w:rsid w:val="00B4683B"/>
    <w:rsid w:val="00B47FC2"/>
    <w:rsid w:val="00B62EFA"/>
    <w:rsid w:val="00B702AB"/>
    <w:rsid w:val="00B70725"/>
    <w:rsid w:val="00B75F57"/>
    <w:rsid w:val="00B76F48"/>
    <w:rsid w:val="00B800CA"/>
    <w:rsid w:val="00B82214"/>
    <w:rsid w:val="00B905F7"/>
    <w:rsid w:val="00BA52B0"/>
    <w:rsid w:val="00BB003E"/>
    <w:rsid w:val="00BB2778"/>
    <w:rsid w:val="00BB3955"/>
    <w:rsid w:val="00BB4C45"/>
    <w:rsid w:val="00BB69D7"/>
    <w:rsid w:val="00BB7B20"/>
    <w:rsid w:val="00BC04A2"/>
    <w:rsid w:val="00BC717A"/>
    <w:rsid w:val="00BD1BEF"/>
    <w:rsid w:val="00BE0538"/>
    <w:rsid w:val="00BE7F4F"/>
    <w:rsid w:val="00BF1FD8"/>
    <w:rsid w:val="00BF6CE8"/>
    <w:rsid w:val="00BF7380"/>
    <w:rsid w:val="00C1782B"/>
    <w:rsid w:val="00C23647"/>
    <w:rsid w:val="00C2441D"/>
    <w:rsid w:val="00C25667"/>
    <w:rsid w:val="00C336D2"/>
    <w:rsid w:val="00C34A36"/>
    <w:rsid w:val="00C373ED"/>
    <w:rsid w:val="00C41E8B"/>
    <w:rsid w:val="00C428E0"/>
    <w:rsid w:val="00C43BBF"/>
    <w:rsid w:val="00C47E0B"/>
    <w:rsid w:val="00C6176E"/>
    <w:rsid w:val="00C628B1"/>
    <w:rsid w:val="00C62E03"/>
    <w:rsid w:val="00C72712"/>
    <w:rsid w:val="00C73DF3"/>
    <w:rsid w:val="00C74016"/>
    <w:rsid w:val="00C74AC6"/>
    <w:rsid w:val="00C750A1"/>
    <w:rsid w:val="00C82369"/>
    <w:rsid w:val="00C87C8A"/>
    <w:rsid w:val="00C9041F"/>
    <w:rsid w:val="00C975E9"/>
    <w:rsid w:val="00CA392C"/>
    <w:rsid w:val="00CA4D3C"/>
    <w:rsid w:val="00CB1EAB"/>
    <w:rsid w:val="00CB40DF"/>
    <w:rsid w:val="00CB6BED"/>
    <w:rsid w:val="00CC024C"/>
    <w:rsid w:val="00CC6AA6"/>
    <w:rsid w:val="00CC78F0"/>
    <w:rsid w:val="00CD6381"/>
    <w:rsid w:val="00CD64CB"/>
    <w:rsid w:val="00CE0FC6"/>
    <w:rsid w:val="00CE2E16"/>
    <w:rsid w:val="00CE3D9D"/>
    <w:rsid w:val="00CE63C0"/>
    <w:rsid w:val="00CF3616"/>
    <w:rsid w:val="00CF54BF"/>
    <w:rsid w:val="00D10CC3"/>
    <w:rsid w:val="00D120BC"/>
    <w:rsid w:val="00D13E1E"/>
    <w:rsid w:val="00D17843"/>
    <w:rsid w:val="00D2486A"/>
    <w:rsid w:val="00D26526"/>
    <w:rsid w:val="00D30FA9"/>
    <w:rsid w:val="00D3122B"/>
    <w:rsid w:val="00D31A07"/>
    <w:rsid w:val="00D36538"/>
    <w:rsid w:val="00D37E98"/>
    <w:rsid w:val="00D43E87"/>
    <w:rsid w:val="00D44A55"/>
    <w:rsid w:val="00D47EF0"/>
    <w:rsid w:val="00D62E39"/>
    <w:rsid w:val="00D63368"/>
    <w:rsid w:val="00D6536B"/>
    <w:rsid w:val="00D66EE3"/>
    <w:rsid w:val="00D71B57"/>
    <w:rsid w:val="00D71E77"/>
    <w:rsid w:val="00D753DE"/>
    <w:rsid w:val="00D82115"/>
    <w:rsid w:val="00D872CB"/>
    <w:rsid w:val="00D9619A"/>
    <w:rsid w:val="00DA4C23"/>
    <w:rsid w:val="00DA610A"/>
    <w:rsid w:val="00DB21CF"/>
    <w:rsid w:val="00DB6217"/>
    <w:rsid w:val="00DB6BDB"/>
    <w:rsid w:val="00DB7B79"/>
    <w:rsid w:val="00DC121F"/>
    <w:rsid w:val="00DC26F8"/>
    <w:rsid w:val="00DC6794"/>
    <w:rsid w:val="00DC773A"/>
    <w:rsid w:val="00DD1F0D"/>
    <w:rsid w:val="00DD43A5"/>
    <w:rsid w:val="00DD5F6E"/>
    <w:rsid w:val="00E034B9"/>
    <w:rsid w:val="00E053BC"/>
    <w:rsid w:val="00E12FA9"/>
    <w:rsid w:val="00E205C8"/>
    <w:rsid w:val="00E20E16"/>
    <w:rsid w:val="00E20F37"/>
    <w:rsid w:val="00E30DD6"/>
    <w:rsid w:val="00E322BF"/>
    <w:rsid w:val="00E3708D"/>
    <w:rsid w:val="00E40944"/>
    <w:rsid w:val="00E4128A"/>
    <w:rsid w:val="00E429C0"/>
    <w:rsid w:val="00E449B0"/>
    <w:rsid w:val="00E466E7"/>
    <w:rsid w:val="00E61405"/>
    <w:rsid w:val="00E63670"/>
    <w:rsid w:val="00E63D0D"/>
    <w:rsid w:val="00E669FD"/>
    <w:rsid w:val="00E702D3"/>
    <w:rsid w:val="00E7596F"/>
    <w:rsid w:val="00E76451"/>
    <w:rsid w:val="00E776E1"/>
    <w:rsid w:val="00E82803"/>
    <w:rsid w:val="00E84E4D"/>
    <w:rsid w:val="00E91E97"/>
    <w:rsid w:val="00EA05F3"/>
    <w:rsid w:val="00EA2988"/>
    <w:rsid w:val="00EA401A"/>
    <w:rsid w:val="00EB4122"/>
    <w:rsid w:val="00EC412F"/>
    <w:rsid w:val="00EC5EF3"/>
    <w:rsid w:val="00EC640A"/>
    <w:rsid w:val="00EC7DB7"/>
    <w:rsid w:val="00ED0AD9"/>
    <w:rsid w:val="00ED2646"/>
    <w:rsid w:val="00ED29B9"/>
    <w:rsid w:val="00EE2269"/>
    <w:rsid w:val="00EE25C0"/>
    <w:rsid w:val="00EE2AE6"/>
    <w:rsid w:val="00EF3C52"/>
    <w:rsid w:val="00EF3FC8"/>
    <w:rsid w:val="00F02B73"/>
    <w:rsid w:val="00F115D6"/>
    <w:rsid w:val="00F13C4D"/>
    <w:rsid w:val="00F219A2"/>
    <w:rsid w:val="00F31BFD"/>
    <w:rsid w:val="00F33B7F"/>
    <w:rsid w:val="00F41457"/>
    <w:rsid w:val="00F42BF4"/>
    <w:rsid w:val="00F4628A"/>
    <w:rsid w:val="00F514E5"/>
    <w:rsid w:val="00F51DB3"/>
    <w:rsid w:val="00F548D9"/>
    <w:rsid w:val="00F54FAB"/>
    <w:rsid w:val="00F554BE"/>
    <w:rsid w:val="00F6519A"/>
    <w:rsid w:val="00F74E2E"/>
    <w:rsid w:val="00F84FE3"/>
    <w:rsid w:val="00F9475E"/>
    <w:rsid w:val="00FC163B"/>
    <w:rsid w:val="00FC526D"/>
    <w:rsid w:val="00FC52E9"/>
    <w:rsid w:val="00FC54A2"/>
    <w:rsid w:val="00FC759F"/>
    <w:rsid w:val="00FD02E5"/>
    <w:rsid w:val="00FD6B13"/>
    <w:rsid w:val="00FF1BC8"/>
    <w:rsid w:val="00FF266E"/>
    <w:rsid w:val="00FF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77E40B"/>
  <w15:docId w15:val="{5E277D98-3437-4298-95D0-C4B08A904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F85"/>
    <w:pPr>
      <w:spacing w:after="0" w:line="240" w:lineRule="auto"/>
    </w:pPr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4D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13E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02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3C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3C4D"/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F13C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3C4D"/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4D3C"/>
    <w:rPr>
      <w:rFonts w:asciiTheme="majorHAnsi" w:eastAsiaTheme="majorEastAsia" w:hAnsiTheme="majorHAnsi" w:cstheme="majorBidi"/>
      <w:b/>
      <w:bCs/>
      <w:iCs/>
      <w:color w:val="365F91" w:themeColor="accent1" w:themeShade="BF"/>
      <w:sz w:val="28"/>
      <w:szCs w:val="28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CA4D3C"/>
    <w:pPr>
      <w:spacing w:line="276" w:lineRule="auto"/>
      <w:outlineLvl w:val="9"/>
    </w:pPr>
    <w:rPr>
      <w:iCs w:val="0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A4D3C"/>
    <w:pPr>
      <w:spacing w:after="100"/>
    </w:pPr>
  </w:style>
  <w:style w:type="character" w:styleId="a8">
    <w:name w:val="Hyperlink"/>
    <w:basedOn w:val="a0"/>
    <w:uiPriority w:val="99"/>
    <w:unhideWhenUsed/>
    <w:rsid w:val="00CA4D3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A4D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4D3C"/>
    <w:rPr>
      <w:rFonts w:ascii="Tahoma" w:eastAsia="Times New Roman" w:hAnsi="Tahoma" w:cs="Tahoma"/>
      <w:iCs/>
      <w:sz w:val="16"/>
      <w:szCs w:val="16"/>
      <w:lang w:eastAsia="ru-RU"/>
    </w:rPr>
  </w:style>
  <w:style w:type="paragraph" w:styleId="ab">
    <w:name w:val="Body Text Indent"/>
    <w:basedOn w:val="a"/>
    <w:link w:val="ac"/>
    <w:rsid w:val="00CA4D3C"/>
    <w:pPr>
      <w:ind w:firstLine="720"/>
      <w:jc w:val="both"/>
    </w:pPr>
    <w:rPr>
      <w:iCs w:val="0"/>
      <w:sz w:val="28"/>
      <w:szCs w:val="24"/>
      <w:lang w:val="uk-UA"/>
    </w:rPr>
  </w:style>
  <w:style w:type="character" w:customStyle="1" w:styleId="ac">
    <w:name w:val="Основной текст с отступом Знак"/>
    <w:basedOn w:val="a0"/>
    <w:link w:val="ab"/>
    <w:rsid w:val="00CA4D3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Body Text"/>
    <w:basedOn w:val="a"/>
    <w:link w:val="ae"/>
    <w:rsid w:val="00CA4D3C"/>
    <w:pPr>
      <w:jc w:val="both"/>
    </w:pPr>
    <w:rPr>
      <w:iCs w:val="0"/>
      <w:sz w:val="28"/>
      <w:szCs w:val="24"/>
      <w:lang w:val="uk-UA"/>
    </w:rPr>
  </w:style>
  <w:style w:type="character" w:customStyle="1" w:styleId="ae">
    <w:name w:val="Основной текст Знак"/>
    <w:basedOn w:val="a0"/>
    <w:link w:val="ad"/>
    <w:rsid w:val="00CA4D3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link w:val="22"/>
    <w:rsid w:val="00CA4D3C"/>
    <w:pPr>
      <w:jc w:val="center"/>
    </w:pPr>
    <w:rPr>
      <w:iCs w:val="0"/>
      <w:szCs w:val="24"/>
      <w:lang w:val="uk-UA"/>
    </w:rPr>
  </w:style>
  <w:style w:type="character" w:customStyle="1" w:styleId="22">
    <w:name w:val="Основной текст 2 Знак"/>
    <w:basedOn w:val="a0"/>
    <w:link w:val="21"/>
    <w:rsid w:val="00CA4D3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D02E5"/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8"/>
      <w:lang w:eastAsia="ru-RU"/>
    </w:rPr>
  </w:style>
  <w:style w:type="paragraph" w:styleId="af">
    <w:name w:val="List Paragraph"/>
    <w:basedOn w:val="a"/>
    <w:uiPriority w:val="34"/>
    <w:qFormat/>
    <w:rsid w:val="008C348C"/>
    <w:pPr>
      <w:ind w:left="720"/>
      <w:contextualSpacing/>
    </w:pPr>
  </w:style>
  <w:style w:type="paragraph" w:customStyle="1" w:styleId="Default">
    <w:name w:val="Default"/>
    <w:rsid w:val="00754B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rsid w:val="003222E5"/>
    <w:pPr>
      <w:spacing w:before="100" w:beforeAutospacing="1" w:after="100" w:afterAutospacing="1"/>
    </w:pPr>
    <w:rPr>
      <w:iCs w:val="0"/>
      <w:szCs w:val="24"/>
    </w:rPr>
  </w:style>
  <w:style w:type="table" w:styleId="af1">
    <w:name w:val="Table Grid"/>
    <w:basedOn w:val="a1"/>
    <w:uiPriority w:val="39"/>
    <w:rsid w:val="0087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121B32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iCs w:val="0"/>
      <w:szCs w:val="24"/>
    </w:rPr>
  </w:style>
  <w:style w:type="character" w:customStyle="1" w:styleId="FontStyle62">
    <w:name w:val="Font Style62"/>
    <w:basedOn w:val="a0"/>
    <w:rsid w:val="00121B32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basedOn w:val="a0"/>
    <w:rsid w:val="00121B3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8">
    <w:name w:val="Style28"/>
    <w:basedOn w:val="a"/>
    <w:rsid w:val="00121B32"/>
    <w:pPr>
      <w:widowControl w:val="0"/>
      <w:autoSpaceDE w:val="0"/>
      <w:autoSpaceDN w:val="0"/>
      <w:adjustRightInd w:val="0"/>
      <w:spacing w:line="326" w:lineRule="exact"/>
      <w:jc w:val="both"/>
    </w:pPr>
    <w:rPr>
      <w:iCs w:val="0"/>
      <w:szCs w:val="24"/>
    </w:rPr>
  </w:style>
  <w:style w:type="paragraph" w:customStyle="1" w:styleId="Style30">
    <w:name w:val="Style30"/>
    <w:basedOn w:val="a"/>
    <w:rsid w:val="00121B32"/>
    <w:pPr>
      <w:widowControl w:val="0"/>
      <w:autoSpaceDE w:val="0"/>
      <w:autoSpaceDN w:val="0"/>
      <w:adjustRightInd w:val="0"/>
      <w:spacing w:line="322" w:lineRule="exact"/>
      <w:ind w:firstLine="360"/>
      <w:jc w:val="both"/>
    </w:pPr>
    <w:rPr>
      <w:iCs w:val="0"/>
      <w:szCs w:val="24"/>
    </w:rPr>
  </w:style>
  <w:style w:type="paragraph" w:customStyle="1" w:styleId="Style31">
    <w:name w:val="Style31"/>
    <w:basedOn w:val="a"/>
    <w:rsid w:val="00121B32"/>
    <w:pPr>
      <w:widowControl w:val="0"/>
      <w:autoSpaceDE w:val="0"/>
      <w:autoSpaceDN w:val="0"/>
      <w:adjustRightInd w:val="0"/>
      <w:spacing w:line="331" w:lineRule="exact"/>
      <w:ind w:hanging="384"/>
      <w:jc w:val="both"/>
    </w:pPr>
    <w:rPr>
      <w:iCs w:val="0"/>
      <w:szCs w:val="24"/>
    </w:rPr>
  </w:style>
  <w:style w:type="paragraph" w:customStyle="1" w:styleId="rvps17">
    <w:name w:val="rvps17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character" w:customStyle="1" w:styleId="rvts23">
    <w:name w:val="rvts23"/>
    <w:basedOn w:val="a0"/>
    <w:rsid w:val="00740FB3"/>
  </w:style>
  <w:style w:type="character" w:customStyle="1" w:styleId="apple-converted-space">
    <w:name w:val="apple-converted-space"/>
    <w:basedOn w:val="a0"/>
    <w:rsid w:val="00740FB3"/>
  </w:style>
  <w:style w:type="character" w:customStyle="1" w:styleId="rvts64">
    <w:name w:val="rvts64"/>
    <w:basedOn w:val="a0"/>
    <w:rsid w:val="00740FB3"/>
  </w:style>
  <w:style w:type="paragraph" w:customStyle="1" w:styleId="rvps3">
    <w:name w:val="rvps3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character" w:customStyle="1" w:styleId="rvts9">
    <w:name w:val="rvts9"/>
    <w:basedOn w:val="a0"/>
    <w:rsid w:val="00740FB3"/>
  </w:style>
  <w:style w:type="paragraph" w:customStyle="1" w:styleId="rvps6">
    <w:name w:val="rvps6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paragraph" w:customStyle="1" w:styleId="Standard">
    <w:name w:val="Standard"/>
    <w:rsid w:val="00D31A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eastAsia="uk-UA"/>
    </w:rPr>
  </w:style>
  <w:style w:type="character" w:styleId="af2">
    <w:name w:val="annotation reference"/>
    <w:basedOn w:val="a0"/>
    <w:uiPriority w:val="99"/>
    <w:semiHidden/>
    <w:unhideWhenUsed/>
    <w:rsid w:val="0096003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6003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96003C"/>
    <w:rPr>
      <w:rFonts w:ascii="Times New Roman" w:eastAsia="Times New Roman" w:hAnsi="Times New Roman" w:cs="Times New Roman"/>
      <w:iCs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6003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6003C"/>
    <w:rPr>
      <w:rFonts w:ascii="Times New Roman" w:eastAsia="Times New Roman" w:hAnsi="Times New Roman" w:cs="Times New Roman"/>
      <w:b/>
      <w:bCs/>
      <w:i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4A4BAD"/>
    <w:pPr>
      <w:spacing w:after="0" w:line="240" w:lineRule="auto"/>
    </w:pPr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paragraph" w:customStyle="1" w:styleId="af8">
    <w:name w:val="Содержимое списка"/>
    <w:basedOn w:val="a"/>
    <w:qFormat/>
    <w:rsid w:val="0048546E"/>
    <w:pPr>
      <w:suppressAutoHyphens/>
      <w:overflowPunct w:val="0"/>
      <w:ind w:left="567"/>
    </w:pPr>
    <w:rPr>
      <w:rFonts w:ascii="Liberation Serif" w:eastAsia="NSimSun" w:hAnsi="Liberation Serif" w:cs="Arial"/>
      <w:iCs w:val="0"/>
      <w:kern w:val="2"/>
      <w:szCs w:val="24"/>
      <w:lang w:val="en-US" w:eastAsia="zh-CN" w:bidi="hi-IN"/>
    </w:rPr>
  </w:style>
  <w:style w:type="paragraph" w:customStyle="1" w:styleId="71">
    <w:name w:val="Заголовок 71"/>
    <w:basedOn w:val="a"/>
    <w:link w:val="7"/>
    <w:uiPriority w:val="99"/>
    <w:rsid w:val="0048546E"/>
    <w:pPr>
      <w:numPr>
        <w:ilvl w:val="6"/>
        <w:numId w:val="19"/>
      </w:numPr>
      <w:suppressAutoHyphens/>
      <w:spacing w:before="240" w:after="60"/>
      <w:outlineLvl w:val="6"/>
    </w:pPr>
    <w:rPr>
      <w:iCs w:val="0"/>
      <w:szCs w:val="24"/>
      <w:lang w:val="uk-UA" w:eastAsia="zh-CN"/>
    </w:rPr>
  </w:style>
  <w:style w:type="character" w:customStyle="1" w:styleId="7">
    <w:name w:val="Заголовок 7 Знак"/>
    <w:link w:val="71"/>
    <w:uiPriority w:val="99"/>
    <w:locked/>
    <w:rsid w:val="0048546E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CF3616"/>
    <w:pPr>
      <w:spacing w:beforeAutospacing="1" w:afterAutospacing="1"/>
    </w:pPr>
    <w:rPr>
      <w:iCs w:val="0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D13E1E"/>
    <w:rPr>
      <w:rFonts w:asciiTheme="majorHAnsi" w:eastAsiaTheme="majorEastAsia" w:hAnsiTheme="majorHAnsi" w:cstheme="majorBidi"/>
      <w:iCs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77147">
          <w:marLeft w:val="0"/>
          <w:marRight w:val="0"/>
          <w:marTop w:val="0"/>
          <w:marBottom w:val="1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5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8" Type="http://schemas.microsoft.com/office/2018/08/relationships/commentsExtensible" Target="commentsExtensible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43;&#1086;&#1085;&#1095;&#1072;&#1088;&#1091;&#1082;\&#1057;&#1058;&#1056;&#1040;&#1058;&#1045;&#1043;&#1030;&#1063;&#1053;&#1030;%20&#1044;&#1054;&#1050;&#1059;&#1052;&#1045;&#1053;&#1058;&#1048;%20etc\&#1052;&#1045;&#1055;\&#1052;&#1045;&#1055;%202021-2024\&#1055;&#1056;&#1054;&#1044;&#1054;&#1042;&#1046;&#1045;&#1053;&#1053;&#1071;%20&#1055;&#1056;&#1054;&#1043;&#1056;&#1040;&#1052;&#1048;%20&#1053;&#1040;%202025\&#1044;&#1072;&#1085;&#1110;%20&#1076;&#1083;&#1103;%20&#1086;&#1087;&#1080;&#1089;&#1091;%20&#1074;%20&#1088;&#1086;&#1079;&#1076;&#1110;&#1083;&#1110;%20&#1052;&#1045;&#1055;%202025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43;&#1086;&#1085;&#1095;&#1072;&#1088;&#1091;&#1082;\&#1057;&#1058;&#1056;&#1040;&#1058;&#1045;&#1043;&#1030;&#1063;&#1053;&#1030;%20&#1044;&#1054;&#1050;&#1059;&#1052;&#1045;&#1053;&#1058;&#1048;%20etc\&#1052;&#1045;&#1055;\&#1052;&#1045;&#1055;%202021-2024\&#1055;&#1056;&#1054;&#1044;&#1054;&#1042;&#1046;&#1045;&#1053;&#1053;&#1071;%20&#1055;&#1056;&#1054;&#1043;&#1056;&#1040;&#1052;&#1048;%20&#1053;&#1040;%202025\&#1044;&#1072;&#1085;&#1110;%20&#1076;&#1083;&#1103;%20&#1086;&#1087;&#1080;&#1089;&#1091;%20&#1074;%20&#1088;&#1086;&#1079;&#1076;&#1110;&#1083;&#1110;%20&#1052;&#1045;&#1055;%202025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43;&#1086;&#1085;&#1095;&#1072;&#1088;&#1091;&#1082;\&#1057;&#1058;&#1056;&#1040;&#1058;&#1045;&#1043;&#1030;&#1063;&#1053;&#1030;%20&#1044;&#1054;&#1050;&#1059;&#1052;&#1045;&#1053;&#1058;&#1048;%20etc\&#1052;&#1045;&#1055;\&#1052;&#1045;&#1055;%202021-2024\&#1055;&#1056;&#1054;&#1044;&#1054;&#1042;&#1046;&#1045;&#1053;&#1053;&#1071;%20&#1055;&#1056;&#1054;&#1043;&#1056;&#1040;&#1052;&#1048;%20&#1053;&#1040;%202025\&#1044;&#1072;&#1085;&#1110;%20&#1076;&#1083;&#1103;%20&#1086;&#1087;&#1080;&#1089;&#1091;%20&#1074;%20&#1088;&#1086;&#1079;&#1076;&#1110;&#1083;&#1110;%20&#1052;&#1045;&#1055;%202025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044;&#1072;&#1085;&#1110;%20&#1076;&#1083;&#1103;%20&#1086;&#1087;&#1080;&#1089;&#1091;%20&#1074;%20&#1088;&#1086;&#1079;&#1076;&#1110;&#1083;&#1110;%20&#1052;&#1045;&#1055;%202025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044;&#1072;&#1085;&#1110;%20&#1076;&#1083;&#1103;%20&#1086;&#1087;&#1080;&#1089;&#1091;%20&#1074;%20&#1088;&#1086;&#1079;&#1076;&#1110;&#1083;&#1110;%20&#1052;&#1045;&#1055;%202025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044;&#1072;&#1085;&#1110;%20&#1076;&#1083;&#1103;%20&#1086;&#1087;&#1080;&#1089;&#1091;%20&#1074;%20&#1088;&#1086;&#1079;&#1076;&#1110;&#1083;&#1110;%20&#1052;&#1045;&#1055;%202025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43;&#1086;&#1085;&#1095;&#1072;&#1088;&#1091;&#1082;\&#1046;&#1080;&#1090;&#1086;&#1084;&#1080;&#1088;&#1074;&#1086;&#1076;&#1086;&#1082;&#1072;&#1085;&#1072;&#1083;\&#1046;&#1080;&#1090;&#1086;&#1084;&#1080;&#1088;&#1074;&#1086;&#1076;&#1086;&#1082;&#1072;&#1085;&#1072;&#1083;%20&#1077;&#1083;&#1077;&#1082;&#1090;&#1088;&#1086;&#1077;&#1085;&#1077;&#1088;&#1075;&#1110;&#1103;%202010-2023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/>
              <a:t>Витрати установ та закладів громади на оплату енергоносіїв,</a:t>
            </a:r>
            <a:r>
              <a:rPr lang="ru-RU" baseline="0"/>
              <a:t> млн грн</a:t>
            </a:r>
            <a:endParaRPr lang="ru-RU"/>
          </a:p>
        </c:rich>
      </c:tx>
      <c:layout>
        <c:manualLayout>
          <c:xMode val="edge"/>
          <c:yMode val="edge"/>
          <c:x val="0.16156604956716059"/>
          <c:y val="1.912045889101338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8.787977452185565E-2"/>
          <c:y val="0.1283730547065938"/>
          <c:w val="0.89149200231827563"/>
          <c:h val="0.8175160466318383"/>
        </c:manualLayout>
      </c:layout>
      <c:barChart>
        <c:barDir val="col"/>
        <c:grouping val="stacked"/>
        <c:varyColors val="0"/>
        <c:ser>
          <c:idx val="5"/>
          <c:order val="0"/>
          <c:tx>
            <c:strRef>
              <c:f>Видатки!$C$31</c:f>
              <c:strCache>
                <c:ptCount val="1"/>
                <c:pt idx="0">
                  <c:v>Теплова енергія</c:v>
                </c:pt>
              </c:strCache>
            </c:strRef>
          </c:tx>
          <c:spPr>
            <a:pattFill prst="wdUpDiag">
              <a:fgClr>
                <a:schemeClr val="accent6">
                  <a:lumMod val="50000"/>
                </a:schemeClr>
              </a:fgClr>
              <a:bgClr>
                <a:srgbClr val="00B0F0"/>
              </a:bgClr>
            </a:pattFill>
            <a:ln w="6350">
              <a:solidFill>
                <a:schemeClr val="tx1"/>
              </a:solidFill>
            </a:ln>
            <a:effectLst/>
          </c:spPr>
          <c:invertIfNegative val="0"/>
          <c:cat>
            <c:numRef>
              <c:f>Видатки!$D$8:$J$8</c:f>
              <c:numCache>
                <c:formatCode>General</c:formatCode>
                <c:ptCount val="7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</c:numCache>
            </c:numRef>
          </c:cat>
          <c:val>
            <c:numRef>
              <c:f>Видатки!$D$31:$J$31</c:f>
              <c:numCache>
                <c:formatCode>0.0</c:formatCode>
                <c:ptCount val="7"/>
                <c:pt idx="0">
                  <c:v>43.693383383999993</c:v>
                </c:pt>
                <c:pt idx="1">
                  <c:v>72.494918795999993</c:v>
                </c:pt>
                <c:pt idx="2">
                  <c:v>61.223477819999999</c:v>
                </c:pt>
                <c:pt idx="3">
                  <c:v>43.138502484</c:v>
                </c:pt>
                <c:pt idx="4">
                  <c:v>87.560549232</c:v>
                </c:pt>
                <c:pt idx="5">
                  <c:v>117.9673875</c:v>
                </c:pt>
                <c:pt idx="6">
                  <c:v>124.36201382399999</c:v>
                </c:pt>
              </c:numCache>
            </c:numRef>
          </c:val>
        </c:ser>
        <c:ser>
          <c:idx val="0"/>
          <c:order val="1"/>
          <c:tx>
            <c:strRef>
              <c:f>Видатки!$C$26</c:f>
              <c:strCache>
                <c:ptCount val="1"/>
                <c:pt idx="0">
                  <c:v>Електрична енергія</c:v>
                </c:pt>
              </c:strCache>
            </c:strRef>
          </c:tx>
          <c:spPr>
            <a:solidFill>
              <a:srgbClr val="FFC000"/>
            </a:solidFill>
            <a:ln w="6350">
              <a:solidFill>
                <a:schemeClr val="tx1"/>
              </a:solidFill>
            </a:ln>
            <a:effectLst/>
          </c:spPr>
          <c:invertIfNegative val="0"/>
          <c:cat>
            <c:numRef>
              <c:f>Видатки!$D$8:$J$8</c:f>
              <c:numCache>
                <c:formatCode>General</c:formatCode>
                <c:ptCount val="7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</c:numCache>
            </c:numRef>
          </c:cat>
          <c:val>
            <c:numRef>
              <c:f>Видатки!$D$26:$J$26</c:f>
              <c:numCache>
                <c:formatCode>0.0</c:formatCode>
                <c:ptCount val="7"/>
                <c:pt idx="0">
                  <c:v>12.80791488</c:v>
                </c:pt>
                <c:pt idx="1">
                  <c:v>22.949183868000002</c:v>
                </c:pt>
                <c:pt idx="2">
                  <c:v>24.759768000000001</c:v>
                </c:pt>
                <c:pt idx="3">
                  <c:v>21.100059359999999</c:v>
                </c:pt>
                <c:pt idx="4">
                  <c:v>39.606219744000001</c:v>
                </c:pt>
                <c:pt idx="5">
                  <c:v>38.926608383999998</c:v>
                </c:pt>
                <c:pt idx="6">
                  <c:v>61.927452251999995</c:v>
                </c:pt>
              </c:numCache>
            </c:numRef>
          </c:val>
        </c:ser>
        <c:ser>
          <c:idx val="1"/>
          <c:order val="2"/>
          <c:tx>
            <c:strRef>
              <c:f>Видатки!$C$27</c:f>
              <c:strCache>
                <c:ptCount val="1"/>
                <c:pt idx="0">
                  <c:v>Природний газ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 w="6350">
              <a:solidFill>
                <a:schemeClr val="tx1"/>
              </a:solidFill>
            </a:ln>
            <a:effectLst/>
          </c:spPr>
          <c:invertIfNegative val="0"/>
          <c:cat>
            <c:numRef>
              <c:f>Видатки!$D$8:$J$8</c:f>
              <c:numCache>
                <c:formatCode>General</c:formatCode>
                <c:ptCount val="7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</c:numCache>
            </c:numRef>
          </c:cat>
          <c:val>
            <c:numRef>
              <c:f>Видатки!$D$27:$J$27</c:f>
              <c:numCache>
                <c:formatCode>0.0</c:formatCode>
                <c:ptCount val="7"/>
                <c:pt idx="0">
                  <c:v>4.2607007999999995</c:v>
                </c:pt>
                <c:pt idx="1">
                  <c:v>6.2252119319999997</c:v>
                </c:pt>
                <c:pt idx="2">
                  <c:v>5.747153784</c:v>
                </c:pt>
                <c:pt idx="3">
                  <c:v>5.0400403199999992</c:v>
                </c:pt>
                <c:pt idx="4">
                  <c:v>4.336263024</c:v>
                </c:pt>
                <c:pt idx="5">
                  <c:v>8.3574006599999997</c:v>
                </c:pt>
                <c:pt idx="6">
                  <c:v>8.1006413999999989</c:v>
                </c:pt>
              </c:numCache>
            </c:numRef>
          </c:val>
        </c:ser>
        <c:ser>
          <c:idx val="2"/>
          <c:order val="3"/>
          <c:tx>
            <c:strRef>
              <c:f>Видатки!$C$28</c:f>
              <c:strCache>
                <c:ptCount val="1"/>
                <c:pt idx="0">
                  <c:v>Біомаса</c:v>
                </c:pt>
              </c:strCache>
            </c:strRef>
          </c:tx>
          <c:spPr>
            <a:solidFill>
              <a:schemeClr val="accent3"/>
            </a:solidFill>
            <a:ln w="6350">
              <a:solidFill>
                <a:schemeClr val="tx1"/>
              </a:solidFill>
            </a:ln>
            <a:effectLst/>
          </c:spPr>
          <c:invertIfNegative val="0"/>
          <c:cat>
            <c:numRef>
              <c:f>Видатки!$D$8:$J$8</c:f>
              <c:numCache>
                <c:formatCode>General</c:formatCode>
                <c:ptCount val="7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</c:numCache>
            </c:numRef>
          </c:cat>
          <c:val>
            <c:numRef>
              <c:f>Видатки!$D$28:$J$28</c:f>
              <c:numCache>
                <c:formatCode>0.0</c:formatCode>
                <c:ptCount val="7"/>
                <c:pt idx="0">
                  <c:v>0.64956346799999998</c:v>
                </c:pt>
                <c:pt idx="1">
                  <c:v>0.58700879999999989</c:v>
                </c:pt>
                <c:pt idx="2">
                  <c:v>0.84900947999999998</c:v>
                </c:pt>
                <c:pt idx="3">
                  <c:v>0.82924200000000003</c:v>
                </c:pt>
                <c:pt idx="4">
                  <c:v>1.578786</c:v>
                </c:pt>
                <c:pt idx="5">
                  <c:v>2.5252818719999999</c:v>
                </c:pt>
                <c:pt idx="6">
                  <c:v>3.2967111599999996</c:v>
                </c:pt>
              </c:numCache>
            </c:numRef>
          </c:val>
        </c:ser>
        <c:ser>
          <c:idx val="6"/>
          <c:order val="4"/>
          <c:tx>
            <c:strRef>
              <c:f>Видатки!$C$32</c:f>
              <c:strCache>
                <c:ptCount val="1"/>
                <c:pt idx="0">
                  <c:v>Нафтопродукти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 w="6350">
              <a:solidFill>
                <a:schemeClr val="tx1"/>
              </a:solidFill>
            </a:ln>
            <a:effectLst/>
          </c:spPr>
          <c:invertIfNegative val="0"/>
          <c:cat>
            <c:numRef>
              <c:f>Видатки!$D$8:$J$8</c:f>
              <c:numCache>
                <c:formatCode>General</c:formatCode>
                <c:ptCount val="7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</c:numCache>
            </c:numRef>
          </c:cat>
          <c:val>
            <c:numRef>
              <c:f>Видатки!$D$32:$J$32</c:f>
              <c:numCache>
                <c:formatCode>0.0</c:formatCode>
                <c:ptCount val="7"/>
                <c:pt idx="0">
                  <c:v>0.57601440000000004</c:v>
                </c:pt>
                <c:pt idx="1">
                  <c:v>0.6665627999999999</c:v>
                </c:pt>
                <c:pt idx="2">
                  <c:v>0.48451487999999998</c:v>
                </c:pt>
                <c:pt idx="3">
                  <c:v>0.59982623999999996</c:v>
                </c:pt>
                <c:pt idx="4">
                  <c:v>0.53430876000000005</c:v>
                </c:pt>
                <c:pt idx="5">
                  <c:v>1.04702976</c:v>
                </c:pt>
                <c:pt idx="6">
                  <c:v>0.96782400000000002</c:v>
                </c:pt>
              </c:numCache>
            </c:numRef>
          </c:val>
        </c:ser>
        <c:ser>
          <c:idx val="3"/>
          <c:order val="5"/>
          <c:tx>
            <c:strRef>
              <c:f>Видатки!$C$29</c:f>
              <c:strCache>
                <c:ptCount val="1"/>
                <c:pt idx="0">
                  <c:v>Вугілля</c:v>
                </c:pt>
              </c:strCache>
            </c:strRef>
          </c:tx>
          <c:spPr>
            <a:solidFill>
              <a:schemeClr val="tx1"/>
            </a:solidFill>
            <a:ln w="6350">
              <a:solidFill>
                <a:schemeClr val="tx1"/>
              </a:solidFill>
            </a:ln>
            <a:effectLst/>
          </c:spPr>
          <c:invertIfNegative val="0"/>
          <c:cat>
            <c:numRef>
              <c:f>Видатки!$D$8:$J$8</c:f>
              <c:numCache>
                <c:formatCode>General</c:formatCode>
                <c:ptCount val="7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</c:numCache>
            </c:numRef>
          </c:cat>
          <c:val>
            <c:numRef>
              <c:f>Видатки!$D$29:$J$29</c:f>
              <c:numCache>
                <c:formatCode>0.0</c:formatCode>
                <c:ptCount val="7"/>
                <c:pt idx="0">
                  <c:v>0.15413769599999999</c:v>
                </c:pt>
                <c:pt idx="1">
                  <c:v>0.190420956</c:v>
                </c:pt>
                <c:pt idx="2">
                  <c:v>0.192061068</c:v>
                </c:pt>
                <c:pt idx="3">
                  <c:v>0.23467204800000002</c:v>
                </c:pt>
                <c:pt idx="4">
                  <c:v>0.20777118</c:v>
                </c:pt>
                <c:pt idx="5">
                  <c:v>0.54932579999999998</c:v>
                </c:pt>
                <c:pt idx="6">
                  <c:v>0.4824</c:v>
                </c:pt>
              </c:numCache>
            </c:numRef>
          </c:val>
        </c:ser>
        <c:ser>
          <c:idx val="4"/>
          <c:order val="6"/>
          <c:tx>
            <c:strRef>
              <c:f>Видатки!$C$30</c:f>
              <c:strCache>
                <c:ptCount val="1"/>
                <c:pt idx="0">
                  <c:v>Торф</c:v>
                </c:pt>
              </c:strCache>
            </c:strRef>
          </c:tx>
          <c:spPr>
            <a:solidFill>
              <a:schemeClr val="accent5"/>
            </a:solidFill>
            <a:ln w="6350">
              <a:solidFill>
                <a:schemeClr val="tx1"/>
              </a:solidFill>
            </a:ln>
            <a:effectLst/>
          </c:spPr>
          <c:invertIfNegative val="0"/>
          <c:cat>
            <c:numRef>
              <c:f>Видатки!$D$8:$J$8</c:f>
              <c:numCache>
                <c:formatCode>General</c:formatCode>
                <c:ptCount val="7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</c:numCache>
            </c:numRef>
          </c:cat>
          <c:val>
            <c:numRef>
              <c:f>Видатки!$D$30:$J$30</c:f>
              <c:numCache>
                <c:formatCode>0.0</c:formatCode>
                <c:ptCount val="7"/>
                <c:pt idx="0">
                  <c:v>1.7196299999999998E-2</c:v>
                </c:pt>
                <c:pt idx="1">
                  <c:v>5.6340119999999999E-3</c:v>
                </c:pt>
                <c:pt idx="2">
                  <c:v>2.1424031999999999E-2</c:v>
                </c:pt>
                <c:pt idx="3">
                  <c:v>1.5040020000000001E-2</c:v>
                </c:pt>
                <c:pt idx="4">
                  <c:v>2.3292467999999997E-2</c:v>
                </c:pt>
                <c:pt idx="5">
                  <c:v>2.5027199999999999E-2</c:v>
                </c:pt>
                <c:pt idx="6">
                  <c:v>1.9623671999999998E-2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54191760"/>
        <c:axId val="-254181424"/>
      </c:barChart>
      <c:catAx>
        <c:axId val="-254191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-254181424"/>
        <c:crosses val="autoZero"/>
        <c:auto val="1"/>
        <c:lblAlgn val="ctr"/>
        <c:lblOffset val="100"/>
        <c:noMultiLvlLbl val="0"/>
      </c:catAx>
      <c:valAx>
        <c:axId val="-254181424"/>
        <c:scaling>
          <c:orientation val="minMax"/>
          <c:max val="2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 w="635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-254191760"/>
        <c:crosses val="autoZero"/>
        <c:crossBetween val="between"/>
        <c:majorUnit val="50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8.6261263755532669E-2"/>
          <c:y val="0.17219740614184234"/>
          <c:w val="0.52930573551723747"/>
          <c:h val="0.2922843449600246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solidFill>
        <a:schemeClr val="tx1"/>
      </a:solidFill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chemeClr val="tx1"/>
                </a:solidFill>
              </a:rPr>
              <a:t>Кількість ОСББ Житомира, що взяли участь</a:t>
            </a:r>
          </a:p>
          <a:p>
            <a:pPr>
              <a:defRPr>
                <a:solidFill>
                  <a:schemeClr val="tx1"/>
                </a:solidFill>
              </a:defRPr>
            </a:pPr>
            <a:r>
              <a:rPr lang="ru-RU">
                <a:solidFill>
                  <a:schemeClr val="tx1"/>
                </a:solidFill>
              </a:rPr>
              <a:t>в програмах підвищення енергоефективності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cap="none" spc="2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9900497512437811E-2"/>
          <c:y val="0.1443689118681217"/>
          <c:w val="0.96019900497512434"/>
          <c:h val="0.77845797028957187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ОСББ!$C$2</c:f>
              <c:strCache>
                <c:ptCount val="1"/>
                <c:pt idx="0">
                  <c:v>"Теплі кредити"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12700" cap="flat" cmpd="sng" algn="ctr">
              <a:solidFill>
                <a:srgbClr val="0070C0"/>
              </a:solidFill>
              <a:round/>
            </a:ln>
            <a:effectLst/>
            <a:sp3d contourW="12700">
              <a:contourClr>
                <a:srgbClr val="0070C0"/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ОСББ!$B$3:$B$11</c:f>
              <c:numCache>
                <c:formatCode>General</c:formatCode>
                <c:ptCount val="9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</c:numCache>
            </c:numRef>
          </c:cat>
          <c:val>
            <c:numRef>
              <c:f>ОСББ!$C$3:$C$11</c:f>
              <c:numCache>
                <c:formatCode>General</c:formatCode>
                <c:ptCount val="9"/>
                <c:pt idx="0">
                  <c:v>3</c:v>
                </c:pt>
                <c:pt idx="1">
                  <c:v>8</c:v>
                </c:pt>
                <c:pt idx="2">
                  <c:v>21</c:v>
                </c:pt>
                <c:pt idx="3">
                  <c:v>57</c:v>
                </c:pt>
                <c:pt idx="4">
                  <c:v>81</c:v>
                </c:pt>
                <c:pt idx="5">
                  <c:v>64</c:v>
                </c:pt>
              </c:numCache>
            </c:numRef>
          </c:val>
        </c:ser>
        <c:ser>
          <c:idx val="1"/>
          <c:order val="1"/>
          <c:tx>
            <c:strRef>
              <c:f>ОСББ!$D$2</c:f>
              <c:strCache>
                <c:ptCount val="1"/>
                <c:pt idx="0">
                  <c:v>"ЕНЕРГОДІМ"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lumMod val="110000"/>
                    <a:satMod val="105000"/>
                    <a:tint val="67000"/>
                  </a:schemeClr>
                </a:gs>
                <a:gs pos="50000">
                  <a:schemeClr val="accent2">
                    <a:lumMod val="105000"/>
                    <a:satMod val="103000"/>
                    <a:tint val="73000"/>
                  </a:schemeClr>
                </a:gs>
                <a:gs pos="100000">
                  <a:schemeClr val="accent2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12700" cap="flat" cmpd="sng" algn="ctr">
              <a:solidFill>
                <a:srgbClr val="FF0000"/>
              </a:solidFill>
              <a:round/>
            </a:ln>
            <a:effectLst/>
            <a:sp3d contourW="12700">
              <a:contourClr>
                <a:srgbClr val="FF0000"/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ОСББ!$B$3:$B$11</c:f>
              <c:numCache>
                <c:formatCode>General</c:formatCode>
                <c:ptCount val="9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</c:numCache>
            </c:numRef>
          </c:cat>
          <c:val>
            <c:numRef>
              <c:f>ОСББ!$D$3:$D$11</c:f>
              <c:numCache>
                <c:formatCode>General</c:formatCode>
                <c:ptCount val="9"/>
                <c:pt idx="5">
                  <c:v>1</c:v>
                </c:pt>
                <c:pt idx="6">
                  <c:v>5</c:v>
                </c:pt>
                <c:pt idx="7">
                  <c:v>1</c:v>
                </c:pt>
                <c:pt idx="8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254186320"/>
        <c:axId val="-254185776"/>
        <c:axId val="0"/>
      </c:bar3DChart>
      <c:catAx>
        <c:axId val="-2541863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254185776"/>
        <c:crosses val="autoZero"/>
        <c:auto val="1"/>
        <c:lblAlgn val="ctr"/>
        <c:lblOffset val="100"/>
        <c:noMultiLvlLbl val="0"/>
      </c:catAx>
      <c:valAx>
        <c:axId val="-254185776"/>
        <c:scaling>
          <c:orientation val="minMax"/>
          <c:max val="100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-254186320"/>
        <c:crosses val="autoZero"/>
        <c:crossBetween val="between"/>
        <c:majorUnit val="20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3.4168883570693441E-2"/>
          <c:y val="0.17180458309004601"/>
          <c:w val="0.28941890404812015"/>
          <c:h val="0.2123297686202187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Динаміка фінансової підтримки</a:t>
            </a:r>
            <a:r>
              <a:rPr lang="ru-RU" sz="1200" baseline="0"/>
              <a:t> з бюджету громади ОСББ для впровадження заходів з енергоефективності, тис грн</a:t>
            </a:r>
            <a:endParaRPr lang="ru-RU" sz="1200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1577076343717907"/>
          <c:y val="0.16511967279142803"/>
          <c:w val="0.85751400205409112"/>
          <c:h val="0.7538640961294363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ОСББ!$H$2</c:f>
              <c:strCache>
                <c:ptCount val="1"/>
                <c:pt idx="0">
                  <c:v>"Теплі кредити"</c:v>
                </c:pt>
              </c:strCache>
            </c:strRef>
          </c:tx>
          <c:spPr>
            <a:pattFill prst="horzBrick">
              <a:fgClr>
                <a:schemeClr val="accent5">
                  <a:lumMod val="75000"/>
                </a:schemeClr>
              </a:fgClr>
              <a:bgClr>
                <a:schemeClr val="bg1"/>
              </a:bgClr>
            </a:pattFill>
            <a:ln w="6350">
              <a:solidFill>
                <a:schemeClr val="tx1"/>
              </a:solidFill>
            </a:ln>
            <a:effectLst/>
          </c:spPr>
          <c:invertIfNegative val="0"/>
          <c:cat>
            <c:numRef>
              <c:f>ОСББ!$B$3:$B$11</c:f>
              <c:numCache>
                <c:formatCode>General</c:formatCode>
                <c:ptCount val="9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</c:numCache>
            </c:numRef>
          </c:cat>
          <c:val>
            <c:numRef>
              <c:f>ОСББ!$E$3:$E$11</c:f>
              <c:numCache>
                <c:formatCode>General</c:formatCode>
                <c:ptCount val="9"/>
                <c:pt idx="0">
                  <c:v>15.58831</c:v>
                </c:pt>
                <c:pt idx="1">
                  <c:v>446.75792999999999</c:v>
                </c:pt>
                <c:pt idx="2">
                  <c:v>1144.1926000000001</c:v>
                </c:pt>
                <c:pt idx="3">
                  <c:v>3569.7150200000001</c:v>
                </c:pt>
                <c:pt idx="4">
                  <c:v>7995.7053800000003</c:v>
                </c:pt>
                <c:pt idx="5">
                  <c:v>8290.7921999999999</c:v>
                </c:pt>
              </c:numCache>
            </c:numRef>
          </c:val>
        </c:ser>
        <c:ser>
          <c:idx val="1"/>
          <c:order val="1"/>
          <c:tx>
            <c:strRef>
              <c:f>ОСББ!$I$2</c:f>
              <c:strCache>
                <c:ptCount val="1"/>
                <c:pt idx="0">
                  <c:v>"ЕНЕРГОДІМ"</c:v>
                </c:pt>
              </c:strCache>
            </c:strRef>
          </c:tx>
          <c:spPr>
            <a:solidFill>
              <a:srgbClr val="92D050"/>
            </a:solidFill>
            <a:ln w="6350">
              <a:solidFill>
                <a:schemeClr val="tx1"/>
              </a:solidFill>
            </a:ln>
            <a:effectLst/>
          </c:spPr>
          <c:invertIfNegative val="0"/>
          <c:cat>
            <c:numRef>
              <c:f>ОСББ!$B$3:$B$11</c:f>
              <c:numCache>
                <c:formatCode>General</c:formatCode>
                <c:ptCount val="9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</c:numCache>
            </c:numRef>
          </c:cat>
          <c:val>
            <c:numRef>
              <c:f>ОСББ!$F$3:$F$11</c:f>
              <c:numCache>
                <c:formatCode>General</c:formatCode>
                <c:ptCount val="9"/>
                <c:pt idx="5">
                  <c:v>26.35</c:v>
                </c:pt>
                <c:pt idx="6">
                  <c:v>405.09228000000002</c:v>
                </c:pt>
                <c:pt idx="7">
                  <c:v>1945.1588000000002</c:v>
                </c:pt>
                <c:pt idx="8">
                  <c:v>1978.3052700000001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54193392"/>
        <c:axId val="-254183056"/>
      </c:barChart>
      <c:lineChart>
        <c:grouping val="standard"/>
        <c:varyColors val="0"/>
        <c:ser>
          <c:idx val="2"/>
          <c:order val="2"/>
          <c:tx>
            <c:strRef>
              <c:f>ОСББ!$G$2</c:f>
              <c:strCache>
                <c:ptCount val="1"/>
                <c:pt idx="0">
                  <c:v>Разом</c:v>
                </c:pt>
              </c:strCache>
            </c:strRef>
          </c:tx>
          <c:spPr>
            <a:ln w="19050" cap="rnd">
              <a:solidFill>
                <a:schemeClr val="tx1"/>
              </a:solidFill>
              <a:prstDash val="sysDash"/>
              <a:round/>
            </a:ln>
            <a:effectLst/>
          </c:spPr>
          <c:marker>
            <c:symbol val="none"/>
          </c:marker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ОСББ!$G$3:$G$11</c:f>
              <c:numCache>
                <c:formatCode>#,##0.00</c:formatCode>
                <c:ptCount val="9"/>
                <c:pt idx="0">
                  <c:v>15.58831</c:v>
                </c:pt>
                <c:pt idx="1">
                  <c:v>446.75792999999999</c:v>
                </c:pt>
                <c:pt idx="2">
                  <c:v>1144.1926000000001</c:v>
                </c:pt>
                <c:pt idx="3">
                  <c:v>3569.7150200000001</c:v>
                </c:pt>
                <c:pt idx="4">
                  <c:v>7995.7053800000003</c:v>
                </c:pt>
                <c:pt idx="5">
                  <c:v>8317.1422000000002</c:v>
                </c:pt>
                <c:pt idx="6">
                  <c:v>405.09228000000002</c:v>
                </c:pt>
                <c:pt idx="7">
                  <c:v>1945.1588000000002</c:v>
                </c:pt>
                <c:pt idx="8">
                  <c:v>1978.3052700000001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254193392"/>
        <c:axId val="-254183056"/>
      </c:lineChart>
      <c:catAx>
        <c:axId val="-254193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254183056"/>
        <c:crosses val="autoZero"/>
        <c:auto val="1"/>
        <c:lblAlgn val="ctr"/>
        <c:lblOffset val="100"/>
        <c:noMultiLvlLbl val="0"/>
      </c:catAx>
      <c:valAx>
        <c:axId val="-254183056"/>
        <c:scaling>
          <c:orientation val="minMax"/>
          <c:max val="10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254193392"/>
        <c:crosses val="autoZero"/>
        <c:crossBetween val="between"/>
        <c:majorUnit val="2000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6332764415377041"/>
          <c:y val="0.226223007230829"/>
          <c:w val="0.27039433983795502"/>
          <c:h val="0.1861307891018035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6350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0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Мережа зовнішнього освітлення:</a:t>
            </a:r>
            <a:endParaRPr lang="ru-RU" sz="12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1600"/>
            </a:pPr>
            <a:r>
              <a:rPr lang="ru-RU" sz="1200" b="0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кількість світлоточок (шт) та спожита електроенергія (МВт*год)</a:t>
            </a:r>
            <a:endParaRPr lang="ru-RU" sz="12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3142696019224215"/>
          <c:y val="2.492211838006230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6.8624539781497559E-2"/>
          <c:y val="0.23063599032102969"/>
          <c:w val="0.87047670528598109"/>
          <c:h val="0.582509438572430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Міськсвітло!$B$1</c:f>
              <c:strCache>
                <c:ptCount val="1"/>
                <c:pt idx="0">
                  <c:v>Електроенергія, МВт*год</c:v>
                </c:pt>
              </c:strCache>
            </c:strRef>
          </c:tx>
          <c:spPr>
            <a:pattFill prst="wdUpDiag">
              <a:fgClr>
                <a:schemeClr val="accent1"/>
              </a:fgClr>
              <a:bgClr>
                <a:schemeClr val="bg1"/>
              </a:bgClr>
            </a:pattFill>
            <a:ln w="19050"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-1.9597136876054292E-17"/>
                  <c:y val="2.076843198338525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A43-41BB-ABAA-A62A940B299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1.246105919003115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0A43-41BB-ABAA-A62A940B299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1.661474558670820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0A43-41BB-ABAA-A62A940B299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Міськсвітло!$A$2:$A$11</c:f>
              <c:numCache>
                <c:formatCode>General</c:formatCode>
                <c:ptCount val="10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  <c:pt idx="6">
                  <c:v>2020</c:v>
                </c:pt>
                <c:pt idx="7">
                  <c:v>2021</c:v>
                </c:pt>
                <c:pt idx="8">
                  <c:v>2022</c:v>
                </c:pt>
                <c:pt idx="9">
                  <c:v>2023</c:v>
                </c:pt>
              </c:numCache>
            </c:numRef>
          </c:cat>
          <c:val>
            <c:numRef>
              <c:f>Міськсвітло!$B$2:$B$11</c:f>
              <c:numCache>
                <c:formatCode>#,##0.000</c:formatCode>
                <c:ptCount val="10"/>
                <c:pt idx="0">
                  <c:v>3213.9549999999999</c:v>
                </c:pt>
                <c:pt idx="1">
                  <c:v>3233.6149999999998</c:v>
                </c:pt>
                <c:pt idx="2">
                  <c:v>3451.6529999999998</c:v>
                </c:pt>
                <c:pt idx="3">
                  <c:v>3470.0279999999998</c:v>
                </c:pt>
                <c:pt idx="4">
                  <c:v>3195.91</c:v>
                </c:pt>
                <c:pt idx="5">
                  <c:v>2319.377</c:v>
                </c:pt>
                <c:pt idx="6">
                  <c:v>1949.15</c:v>
                </c:pt>
                <c:pt idx="7">
                  <c:v>1881.0740000000001</c:v>
                </c:pt>
                <c:pt idx="8">
                  <c:v>967.36199999999997</c:v>
                </c:pt>
                <c:pt idx="9">
                  <c:v>1200.9000000000001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A43-41BB-ABAA-A62A940B299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254189584"/>
        <c:axId val="-254194480"/>
      </c:barChart>
      <c:lineChart>
        <c:grouping val="standard"/>
        <c:varyColors val="0"/>
        <c:ser>
          <c:idx val="0"/>
          <c:order val="1"/>
          <c:tx>
            <c:strRef>
              <c:f>Міськсвітло!$C$1</c:f>
              <c:strCache>
                <c:ptCount val="1"/>
                <c:pt idx="0">
                  <c:v>Кількість світлоточок, шт.</c:v>
                </c:pt>
              </c:strCache>
            </c:strRef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8"/>
            <c:spPr>
              <a:solidFill>
                <a:schemeClr val="bg1"/>
              </a:solidFill>
              <a:ln w="6350">
                <a:solidFill>
                  <a:schemeClr val="tx1"/>
                </a:solidFill>
              </a:ln>
              <a:effectLst/>
            </c:spPr>
          </c:marker>
          <c:dLbls>
            <c:spPr>
              <a:solidFill>
                <a:schemeClr val="bg1">
                  <a:lumMod val="95000"/>
                </a:schemeClr>
              </a:solidFill>
              <a:ln>
                <a:solidFill>
                  <a:schemeClr val="tx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Міськсвітло!$C$2:$C$11</c:f>
              <c:numCache>
                <c:formatCode>#,##0</c:formatCode>
                <c:ptCount val="10"/>
                <c:pt idx="0">
                  <c:v>12506</c:v>
                </c:pt>
                <c:pt idx="1">
                  <c:v>13301</c:v>
                </c:pt>
                <c:pt idx="2">
                  <c:v>13503</c:v>
                </c:pt>
                <c:pt idx="3">
                  <c:v>14895</c:v>
                </c:pt>
                <c:pt idx="4">
                  <c:v>14773</c:v>
                </c:pt>
                <c:pt idx="5">
                  <c:v>15408</c:v>
                </c:pt>
                <c:pt idx="6">
                  <c:v>15686</c:v>
                </c:pt>
                <c:pt idx="7">
                  <c:v>16157</c:v>
                </c:pt>
                <c:pt idx="8">
                  <c:v>16440</c:v>
                </c:pt>
                <c:pt idx="9">
                  <c:v>16550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A43-41BB-ABAA-A62A940B299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254193936"/>
        <c:axId val="-254180336"/>
      </c:lineChart>
      <c:catAx>
        <c:axId val="-2541895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-254194480"/>
        <c:crosses val="autoZero"/>
        <c:auto val="1"/>
        <c:lblAlgn val="ctr"/>
        <c:lblOffset val="100"/>
        <c:noMultiLvlLbl val="0"/>
      </c:catAx>
      <c:valAx>
        <c:axId val="-254194480"/>
        <c:scaling>
          <c:orientation val="minMax"/>
          <c:max val="5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-254189584"/>
        <c:crosses val="autoZero"/>
        <c:crossBetween val="between"/>
        <c:majorUnit val="1000"/>
      </c:valAx>
      <c:valAx>
        <c:axId val="-254180336"/>
        <c:scaling>
          <c:orientation val="minMax"/>
          <c:max val="17000"/>
          <c:min val="0"/>
        </c:scaling>
        <c:delete val="0"/>
        <c:axPos val="r"/>
        <c:numFmt formatCode="#,##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bg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254193936"/>
        <c:crosses val="max"/>
        <c:crossBetween val="between"/>
        <c:majorUnit val="10000"/>
      </c:valAx>
      <c:catAx>
        <c:axId val="-254193936"/>
        <c:scaling>
          <c:orientation val="minMax"/>
        </c:scaling>
        <c:delete val="1"/>
        <c:axPos val="b"/>
        <c:majorTickMark val="out"/>
        <c:minorTickMark val="none"/>
        <c:tickLblPos val="nextTo"/>
        <c:crossAx val="-254180336"/>
        <c:crosses val="autoZero"/>
        <c:auto val="1"/>
        <c:lblAlgn val="ctr"/>
        <c:lblOffset val="100"/>
        <c:noMultiLvlLbl val="0"/>
      </c:catAx>
      <c:spPr>
        <a:noFill/>
        <a:ln>
          <a:solidFill>
            <a:schemeClr val="tx1"/>
          </a:solidFill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0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Споживання електроенергії світлофорними об</a:t>
            </a:r>
            <a:r>
              <a:rPr lang="en-US" sz="1200" b="0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'</a:t>
            </a:r>
            <a:r>
              <a:rPr lang="ru-RU" sz="1200" b="0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єктами (МВт*год) та їх загальна кількість (од)</a:t>
            </a:r>
            <a:endParaRPr lang="ru-RU" sz="12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6.8624539781497559E-2"/>
          <c:y val="0.2506559969906042"/>
          <c:w val="0.87047670528598109"/>
          <c:h val="0.56248959108124508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Міськсвітло!$E$1</c:f>
              <c:strCache>
                <c:ptCount val="1"/>
                <c:pt idx="0">
                  <c:v>Електроенергія, МВт*год</c:v>
                </c:pt>
              </c:strCache>
            </c:strRef>
          </c:tx>
          <c:spPr>
            <a:pattFill prst="wdUpDiag">
              <a:fgClr>
                <a:schemeClr val="tx1">
                  <a:lumMod val="50000"/>
                  <a:lumOff val="50000"/>
                </a:schemeClr>
              </a:fgClr>
              <a:bgClr>
                <a:schemeClr val="bg1"/>
              </a:bgClr>
            </a:pattFill>
            <a:ln w="12700"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3.848209513629075E-2"/>
                  <c:y val="6.94896851248643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6344200962052375E-2"/>
                  <c:y val="5.21172638436481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3.6344200962052341E-2"/>
                  <c:y val="3.9087947882736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194273752108585E-17"/>
                  <c:y val="5.061940547333863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7CD-4544-81FF-8042C892021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Міськсвітло!$A$2:$A$11</c:f>
              <c:numCache>
                <c:formatCode>General</c:formatCode>
                <c:ptCount val="10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  <c:pt idx="6">
                  <c:v>2020</c:v>
                </c:pt>
                <c:pt idx="7">
                  <c:v>2021</c:v>
                </c:pt>
                <c:pt idx="8">
                  <c:v>2022</c:v>
                </c:pt>
                <c:pt idx="9">
                  <c:v>2023</c:v>
                </c:pt>
              </c:numCache>
            </c:numRef>
          </c:cat>
          <c:val>
            <c:numRef>
              <c:f>Міськсвітло!$E$2:$E$11</c:f>
              <c:numCache>
                <c:formatCode>#,##0.000</c:formatCode>
                <c:ptCount val="10"/>
                <c:pt idx="0">
                  <c:v>478.76499999999999</c:v>
                </c:pt>
                <c:pt idx="1">
                  <c:v>469.45499999999998</c:v>
                </c:pt>
                <c:pt idx="2">
                  <c:v>463.52100000000002</c:v>
                </c:pt>
                <c:pt idx="3">
                  <c:v>402.66399999999999</c:v>
                </c:pt>
                <c:pt idx="4">
                  <c:v>337.28</c:v>
                </c:pt>
                <c:pt idx="5">
                  <c:v>323.67700000000002</c:v>
                </c:pt>
                <c:pt idx="6">
                  <c:v>187.321</c:v>
                </c:pt>
                <c:pt idx="7">
                  <c:v>171.19800000000001</c:v>
                </c:pt>
                <c:pt idx="8">
                  <c:v>134.352</c:v>
                </c:pt>
                <c:pt idx="9">
                  <c:v>132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7CD-4544-81FF-8042C89202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254185232"/>
        <c:axId val="-254190672"/>
      </c:barChart>
      <c:lineChart>
        <c:grouping val="standard"/>
        <c:varyColors val="0"/>
        <c:ser>
          <c:idx val="0"/>
          <c:order val="1"/>
          <c:tx>
            <c:strRef>
              <c:f>Міськсвітло!$F$1</c:f>
              <c:strCache>
                <c:ptCount val="1"/>
                <c:pt idx="0">
                  <c:v>Кількість світлофорних об'єктів, од.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8"/>
            <c:spPr>
              <a:solidFill>
                <a:srgbClr val="FFFF00"/>
              </a:solidFill>
              <a:ln w="6350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848209513629075E-2"/>
                  <c:y val="-0.1059717698154180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344200962052375E-2"/>
                  <c:y val="-0.1103148751357220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solidFill>
                <a:schemeClr val="bg1"/>
              </a:solidFill>
              <a:ln w="6350">
                <a:solidFill>
                  <a:schemeClr val="tx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Міськсвітло!$F$2:$F$11</c:f>
              <c:numCache>
                <c:formatCode>#,##0</c:formatCode>
                <c:ptCount val="10"/>
                <c:pt idx="0">
                  <c:v>99</c:v>
                </c:pt>
                <c:pt idx="1">
                  <c:v>99</c:v>
                </c:pt>
                <c:pt idx="2">
                  <c:v>102</c:v>
                </c:pt>
                <c:pt idx="3">
                  <c:v>106</c:v>
                </c:pt>
                <c:pt idx="4">
                  <c:v>107</c:v>
                </c:pt>
                <c:pt idx="5">
                  <c:v>108</c:v>
                </c:pt>
                <c:pt idx="6">
                  <c:v>110</c:v>
                </c:pt>
                <c:pt idx="7">
                  <c:v>118</c:v>
                </c:pt>
                <c:pt idx="8">
                  <c:v>114</c:v>
                </c:pt>
                <c:pt idx="9">
                  <c:v>119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F7CD-4544-81FF-8042C89202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254184144"/>
        <c:axId val="-254184688"/>
      </c:lineChart>
      <c:catAx>
        <c:axId val="-2541852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254190672"/>
        <c:crosses val="autoZero"/>
        <c:auto val="1"/>
        <c:lblAlgn val="ctr"/>
        <c:lblOffset val="100"/>
        <c:noMultiLvlLbl val="0"/>
      </c:catAx>
      <c:valAx>
        <c:axId val="-254190672"/>
        <c:scaling>
          <c:orientation val="minMax"/>
          <c:max val="6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254185232"/>
        <c:crosses val="autoZero"/>
        <c:crossBetween val="between"/>
        <c:majorUnit val="100"/>
      </c:valAx>
      <c:valAx>
        <c:axId val="-254184688"/>
        <c:scaling>
          <c:orientation val="minMax"/>
          <c:max val="120"/>
          <c:min val="0"/>
        </c:scaling>
        <c:delete val="0"/>
        <c:axPos val="r"/>
        <c:numFmt formatCode="#,##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bg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254184144"/>
        <c:crosses val="max"/>
        <c:crossBetween val="between"/>
        <c:majorUnit val="10"/>
      </c:valAx>
      <c:catAx>
        <c:axId val="-254184144"/>
        <c:scaling>
          <c:orientation val="minMax"/>
        </c:scaling>
        <c:delete val="1"/>
        <c:axPos val="b"/>
        <c:majorTickMark val="out"/>
        <c:minorTickMark val="none"/>
        <c:tickLblPos val="nextTo"/>
        <c:crossAx val="-254184688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споживання енергоносіїв КП "Житомиртеплокомуненерго"</a:t>
            </a:r>
          </a:p>
          <a:p>
            <a:pPr>
              <a:defRPr/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у 2010-2023 роках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6.8245698286563433E-2"/>
          <c:y val="0.12535700865336816"/>
          <c:w val="0.91487666458263484"/>
          <c:h val="0.72067525864831172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ЖТКЕ!$C$2</c:f>
              <c:strCache>
                <c:ptCount val="1"/>
                <c:pt idx="0">
                  <c:v>Природний газ, тис м3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 w="6350"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ЖТКЕ!$B$3:$B$16</c:f>
              <c:numCache>
                <c:formatCode>General</c:formatCode>
                <c:ptCount val="14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  <c:pt idx="11">
                  <c:v>2021</c:v>
                </c:pt>
                <c:pt idx="12">
                  <c:v>2022</c:v>
                </c:pt>
                <c:pt idx="13">
                  <c:v>2023</c:v>
                </c:pt>
              </c:numCache>
            </c:numRef>
          </c:cat>
          <c:val>
            <c:numRef>
              <c:f>ЖТКЕ!$C$3:$C$16</c:f>
              <c:numCache>
                <c:formatCode>#,##0</c:formatCode>
                <c:ptCount val="14"/>
                <c:pt idx="0">
                  <c:v>96859.4</c:v>
                </c:pt>
                <c:pt idx="1">
                  <c:v>89004.6</c:v>
                </c:pt>
                <c:pt idx="2">
                  <c:v>99277.7</c:v>
                </c:pt>
                <c:pt idx="3">
                  <c:v>89041.600000000006</c:v>
                </c:pt>
                <c:pt idx="4">
                  <c:v>75338.600000000006</c:v>
                </c:pt>
                <c:pt idx="5">
                  <c:v>61147.7</c:v>
                </c:pt>
                <c:pt idx="6">
                  <c:v>69197</c:v>
                </c:pt>
                <c:pt idx="7">
                  <c:v>65157.7</c:v>
                </c:pt>
                <c:pt idx="8">
                  <c:v>70102.3</c:v>
                </c:pt>
                <c:pt idx="9">
                  <c:v>59780</c:v>
                </c:pt>
                <c:pt idx="10">
                  <c:v>57967.847999999998</c:v>
                </c:pt>
                <c:pt idx="11">
                  <c:v>67014.399999999994</c:v>
                </c:pt>
                <c:pt idx="12">
                  <c:v>55459.546999999999</c:v>
                </c:pt>
                <c:pt idx="13">
                  <c:v>51721.142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272-4CE1-94A6-2DA8709A1F17}"/>
            </c:ext>
          </c:extLst>
        </c:ser>
        <c:ser>
          <c:idx val="2"/>
          <c:order val="1"/>
          <c:tx>
            <c:strRef>
              <c:f>ЖТКЕ!$D$2</c:f>
              <c:strCache>
                <c:ptCount val="1"/>
                <c:pt idx="0">
                  <c:v>Електронергія, МВт*год</c:v>
                </c:pt>
              </c:strCache>
            </c:strRef>
          </c:tx>
          <c:spPr>
            <a:pattFill prst="wdUpDiag">
              <a:fgClr>
                <a:srgbClr val="FF0000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numFmt formatCode="#,##0" sourceLinked="0"/>
            <c:spPr>
              <a:solidFill>
                <a:schemeClr val="bg1"/>
              </a:solidFill>
              <a:ln w="3175">
                <a:solidFill>
                  <a:schemeClr val="tx1"/>
                </a:solidFill>
              </a:ln>
              <a:effectLst/>
            </c:spPr>
            <c:txPr>
              <a:bodyPr rot="-2700000" spcFirstLastPara="1" vertOverflow="ellipsis" wrap="square" lIns="38100" tIns="19050" rIns="38100" bIns="19050" anchor="ctr" anchorCtr="0">
                <a:spAutoFit/>
              </a:bodyPr>
              <a:lstStyle/>
              <a:p>
                <a:pPr algn="l"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ЖТКЕ!$B$3:$B$16</c:f>
              <c:numCache>
                <c:formatCode>General</c:formatCode>
                <c:ptCount val="14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  <c:pt idx="11">
                  <c:v>2021</c:v>
                </c:pt>
                <c:pt idx="12">
                  <c:v>2022</c:v>
                </c:pt>
                <c:pt idx="13">
                  <c:v>2023</c:v>
                </c:pt>
              </c:numCache>
            </c:numRef>
          </c:cat>
          <c:val>
            <c:numRef>
              <c:f>ЖТКЕ!$D$3:$D$16</c:f>
              <c:numCache>
                <c:formatCode>#,##0.0</c:formatCode>
                <c:ptCount val="14"/>
                <c:pt idx="0">
                  <c:v>21808.5</c:v>
                </c:pt>
                <c:pt idx="1">
                  <c:v>20955</c:v>
                </c:pt>
                <c:pt idx="2">
                  <c:v>22305.3</c:v>
                </c:pt>
                <c:pt idx="3">
                  <c:v>20257.8</c:v>
                </c:pt>
                <c:pt idx="4">
                  <c:v>18720.3</c:v>
                </c:pt>
                <c:pt idx="5">
                  <c:v>18891.2</c:v>
                </c:pt>
                <c:pt idx="6">
                  <c:v>18343.400000000001</c:v>
                </c:pt>
                <c:pt idx="7">
                  <c:v>17690</c:v>
                </c:pt>
                <c:pt idx="8">
                  <c:v>17910.7</c:v>
                </c:pt>
                <c:pt idx="9">
                  <c:v>17131.8</c:v>
                </c:pt>
                <c:pt idx="10">
                  <c:v>16742.933000000001</c:v>
                </c:pt>
                <c:pt idx="11">
                  <c:v>18169.099999999999</c:v>
                </c:pt>
                <c:pt idx="12">
                  <c:v>16102.784</c:v>
                </c:pt>
                <c:pt idx="13">
                  <c:v>15307.044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272-4CE1-94A6-2DA8709A1F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-254189040"/>
        <c:axId val="-254186864"/>
      </c:barChart>
      <c:catAx>
        <c:axId val="-2541890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-254186864"/>
        <c:crosses val="autoZero"/>
        <c:auto val="1"/>
        <c:lblAlgn val="ctr"/>
        <c:lblOffset val="100"/>
        <c:noMultiLvlLbl val="0"/>
      </c:catAx>
      <c:valAx>
        <c:axId val="-254186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-2541890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/>
              <a:t>Споживання електричної енергії</a:t>
            </a:r>
          </a:p>
          <a:p>
            <a:pPr>
              <a:defRPr/>
            </a:pPr>
            <a:r>
              <a:rPr lang="ru-RU"/>
              <a:t>КП "Житомирводоканал", тис МВт*год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spPr>
            <a:pattFill prst="wdUpDiag">
              <a:fgClr>
                <a:srgbClr val="0070C0"/>
              </a:fgClr>
              <a:bgClr>
                <a:schemeClr val="bg1"/>
              </a:bgClr>
            </a:pattFill>
            <a:ln w="12700">
              <a:solidFill>
                <a:srgbClr val="0070C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Лист1!$C$3:$P$3</c:f>
              <c:numCache>
                <c:formatCode>General</c:formatCode>
                <c:ptCount val="14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  <c:pt idx="11">
                  <c:v>2021</c:v>
                </c:pt>
                <c:pt idx="12">
                  <c:v>2022</c:v>
                </c:pt>
                <c:pt idx="13">
                  <c:v>2023</c:v>
                </c:pt>
              </c:numCache>
            </c:numRef>
          </c:cat>
          <c:val>
            <c:numRef>
              <c:f>Лист1!$C$6:$P$6</c:f>
              <c:numCache>
                <c:formatCode>#\ ##0.0</c:formatCode>
                <c:ptCount val="14"/>
                <c:pt idx="0">
                  <c:v>42.096527000000002</c:v>
                </c:pt>
                <c:pt idx="1">
                  <c:v>41.704722000000004</c:v>
                </c:pt>
                <c:pt idx="2">
                  <c:v>42.753569999999996</c:v>
                </c:pt>
                <c:pt idx="3">
                  <c:v>45.789290000000001</c:v>
                </c:pt>
                <c:pt idx="4">
                  <c:v>44.771016000000003</c:v>
                </c:pt>
                <c:pt idx="5">
                  <c:v>40.401978</c:v>
                </c:pt>
                <c:pt idx="6">
                  <c:v>39.152602000000002</c:v>
                </c:pt>
                <c:pt idx="7">
                  <c:v>37.873640000000002</c:v>
                </c:pt>
                <c:pt idx="8">
                  <c:v>37.075277</c:v>
                </c:pt>
                <c:pt idx="9">
                  <c:v>30.812650000000001</c:v>
                </c:pt>
                <c:pt idx="10">
                  <c:v>29.465260999999998</c:v>
                </c:pt>
                <c:pt idx="11">
                  <c:v>30.705893</c:v>
                </c:pt>
                <c:pt idx="12">
                  <c:v>27.367000000000001</c:v>
                </c:pt>
                <c:pt idx="13">
                  <c:v>26.598336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27"/>
        <c:axId val="-254182512"/>
        <c:axId val="-254181968"/>
      </c:barChart>
      <c:catAx>
        <c:axId val="-2541825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-254181968"/>
        <c:crosses val="autoZero"/>
        <c:auto val="1"/>
        <c:lblAlgn val="ctr"/>
        <c:lblOffset val="100"/>
        <c:noMultiLvlLbl val="0"/>
      </c:catAx>
      <c:valAx>
        <c:axId val="-2541819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-2541825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6350" cap="flat" cmpd="sng" algn="ctr">
      <a:solidFill>
        <a:schemeClr val="tx1"/>
      </a:solidFill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01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7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24B42-A3C3-439E-9103-22FF642DC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5742</TotalTime>
  <Pages>15</Pages>
  <Words>3641</Words>
  <Characters>20760</Characters>
  <Application>Microsoft Office Word</Application>
  <DocSecurity>0</DocSecurity>
  <Lines>173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X64</dc:creator>
  <cp:lastModifiedBy>Гончарук О.О. (ДЕР)</cp:lastModifiedBy>
  <cp:revision>228</cp:revision>
  <cp:lastPrinted>2024-11-15T10:14:00Z</cp:lastPrinted>
  <dcterms:created xsi:type="dcterms:W3CDTF">2016-11-20T15:18:00Z</dcterms:created>
  <dcterms:modified xsi:type="dcterms:W3CDTF">2024-11-15T11:50:00Z</dcterms:modified>
</cp:coreProperties>
</file>