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E7C55" w14:textId="3710525F" w:rsidR="001710BE" w:rsidRPr="001375C3" w:rsidRDefault="00BF221E" w:rsidP="00BF221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375C3">
        <w:rPr>
          <w:rFonts w:ascii="Times New Roman" w:hAnsi="Times New Roman" w:cs="Times New Roman"/>
          <w:b/>
          <w:sz w:val="28"/>
          <w:lang w:val="uk-UA"/>
        </w:rPr>
        <w:t xml:space="preserve">Дорожня карта </w:t>
      </w:r>
      <w:r w:rsidR="00B27774">
        <w:rPr>
          <w:rFonts w:ascii="Times New Roman" w:hAnsi="Times New Roman" w:cs="Times New Roman"/>
          <w:b/>
          <w:sz w:val="28"/>
          <w:lang w:val="uk-UA"/>
        </w:rPr>
        <w:t>в</w:t>
      </w:r>
      <w:r w:rsidRPr="001375C3">
        <w:rPr>
          <w:rFonts w:ascii="Times New Roman" w:hAnsi="Times New Roman" w:cs="Times New Roman"/>
          <w:b/>
          <w:sz w:val="28"/>
          <w:lang w:val="uk-UA"/>
        </w:rPr>
        <w:t>провадження енергетичного менеджменту в громаді</w:t>
      </w:r>
    </w:p>
    <w:p w14:paraId="1D74ABDD" w14:textId="0B1CC4D2" w:rsidR="001375C3" w:rsidRPr="00D2212B" w:rsidRDefault="001375C3" w:rsidP="00D2212B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375C3">
        <w:rPr>
          <w:rFonts w:ascii="Times New Roman" w:hAnsi="Times New Roman" w:cs="Times New Roman"/>
          <w:sz w:val="24"/>
          <w:szCs w:val="24"/>
          <w:lang w:val="uk-UA"/>
        </w:rPr>
        <w:t>Впровадження енергетичного менеджменту</w:t>
      </w:r>
      <w:r w:rsidR="004D081D">
        <w:rPr>
          <w:rFonts w:ascii="Times New Roman" w:hAnsi="Times New Roman" w:cs="Times New Roman"/>
          <w:sz w:val="24"/>
          <w:szCs w:val="24"/>
          <w:lang w:val="uk-UA"/>
        </w:rPr>
        <w:t xml:space="preserve"> (ЕМ)</w:t>
      </w:r>
      <w:r w:rsidRPr="001375C3">
        <w:rPr>
          <w:rFonts w:ascii="Times New Roman" w:hAnsi="Times New Roman" w:cs="Times New Roman"/>
          <w:sz w:val="24"/>
          <w:szCs w:val="24"/>
          <w:lang w:val="uk-UA"/>
        </w:rPr>
        <w:t xml:space="preserve"> в громаді є важливим кроком для підвищення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рівня </w:t>
      </w:r>
      <w:r w:rsidRPr="001375C3">
        <w:rPr>
          <w:rFonts w:ascii="Times New Roman" w:hAnsi="Times New Roman" w:cs="Times New Roman"/>
          <w:sz w:val="24"/>
          <w:szCs w:val="24"/>
          <w:lang w:val="uk-UA"/>
        </w:rPr>
        <w:t>енергоефективності, зменшення витрат на енергоносії та зменшення негативного впливу на довкілля. Нижче наведен</w:t>
      </w:r>
      <w:r w:rsidR="00B2777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13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приклад</w:t>
      </w:r>
      <w:r w:rsidRPr="001375C3">
        <w:rPr>
          <w:rFonts w:ascii="Times New Roman" w:hAnsi="Times New Roman" w:cs="Times New Roman"/>
          <w:sz w:val="24"/>
          <w:szCs w:val="24"/>
          <w:lang w:val="uk-UA"/>
        </w:rPr>
        <w:t xml:space="preserve"> дорожн</w:t>
      </w:r>
      <w:r>
        <w:rPr>
          <w:rFonts w:ascii="Times New Roman" w:hAnsi="Times New Roman" w:cs="Times New Roman"/>
          <w:sz w:val="24"/>
          <w:szCs w:val="24"/>
          <w:lang w:val="uk-UA"/>
        </w:rPr>
        <w:t>ьої</w:t>
      </w:r>
      <w:r w:rsidRPr="001375C3">
        <w:rPr>
          <w:rFonts w:ascii="Times New Roman" w:hAnsi="Times New Roman" w:cs="Times New Roman"/>
          <w:sz w:val="24"/>
          <w:szCs w:val="24"/>
          <w:lang w:val="uk-UA"/>
        </w:rPr>
        <w:t xml:space="preserve"> карт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впровадження енергетичного </w:t>
      </w:r>
      <w:r w:rsidRPr="00D221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менеджменту, яка може бути адаптована залежно від наявних можливостей та потреб конкретної громади.</w:t>
      </w:r>
    </w:p>
    <w:p w14:paraId="1FF1EEBD" w14:textId="77777777" w:rsidR="00D2212B" w:rsidRPr="00D2212B" w:rsidRDefault="00D2212B" w:rsidP="00D2212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221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Документи, якими органи місцевого самоврядування можуть керуватися у своїй роботі під час запровадження та функціонування системи енергетичного менеджменту:</w:t>
      </w:r>
    </w:p>
    <w:p w14:paraId="1F609E01" w14:textId="77777777" w:rsidR="00D2212B" w:rsidRPr="00D2212B" w:rsidRDefault="00D2212B" w:rsidP="00D221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221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Постанова Кабінету Міністрів України від 23 грудня 2021 року №1460 «Про впровадження систем енергетичного менеджменту»</w:t>
      </w:r>
    </w:p>
    <w:p w14:paraId="589A61EE" w14:textId="77777777" w:rsidR="00D2212B" w:rsidRPr="00D2212B" w:rsidRDefault="00D2212B" w:rsidP="00D221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221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ДСТУ ISO 50001:2020 (ISO 50001:2018, IDT) “Системи енергетичного менеджменту. Вимоги та настанова щодо використання”</w:t>
      </w:r>
    </w:p>
    <w:p w14:paraId="35ABD1EF" w14:textId="77777777" w:rsidR="00D2212B" w:rsidRPr="00D2212B" w:rsidRDefault="00D2212B" w:rsidP="00D221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221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ДСТУ ISO 50004:2016 (ISO 50004:2014, IDT) “Системи енергетичного менеджменту. Настанова щодо запровадження, супровід та поліпшення системи енергетичного менеджменту”</w:t>
      </w:r>
    </w:p>
    <w:tbl>
      <w:tblPr>
        <w:tblStyle w:val="a3"/>
        <w:tblW w:w="14980" w:type="dxa"/>
        <w:tblLook w:val="04A0" w:firstRow="1" w:lastRow="0" w:firstColumn="1" w:lastColumn="0" w:noHBand="0" w:noVBand="1"/>
      </w:tblPr>
      <w:tblGrid>
        <w:gridCol w:w="1835"/>
        <w:gridCol w:w="1915"/>
        <w:gridCol w:w="4892"/>
        <w:gridCol w:w="4253"/>
        <w:gridCol w:w="2085"/>
      </w:tblGrid>
      <w:tr w:rsidR="001F4BA7" w:rsidRPr="006D485E" w14:paraId="7BA71B0D" w14:textId="77777777" w:rsidTr="00703D81"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1BA19BF0" w14:textId="77777777" w:rsidR="00BF221E" w:rsidRPr="006D485E" w:rsidRDefault="00BF221E" w:rsidP="00BF221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6D485E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Етап впровадження</w:t>
            </w:r>
          </w:p>
        </w:tc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21E7FF0F" w14:textId="77777777" w:rsidR="00BF221E" w:rsidRPr="006D485E" w:rsidRDefault="00702DFC" w:rsidP="00BF221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Опис етапу</w:t>
            </w:r>
          </w:p>
        </w:tc>
        <w:tc>
          <w:tcPr>
            <w:tcW w:w="4892" w:type="dxa"/>
            <w:shd w:val="clear" w:color="auto" w:fill="F2F2F2" w:themeFill="background1" w:themeFillShade="F2"/>
            <w:vAlign w:val="center"/>
          </w:tcPr>
          <w:p w14:paraId="5C30B71E" w14:textId="77777777" w:rsidR="00BF221E" w:rsidRPr="006D485E" w:rsidRDefault="00702DFC" w:rsidP="00BF221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Опис діяльності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3EDDD7A" w14:textId="77777777" w:rsidR="00BF221E" w:rsidRPr="006D485E" w:rsidRDefault="00BF221E" w:rsidP="00BF221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6D485E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Документи</w:t>
            </w:r>
            <w:r w:rsidR="00D3084F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, процедури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67567A84" w14:textId="77777777" w:rsidR="00BF221E" w:rsidRPr="006D485E" w:rsidRDefault="00BF221E" w:rsidP="00BF221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6D485E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Примітки</w:t>
            </w:r>
          </w:p>
        </w:tc>
      </w:tr>
      <w:tr w:rsidR="00AB7025" w:rsidRPr="006D485E" w14:paraId="15DA7BE5" w14:textId="77777777" w:rsidTr="00703D81">
        <w:tc>
          <w:tcPr>
            <w:tcW w:w="1835" w:type="dxa"/>
          </w:tcPr>
          <w:p w14:paraId="54C5C0A6" w14:textId="77777777" w:rsidR="001375C3" w:rsidRPr="006D485E" w:rsidRDefault="001375C3" w:rsidP="00137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Підготовчий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(початковий)</w:t>
            </w:r>
          </w:p>
        </w:tc>
        <w:tc>
          <w:tcPr>
            <w:tcW w:w="1915" w:type="dxa"/>
          </w:tcPr>
          <w:p w14:paraId="417C951E" w14:textId="77777777" w:rsidR="001375C3" w:rsidRPr="006D485E" w:rsidRDefault="001375C3" w:rsidP="00137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Ініціювання необхідних внутрішніх процесів та процедур, розробка та початкове затвердження документів</w:t>
            </w:r>
          </w:p>
        </w:tc>
        <w:tc>
          <w:tcPr>
            <w:tcW w:w="4892" w:type="dxa"/>
          </w:tcPr>
          <w:p w14:paraId="6371808E" w14:textId="77777777" w:rsidR="001375C3" w:rsidRDefault="009615AF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Голова громади </w:t>
            </w:r>
            <w:r w:rsidR="00CE11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місцева рада</w:t>
            </w:r>
            <w:r w:rsidR="00CE11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E11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видає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E11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розпорядження (приймає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</w:t>
            </w:r>
            <w:r w:rsidR="00CE11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 запровадження системи енергетичного менеджменту. Визначається відповідальний виконавчий орган </w:t>
            </w:r>
            <w:r w:rsidR="006628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відповідальні посадові особи за впровадження енергетичного менеджменту</w:t>
            </w:r>
            <w:r w:rsidR="00CE11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громаді (енергоменеджери громади)</w:t>
            </w:r>
            <w:r w:rsidR="006628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145DAD91" w14:textId="77777777" w:rsidR="00D17AF3" w:rsidRDefault="00D17AF3" w:rsidP="00D17A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Проводиться початкове навчання для енергоменеджерів та інших посадових осіб, які входять до організаційної структури системи ЕМ.</w:t>
            </w:r>
          </w:p>
          <w:p w14:paraId="68D84F51" w14:textId="77777777" w:rsidR="00CE11D4" w:rsidRPr="006D485E" w:rsidRDefault="00391DE7" w:rsidP="00D17A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Енергоменеджером</w:t>
            </w:r>
            <w:r w:rsidR="00CE11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громади п</w:t>
            </w:r>
            <w:r w:rsidR="007C70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роводиться інвен</w:t>
            </w:r>
            <w:r w:rsidR="00CE11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таризація муніципальних будівель та початковий аналіз споживання енергії та ресурсів в муніципальних будівлях.</w:t>
            </w:r>
          </w:p>
        </w:tc>
        <w:tc>
          <w:tcPr>
            <w:tcW w:w="4253" w:type="dxa"/>
          </w:tcPr>
          <w:p w14:paraId="4D67C6BE" w14:textId="6E1FBEEB" w:rsidR="001375C3" w:rsidRDefault="004D081D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Вносяться</w:t>
            </w:r>
            <w:r w:rsidR="00961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відповідні зміни в положення про відповідальний виконавчий орган та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61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посадові інструкції працівників, у разі потреби – змінюється штатний розклад та вводяться нові штатні одиниці </w:t>
            </w:r>
            <w:r w:rsidR="00B277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961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енергоменеджерів</w:t>
            </w:r>
            <w:r w:rsidR="00B277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961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21404B94" w14:textId="77777777" w:rsidR="004D081D" w:rsidRDefault="004D081D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Відповідальним виконавчим органом за впровадження ЕМ розробляється</w:t>
            </w:r>
            <w:r w:rsidR="00391DE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організаційна</w:t>
            </w:r>
            <w:r w:rsidR="00CE11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структура та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план діяльності системи ЕМ</w:t>
            </w:r>
            <w:r w:rsidR="00CE11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а також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декларація енергетичної політики громади. План діяльності визначає проміжні цілі, завдання</w:t>
            </w:r>
            <w:r w:rsidR="006628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індикативні показники досягнення цілей тощо.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4D08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екларація енергетичної політики - документ, що визначає наміри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громади</w:t>
            </w:r>
            <w:r w:rsidRPr="004D08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щодо запровадження, забезпечення подальшого функціонування та розвитку системи енергетичного менеджменту, а також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її </w:t>
            </w:r>
            <w:r w:rsidRPr="004D08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цілі функціонування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CE11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91DE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Організаційна с</w:t>
            </w:r>
            <w:r w:rsidR="00CE11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труктура та план діяльності ЕМ, декларація енергетичної політики затверджуються </w:t>
            </w:r>
            <w:r w:rsidR="00391DE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розпорядженням голови громади або </w:t>
            </w:r>
            <w:r w:rsidR="00CE11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рішенням</w:t>
            </w:r>
            <w:r w:rsidR="00391DE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місцевої ради.</w:t>
            </w:r>
          </w:p>
          <w:p w14:paraId="3AA03D77" w14:textId="77777777" w:rsidR="002B2DFF" w:rsidRDefault="002B2DFF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Відповідальним виконавчим органом за впровадження ЕМ розробляються пропозиції необхідних змін у положення про виконавчі органи, які входять до організаційної структури </w:t>
            </w:r>
            <w:r w:rsidR="00D17A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системи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ЕМ, а також рекомендації 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пропозиції необхідних змін до посадових інструкцій осіб, задіяних в діяльності системи ЕМ.</w:t>
            </w:r>
          </w:p>
          <w:p w14:paraId="3062C9C2" w14:textId="77777777" w:rsidR="00D17AF3" w:rsidRPr="006D485E" w:rsidRDefault="00D17AF3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Розпорядженням голови громади створюється робоча група з формування місцевої енергетичної (кліматичної) політики, затверджується її персональний склад та положення про функціонування.</w:t>
            </w:r>
          </w:p>
        </w:tc>
        <w:tc>
          <w:tcPr>
            <w:tcW w:w="2085" w:type="dxa"/>
          </w:tcPr>
          <w:p w14:paraId="58E2F4E9" w14:textId="77777777" w:rsidR="001375C3" w:rsidRPr="006D485E" w:rsidRDefault="00FA0954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На даному етапі проводиться початкова розробка та затвердження необхідних документів для функціонування системи ЕМ. </w:t>
            </w:r>
            <w:r w:rsidR="00EC43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результатами</w:t>
            </w:r>
            <w:r w:rsidR="00EC43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функціонування системи ЕМ на наступних етапах можуть прийматися необхідні зміни у документи</w:t>
            </w:r>
            <w:r w:rsidR="00FF38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розроблені та затверджені на початковому етапі впровадження ЕМ.</w:t>
            </w:r>
          </w:p>
        </w:tc>
      </w:tr>
      <w:tr w:rsidR="00703D81" w:rsidRPr="006D485E" w14:paraId="442869AE" w14:textId="77777777" w:rsidTr="00703D81">
        <w:tc>
          <w:tcPr>
            <w:tcW w:w="1835" w:type="dxa"/>
          </w:tcPr>
          <w:p w14:paraId="79CFAD38" w14:textId="77777777" w:rsidR="001375C3" w:rsidRDefault="001375C3" w:rsidP="00137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Впровадження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(безпосереднє)</w:t>
            </w:r>
          </w:p>
        </w:tc>
        <w:tc>
          <w:tcPr>
            <w:tcW w:w="1915" w:type="dxa"/>
          </w:tcPr>
          <w:p w14:paraId="2F3543EB" w14:textId="77777777" w:rsidR="001375C3" w:rsidRPr="006D485E" w:rsidRDefault="001A3A90" w:rsidP="00137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Функціонування системи ЕМ після прийнятих початкових необхідних документів (основний етап)</w:t>
            </w:r>
          </w:p>
        </w:tc>
        <w:tc>
          <w:tcPr>
            <w:tcW w:w="4892" w:type="dxa"/>
          </w:tcPr>
          <w:p w14:paraId="297B4A8A" w14:textId="573EF63B" w:rsidR="000F1C35" w:rsidRDefault="00225644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Енергоменеджер громади здійснюється збір інформації та аналіз споживання енергії та ресурсів загалом по громаді та ідентифік</w:t>
            </w:r>
            <w:r w:rsidR="00B277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ує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основних споживачів</w:t>
            </w:r>
            <w:r w:rsidR="005B14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енергії (муніципальні будівлі, вуличне освітлення, комунальні підприємства, житло</w:t>
            </w:r>
            <w:r w:rsidR="00B277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 будівлі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приватні підприємства тощо)</w:t>
            </w:r>
            <w:r w:rsidR="005B14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Додатково проводиться ідентифікація та аналіз місцевих об</w:t>
            </w:r>
            <w:r w:rsidR="005B1425">
              <w:rPr>
                <w:rFonts w:ascii="Calibri" w:hAnsi="Calibri" w:cs="Calibri"/>
                <w:sz w:val="20"/>
                <w:szCs w:val="20"/>
                <w:lang w:val="uk-UA"/>
              </w:rPr>
              <w:t>'</w:t>
            </w:r>
            <w:r w:rsidR="005B14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єктів генерації енергії, зокрема об</w:t>
            </w:r>
            <w:r w:rsidR="005B1425">
              <w:rPr>
                <w:rFonts w:ascii="Calibri" w:hAnsi="Calibri" w:cs="Calibri"/>
                <w:sz w:val="20"/>
                <w:szCs w:val="20"/>
                <w:lang w:val="uk-UA"/>
              </w:rPr>
              <w:t>'</w:t>
            </w:r>
            <w:r w:rsidR="005B14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єктів ВДЕ.</w:t>
            </w:r>
          </w:p>
          <w:p w14:paraId="79E76480" w14:textId="77777777" w:rsidR="00EC4323" w:rsidRDefault="00EC4323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результатами інвентаризації будівель проводиться відбір об</w:t>
            </w:r>
            <w:r>
              <w:rPr>
                <w:rFonts w:ascii="Calibri" w:hAnsi="Calibri" w:cs="Calibri"/>
                <w:sz w:val="20"/>
                <w:szCs w:val="20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єктів та впроваджується енергетичний моніторинг:</w:t>
            </w:r>
          </w:p>
          <w:p w14:paraId="3D077092" w14:textId="77777777" w:rsidR="00EC4323" w:rsidRPr="00DD1598" w:rsidRDefault="00EC4323" w:rsidP="00DD15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15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визначається частота зняття показів лічильників та інших параметрів;</w:t>
            </w:r>
          </w:p>
          <w:p w14:paraId="6176646F" w14:textId="77777777" w:rsidR="00EC4323" w:rsidRPr="00DD1598" w:rsidRDefault="00EC4323" w:rsidP="00DD15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15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здійснюється уточнення інформації щодо енергетичних та експлуатаційних характеристик будівель</w:t>
            </w:r>
            <w:r w:rsidR="00DD1598" w:rsidRPr="00DD15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15F7D689" w14:textId="77777777" w:rsidR="00EC4323" w:rsidRPr="00DD1598" w:rsidRDefault="00EC4323" w:rsidP="00DD15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15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здійснюється періодичний аналіз </w:t>
            </w:r>
            <w:r w:rsidR="00DD1598" w:rsidRPr="00DD15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ефективності споживання енергії та ресурсів.</w:t>
            </w:r>
          </w:p>
          <w:p w14:paraId="5FEE01EF" w14:textId="77777777" w:rsidR="00EC4323" w:rsidRDefault="00DD1598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Проводяться навчання для енергоменеджерів закладів громади щодо ощадного (раціонального) споживання енергії та ресурсів.</w:t>
            </w:r>
          </w:p>
          <w:p w14:paraId="48CD288E" w14:textId="77777777" w:rsidR="00DD1598" w:rsidRDefault="00DD1598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Здійснюється розрахунок базових рівнів споживання енергії та ресурсів муніципальними об</w:t>
            </w:r>
            <w:r>
              <w:rPr>
                <w:rFonts w:ascii="Calibri" w:hAnsi="Calibri" w:cs="Calibri"/>
                <w:sz w:val="20"/>
                <w:szCs w:val="20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єктами.</w:t>
            </w:r>
          </w:p>
          <w:p w14:paraId="0199BDA9" w14:textId="77777777" w:rsidR="00DD1598" w:rsidRDefault="00DD1598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Проводиться періодичний аналіз та контроль споживання енергії та ресурсів муніципальними об</w:t>
            </w:r>
            <w:r>
              <w:rPr>
                <w:rFonts w:ascii="Calibri" w:hAnsi="Calibri" w:cs="Calibri"/>
                <w:sz w:val="20"/>
                <w:szCs w:val="20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єктами.</w:t>
            </w:r>
          </w:p>
          <w:p w14:paraId="020DA95B" w14:textId="77777777" w:rsidR="001F4BA7" w:rsidRDefault="001F4BA7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Здійснюється оптимізація споживання енергії та ресурсів за допомогою малозатратних заходів.</w:t>
            </w:r>
          </w:p>
          <w:p w14:paraId="6126BAEF" w14:textId="77777777" w:rsidR="00DD1598" w:rsidRDefault="00DD1598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Розробляється та запроваджується механізм стимулювання ощадного (раціонального) споживання енергії та ресурсів муніципальними об</w:t>
            </w:r>
            <w:r>
              <w:rPr>
                <w:rFonts w:ascii="Calibri" w:hAnsi="Calibri" w:cs="Calibri"/>
                <w:sz w:val="20"/>
                <w:szCs w:val="20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єктами.</w:t>
            </w:r>
          </w:p>
          <w:p w14:paraId="25DE54FA" w14:textId="7EFC63ED" w:rsidR="00703D81" w:rsidRDefault="00B27774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Енергоменеджер забезпечується</w:t>
            </w:r>
            <w:r w:rsidR="007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необхідним вимірювальним обладнанням</w:t>
            </w:r>
            <w:r w:rsidR="00105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відповідним програмним забезпеченням</w:t>
            </w:r>
            <w:r w:rsidR="007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 обстеження будівель та обладнання:</w:t>
            </w:r>
          </w:p>
          <w:p w14:paraId="5D6EC67F" w14:textId="176B554F" w:rsidR="00105F0A" w:rsidRDefault="00105F0A" w:rsidP="00105F0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пристрої для зчитування даних приладів обл</w:t>
            </w:r>
            <w:r w:rsidR="00B277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ку;</w:t>
            </w:r>
          </w:p>
          <w:p w14:paraId="7DC1E181" w14:textId="77777777" w:rsidR="00703D81" w:rsidRPr="00703D81" w:rsidRDefault="00703D81" w:rsidP="00703D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лазерний далекомір;</w:t>
            </w:r>
          </w:p>
          <w:p w14:paraId="11F51D3C" w14:textId="7E5D56BE" w:rsidR="00703D81" w:rsidRPr="00703D81" w:rsidRDefault="00703D81" w:rsidP="00703D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даталогери</w:t>
            </w:r>
            <w:proofErr w:type="spellEnd"/>
            <w:r w:rsidRPr="007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/реєстратори температури та вологості повітря з пристроєм зчитування даних;</w:t>
            </w:r>
          </w:p>
          <w:p w14:paraId="036F3495" w14:textId="77777777" w:rsidR="00703D81" w:rsidRPr="00703D81" w:rsidRDefault="00703D81" w:rsidP="00703D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даталогери</w:t>
            </w:r>
            <w:proofErr w:type="spellEnd"/>
            <w:r w:rsidRPr="007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/реєстратори концентрації вуглекислого газу (СО</w:t>
            </w:r>
            <w:r w:rsidRPr="00703D81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7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 в повітрі з пристроєм зчитування даних;</w:t>
            </w:r>
          </w:p>
          <w:p w14:paraId="5C40EAEE" w14:textId="77777777" w:rsidR="00703D81" w:rsidRPr="00703D81" w:rsidRDefault="00703D81" w:rsidP="00703D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цифровий анемометр;</w:t>
            </w:r>
          </w:p>
          <w:p w14:paraId="41818C25" w14:textId="77777777" w:rsidR="00703D81" w:rsidRPr="00703D81" w:rsidRDefault="00703D81" w:rsidP="00703D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цифровий люксметр;</w:t>
            </w:r>
          </w:p>
          <w:p w14:paraId="21EA3F8F" w14:textId="77777777" w:rsidR="00703D81" w:rsidRPr="00703D81" w:rsidRDefault="00703D81" w:rsidP="00703D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пірометр;</w:t>
            </w:r>
          </w:p>
          <w:p w14:paraId="32951BCE" w14:textId="77777777" w:rsidR="00703D81" w:rsidRPr="00703D81" w:rsidRDefault="00703D81" w:rsidP="00703D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тепловізор</w:t>
            </w:r>
            <w:proofErr w:type="spellEnd"/>
            <w:r w:rsidRPr="007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тощо.</w:t>
            </w:r>
          </w:p>
        </w:tc>
        <w:tc>
          <w:tcPr>
            <w:tcW w:w="4253" w:type="dxa"/>
          </w:tcPr>
          <w:p w14:paraId="1D5872EC" w14:textId="77777777" w:rsidR="00DD1598" w:rsidRDefault="00DD1598" w:rsidP="00DD15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Здійснюється вибір необхідного програмного забезпечення для енергомоніторингу</w:t>
            </w:r>
            <w:r w:rsidR="001A3A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проводиться його закупівля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вносяться необхідні зміни в посадові інструкції відповідальних осіб</w:t>
            </w:r>
            <w:r w:rsidR="001A3A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 ведення енергомоніторингу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653D8D57" w14:textId="508B1BCD" w:rsidR="00597E6E" w:rsidRDefault="00597E6E" w:rsidP="00DD15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Проводиться розробки та затвердження методики розрахунку базових рівнів споживання енергії та ресурсів, а також – періодичн</w:t>
            </w:r>
            <w:r w:rsidR="00CA02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розрахунок та затвердження значень базових рівнів споживання для конкретних муніципальних об</w:t>
            </w:r>
            <w:r>
              <w:rPr>
                <w:rFonts w:ascii="Calibri" w:hAnsi="Calibri" w:cs="Calibri"/>
                <w:sz w:val="20"/>
                <w:szCs w:val="20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єктів.</w:t>
            </w:r>
          </w:p>
          <w:p w14:paraId="056438FF" w14:textId="77777777" w:rsidR="00611F33" w:rsidRDefault="00611F33" w:rsidP="00DD15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Затверджуються необхідні нормативно-розпорядчі місцеві документи для функціонування механізму ощадного (раціонального) споживання енергії та ресурсів, затверджуються результати функціонування механізму стимулювання за встановленою формою.</w:t>
            </w:r>
          </w:p>
          <w:p w14:paraId="70EB41CF" w14:textId="77777777" w:rsidR="00597E6E" w:rsidRDefault="00597E6E" w:rsidP="00DD15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Затверджуються необхідні документи з вимогами щодо підготовки та затвердження системи звітності про функціонування енергетичного моніторингу, механізмів стимулювання, проведених навчань та системи ЕМ в цілому тощо.</w:t>
            </w:r>
          </w:p>
          <w:p w14:paraId="0C48A4BA" w14:textId="269A251C" w:rsidR="00DD1598" w:rsidRDefault="00F0435B" w:rsidP="00DD15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Склада</w:t>
            </w:r>
            <w:r w:rsidR="00CA02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ються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звіт</w:t>
            </w:r>
            <w:r w:rsidR="00CA02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обстеження будівель та обладнання, в тому числі із застосуванням вимірювального обладнання.</w:t>
            </w:r>
          </w:p>
          <w:p w14:paraId="59E4373B" w14:textId="77777777" w:rsidR="001375C3" w:rsidRPr="006D485E" w:rsidRDefault="001375C3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85" w:type="dxa"/>
          </w:tcPr>
          <w:p w14:paraId="2327AD19" w14:textId="77777777" w:rsidR="001375C3" w:rsidRPr="006D485E" w:rsidRDefault="001375C3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даному етапі заходи впроваджуються та реалізовуються з використанням циклу безперервного поліпшення процесів (циклу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Демінга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 – плануй, виконуй, перевіряй, дій.</w:t>
            </w:r>
          </w:p>
        </w:tc>
      </w:tr>
      <w:tr w:rsidR="00703D81" w:rsidRPr="006D485E" w14:paraId="0400BE82" w14:textId="77777777" w:rsidTr="00703D81">
        <w:tc>
          <w:tcPr>
            <w:tcW w:w="1835" w:type="dxa"/>
          </w:tcPr>
          <w:p w14:paraId="5D6B0AA1" w14:textId="77777777" w:rsidR="001375C3" w:rsidRDefault="001375C3" w:rsidP="00137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та реалізація інфраструктурних проєктів та заходів з підвищення енергетичної ефективності</w:t>
            </w:r>
          </w:p>
        </w:tc>
        <w:tc>
          <w:tcPr>
            <w:tcW w:w="1915" w:type="dxa"/>
          </w:tcPr>
          <w:p w14:paraId="6E83BB32" w14:textId="77777777" w:rsidR="001375C3" w:rsidRPr="006D485E" w:rsidRDefault="00AB7025" w:rsidP="00137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Підготовка умов, розробка та реалізація </w:t>
            </w:r>
            <w:r w:rsidR="007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інвестиційних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заходів з підвищення енергоефективності та розвитку ВДЕ</w:t>
            </w:r>
          </w:p>
        </w:tc>
        <w:tc>
          <w:tcPr>
            <w:tcW w:w="4892" w:type="dxa"/>
          </w:tcPr>
          <w:p w14:paraId="4EB15EE8" w14:textId="77777777" w:rsidR="001375C3" w:rsidRDefault="00460B0C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даному етапі розробляються та затверджуються стратегічні місцеві документи для здійснення заходів та реалізації інфраструктурних проєктів із залученням бюджетних, кредитних та грантових коштів.</w:t>
            </w:r>
          </w:p>
          <w:p w14:paraId="0592B9EF" w14:textId="77777777" w:rsidR="00460B0C" w:rsidRDefault="00460B0C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основі інформації, зібраної на попередньому етапі,</w:t>
            </w:r>
            <w:r w:rsidR="00AB58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визначаються пріоритетні об</w:t>
            </w:r>
            <w:r w:rsidR="00AB58C9">
              <w:rPr>
                <w:rFonts w:ascii="Calibri" w:hAnsi="Calibri" w:cs="Calibri"/>
                <w:sz w:val="20"/>
                <w:szCs w:val="20"/>
                <w:lang w:val="uk-UA"/>
              </w:rPr>
              <w:t>'</w:t>
            </w:r>
            <w:r w:rsidR="00AB58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єкти для модернізації.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B58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Проводяться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необхідні розрахунки,</w:t>
            </w:r>
            <w:r w:rsidR="00AB58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замовляються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техніко-економічні обґрунтування для реалізації проєктів з термомодернізації будівель, реконструкції або модернізації генеруючого обладнання, а також розробляється необхідна проєктно-кошторисна документація.</w:t>
            </w:r>
          </w:p>
          <w:p w14:paraId="68F3BC85" w14:textId="77777777" w:rsidR="00281C7E" w:rsidRPr="006D485E" w:rsidRDefault="00281C7E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результатами реалізації проєктів проводяться відповідні розрахунки з метою оцінки ефективності впроваджених заходів із оформленням звітів для подальшого представлення керівництву громади, депутатам місцевої ради, донорам тощо.</w:t>
            </w:r>
          </w:p>
        </w:tc>
        <w:tc>
          <w:tcPr>
            <w:tcW w:w="4253" w:type="dxa"/>
          </w:tcPr>
          <w:p w14:paraId="69942B15" w14:textId="7ADC46AF" w:rsidR="001375C3" w:rsidRDefault="001F4BA7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Розробка та затвердження </w:t>
            </w:r>
            <w:r w:rsidRPr="001F4B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стратегічних документів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громади</w:t>
            </w:r>
            <w:r w:rsidRPr="001F4B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сфері енергоефективності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а також підготовка та затвердження відповідної звітності</w:t>
            </w:r>
            <w:r w:rsidRPr="001F4B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(Муніципальний енергетичний план, План дій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зі </w:t>
            </w:r>
            <w:r w:rsidRPr="001F4B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сталого енергетичного розвитку та клімату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</w:t>
            </w:r>
            <w:r w:rsidR="00CA02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ькі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цільові програми з енергоефективності та розвитку ВДЕ тощо</w:t>
            </w:r>
            <w:r w:rsidRPr="001F4B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7445ACA0" w14:textId="77777777" w:rsidR="00460B0C" w:rsidRPr="006D485E" w:rsidRDefault="00460B0C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Звіти з енергетичного аудиту, техніко-економічні обґрунтування, сертифікати з енергетичної ефективності будівель, проєктно-кошторисна документація</w:t>
            </w:r>
            <w:r w:rsidR="00281C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звіти за результатами реалізації проєктів.</w:t>
            </w:r>
          </w:p>
        </w:tc>
        <w:tc>
          <w:tcPr>
            <w:tcW w:w="2085" w:type="dxa"/>
          </w:tcPr>
          <w:p w14:paraId="2FFC7AD3" w14:textId="77777777" w:rsidR="001375C3" w:rsidRPr="006D485E" w:rsidRDefault="0046660F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даному етапі створюються </w:t>
            </w:r>
          </w:p>
        </w:tc>
      </w:tr>
      <w:tr w:rsidR="00703D81" w:rsidRPr="00B27774" w14:paraId="1B28E025" w14:textId="77777777" w:rsidTr="00703D81">
        <w:tc>
          <w:tcPr>
            <w:tcW w:w="1835" w:type="dxa"/>
          </w:tcPr>
          <w:p w14:paraId="2B992A24" w14:textId="77777777" w:rsidR="00E90123" w:rsidRDefault="00E90123" w:rsidP="00137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Розширення та розвиток</w:t>
            </w:r>
          </w:p>
        </w:tc>
        <w:tc>
          <w:tcPr>
            <w:tcW w:w="1915" w:type="dxa"/>
          </w:tcPr>
          <w:p w14:paraId="2DF2614D" w14:textId="77777777" w:rsidR="00E90123" w:rsidRDefault="00956BAE" w:rsidP="00137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Проєктна діяльність. Промоція та співпраця.</w:t>
            </w:r>
          </w:p>
        </w:tc>
        <w:tc>
          <w:tcPr>
            <w:tcW w:w="4892" w:type="dxa"/>
          </w:tcPr>
          <w:p w14:paraId="468B7F9E" w14:textId="77777777" w:rsidR="00E90123" w:rsidRDefault="00956BAE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заявок та/або заповнення аплікаційних форм для отримання грантового фінансування або міжнародної технічної допомоги в рамках різних проєктів.</w:t>
            </w:r>
          </w:p>
          <w:p w14:paraId="70ABB686" w14:textId="77777777" w:rsidR="007E41BE" w:rsidRDefault="007E41BE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Співпраця з іншими громадами, національними та міжнародними організаціями у сфері енергоефективності та ВДЕ, включаючи навчальні поїздки, обмін досвідом та кращими практиками.</w:t>
            </w:r>
          </w:p>
          <w:p w14:paraId="068622A0" w14:textId="77777777" w:rsidR="007E41BE" w:rsidRDefault="007E41BE" w:rsidP="007E41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інформаційних кампаній на тему сталого енергетичного та кліматичного розвитку («Дні сталої енергії»), участь в Європейському тижні мобільності тощо.</w:t>
            </w:r>
          </w:p>
        </w:tc>
        <w:tc>
          <w:tcPr>
            <w:tcW w:w="4253" w:type="dxa"/>
          </w:tcPr>
          <w:p w14:paraId="62EB15FC" w14:textId="77777777" w:rsidR="00E90123" w:rsidRDefault="0046660F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Листи-підтримки заявок на участь у проєктах</w:t>
            </w:r>
            <w:r w:rsidR="007E41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 тому числі – з обміну досвідом.</w:t>
            </w:r>
          </w:p>
          <w:p w14:paraId="6FB757C9" w14:textId="77777777" w:rsidR="007E41BE" w:rsidRDefault="007E41BE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Комунікаційна стратегія громади на тему енергоефективності та ВДЕ (енергетичного та кліматичного розвитку).</w:t>
            </w:r>
          </w:p>
          <w:p w14:paraId="67AFA1CB" w14:textId="77777777" w:rsidR="007E41BE" w:rsidRDefault="007E41BE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рішень місцевої ради (або її виконавчого комітету) щодо проведення «Днів сталої енергії»</w:t>
            </w:r>
          </w:p>
        </w:tc>
        <w:tc>
          <w:tcPr>
            <w:tcW w:w="2085" w:type="dxa"/>
          </w:tcPr>
          <w:p w14:paraId="57DED89D" w14:textId="77777777" w:rsidR="00E90123" w:rsidRPr="006D485E" w:rsidRDefault="007E41BE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Залучення зовнішнього (грантового) фінансування для реалізації проєктів з підвищення енергоефективності та розвитку ВДЕ, співпраця з різними зацікавленими сторонами</w:t>
            </w:r>
          </w:p>
        </w:tc>
      </w:tr>
      <w:tr w:rsidR="00703D81" w:rsidRPr="00B27774" w14:paraId="3ACB3BB0" w14:textId="77777777" w:rsidTr="00703D81">
        <w:tc>
          <w:tcPr>
            <w:tcW w:w="1835" w:type="dxa"/>
          </w:tcPr>
          <w:p w14:paraId="0A2BAE81" w14:textId="77777777" w:rsidR="001375C3" w:rsidRDefault="001375C3" w:rsidP="00137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Сертифікація</w:t>
            </w:r>
          </w:p>
        </w:tc>
        <w:tc>
          <w:tcPr>
            <w:tcW w:w="1915" w:type="dxa"/>
          </w:tcPr>
          <w:p w14:paraId="48D25425" w14:textId="77777777" w:rsidR="001375C3" w:rsidRPr="00A7320E" w:rsidRDefault="001375C3" w:rsidP="00137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Сертифікація діяльності відповідно до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 </w:t>
            </w:r>
            <w:r w:rsidRPr="00A732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14:paraId="47F2DBA5" w14:textId="77777777" w:rsidR="001375C3" w:rsidRPr="006D485E" w:rsidRDefault="001375C3" w:rsidP="00137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Європейська енергетична відзнака тощо</w:t>
            </w:r>
          </w:p>
        </w:tc>
        <w:tc>
          <w:tcPr>
            <w:tcW w:w="4892" w:type="dxa"/>
          </w:tcPr>
          <w:p w14:paraId="4AE1185D" w14:textId="77777777" w:rsidR="001375C3" w:rsidRPr="00D3084F" w:rsidRDefault="001375C3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випадку прийняття відповідного рішення щодо запровадження сертифікації, система енергетичного менеджменту громади може бути сертифікована відповідно до загальноприйнятих стандартів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D308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5000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). Також громада може брати участь у Європейській енергетичній відзнаці (ЄЕВ), яка спрямована на оцінку </w:t>
            </w:r>
            <w:r w:rsidRPr="00D308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загальних підходів громади до впровадження принципів сталого розвитку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своїй діяльності</w:t>
            </w:r>
            <w:r w:rsidRPr="00D308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а не лише енергетичн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ого</w:t>
            </w:r>
            <w:r w:rsidRPr="00D308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менеджмент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у.</w:t>
            </w:r>
          </w:p>
        </w:tc>
        <w:tc>
          <w:tcPr>
            <w:tcW w:w="4253" w:type="dxa"/>
          </w:tcPr>
          <w:p w14:paraId="3870964E" w14:textId="77777777" w:rsidR="001375C3" w:rsidRDefault="001375C3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Обирається організація, яка має право здійснювати оцінку відповідності обраному стандарту, з якою укладається договір на проведення оцінки та сертифікації громади.</w:t>
            </w:r>
          </w:p>
          <w:p w14:paraId="5243051A" w14:textId="77777777" w:rsidR="001375C3" w:rsidRPr="006D485E" w:rsidRDefault="001375C3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випадку прийняття рішення про сертифікацію громади відповідно до критеріїв Європейської енергетичної відзнаки, громада зв</w:t>
            </w:r>
            <w:r>
              <w:rPr>
                <w:rFonts w:ascii="Calibri" w:hAnsi="Calibri" w:cs="Calibri"/>
                <w:sz w:val="20"/>
                <w:szCs w:val="20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язується з Національним офісом ЄЕВ для укладання відповідної угоди, вибору для громади місцевого консультанта та аудитора ЄЕВ з укладанням договорів, проведення первинної оцінки громади, розробки та затвердження плану дії (програми) ЄЕВ.</w:t>
            </w:r>
          </w:p>
        </w:tc>
        <w:tc>
          <w:tcPr>
            <w:tcW w:w="2085" w:type="dxa"/>
          </w:tcPr>
          <w:p w14:paraId="70279D52" w14:textId="77777777" w:rsidR="001375C3" w:rsidRPr="006D485E" w:rsidRDefault="001375C3" w:rsidP="00137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21BDB42B" w14:textId="77777777" w:rsidR="00BF221E" w:rsidRPr="00BF221E" w:rsidRDefault="00BF221E" w:rsidP="00BF221E">
      <w:pPr>
        <w:jc w:val="center"/>
        <w:rPr>
          <w:rFonts w:ascii="Times New Roman" w:hAnsi="Times New Roman" w:cs="Times New Roman"/>
          <w:lang w:val="uk-UA"/>
        </w:rPr>
      </w:pPr>
    </w:p>
    <w:sectPr w:rsidR="00BF221E" w:rsidRPr="00BF221E" w:rsidSect="00BF22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21605"/>
    <w:multiLevelType w:val="hybridMultilevel"/>
    <w:tmpl w:val="FACE4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C021F"/>
    <w:multiLevelType w:val="hybridMultilevel"/>
    <w:tmpl w:val="054EC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F499E"/>
    <w:multiLevelType w:val="hybridMultilevel"/>
    <w:tmpl w:val="F5323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65571">
    <w:abstractNumId w:val="1"/>
  </w:num>
  <w:num w:numId="2" w16cid:durableId="1946763025">
    <w:abstractNumId w:val="2"/>
  </w:num>
  <w:num w:numId="3" w16cid:durableId="100886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CC"/>
    <w:rsid w:val="00025B86"/>
    <w:rsid w:val="0007582D"/>
    <w:rsid w:val="000F1C35"/>
    <w:rsid w:val="000F1CAF"/>
    <w:rsid w:val="00105F0A"/>
    <w:rsid w:val="001375C3"/>
    <w:rsid w:val="001710BE"/>
    <w:rsid w:val="001A3A90"/>
    <w:rsid w:val="001F4BA7"/>
    <w:rsid w:val="00225644"/>
    <w:rsid w:val="00281C7E"/>
    <w:rsid w:val="002B2DFF"/>
    <w:rsid w:val="002B686E"/>
    <w:rsid w:val="00391DE7"/>
    <w:rsid w:val="003968BE"/>
    <w:rsid w:val="003A4539"/>
    <w:rsid w:val="00460B0C"/>
    <w:rsid w:val="0046660F"/>
    <w:rsid w:val="004D081D"/>
    <w:rsid w:val="00533DB0"/>
    <w:rsid w:val="00547488"/>
    <w:rsid w:val="00597E6E"/>
    <w:rsid w:val="005B1425"/>
    <w:rsid w:val="00611F33"/>
    <w:rsid w:val="00614DF2"/>
    <w:rsid w:val="006164DD"/>
    <w:rsid w:val="006364C3"/>
    <w:rsid w:val="006628D8"/>
    <w:rsid w:val="00693F8A"/>
    <w:rsid w:val="006D485E"/>
    <w:rsid w:val="00702DFC"/>
    <w:rsid w:val="00703D81"/>
    <w:rsid w:val="007C70F6"/>
    <w:rsid w:val="007E41BE"/>
    <w:rsid w:val="00842AF0"/>
    <w:rsid w:val="00956BAE"/>
    <w:rsid w:val="009615AF"/>
    <w:rsid w:val="00A7320E"/>
    <w:rsid w:val="00AB58C9"/>
    <w:rsid w:val="00AB7025"/>
    <w:rsid w:val="00AC2BCC"/>
    <w:rsid w:val="00B27774"/>
    <w:rsid w:val="00BF221E"/>
    <w:rsid w:val="00CA0257"/>
    <w:rsid w:val="00CE11D4"/>
    <w:rsid w:val="00D17AF3"/>
    <w:rsid w:val="00D2212B"/>
    <w:rsid w:val="00D3084F"/>
    <w:rsid w:val="00DB74D9"/>
    <w:rsid w:val="00DD1598"/>
    <w:rsid w:val="00E90123"/>
    <w:rsid w:val="00EC4323"/>
    <w:rsid w:val="00EC63C1"/>
    <w:rsid w:val="00F016A9"/>
    <w:rsid w:val="00F0435B"/>
    <w:rsid w:val="00F30050"/>
    <w:rsid w:val="00F65599"/>
    <w:rsid w:val="00FA0954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9E50"/>
  <w15:chartTrackingRefBased/>
  <w15:docId w15:val="{E7234486-0F49-4269-B5DC-DBEF2EFF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6336</Words>
  <Characters>3613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Borys Pakholiuk</cp:lastModifiedBy>
  <cp:revision>37</cp:revision>
  <dcterms:created xsi:type="dcterms:W3CDTF">2024-12-23T16:25:00Z</dcterms:created>
  <dcterms:modified xsi:type="dcterms:W3CDTF">2024-12-24T08:14:00Z</dcterms:modified>
</cp:coreProperties>
</file>