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charts/chart32.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202E1B" w14:textId="77777777" w:rsidR="00C82386" w:rsidRDefault="00C82386">
      <w:pPr>
        <w:widowControl w:val="0"/>
        <w:pBdr>
          <w:top w:val="nil"/>
          <w:left w:val="nil"/>
          <w:bottom w:val="nil"/>
          <w:right w:val="nil"/>
          <w:between w:val="nil"/>
        </w:pBdr>
        <w:spacing w:after="0"/>
      </w:pPr>
    </w:p>
    <w:p w14:paraId="7A95C501" w14:textId="70BBC808" w:rsidR="00C82386" w:rsidRDefault="00E66F64">
      <w:pPr>
        <w:spacing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Додаток </w:t>
      </w:r>
    </w:p>
    <w:p w14:paraId="5EB3B9A9" w14:textId="3547D084" w:rsidR="00C82386" w:rsidRDefault="0026626A" w:rsidP="0026626A">
      <w:pPr>
        <w:spacing w:after="0"/>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66F64">
        <w:rPr>
          <w:rFonts w:ascii="Times New Roman" w:eastAsia="Times New Roman" w:hAnsi="Times New Roman" w:cs="Times New Roman"/>
          <w:sz w:val="28"/>
          <w:szCs w:val="28"/>
        </w:rPr>
        <w:t xml:space="preserve">до </w:t>
      </w:r>
      <w:r>
        <w:rPr>
          <w:rFonts w:ascii="Times New Roman" w:eastAsia="Times New Roman" w:hAnsi="Times New Roman" w:cs="Times New Roman"/>
          <w:sz w:val="28"/>
          <w:szCs w:val="28"/>
        </w:rPr>
        <w:t>про</w:t>
      </w:r>
      <w:r w:rsidR="00C81E5C">
        <w:rPr>
          <w:rFonts w:ascii="Times New Roman" w:eastAsia="Times New Roman" w:hAnsi="Times New Roman" w:cs="Times New Roman"/>
          <w:sz w:val="28"/>
          <w:szCs w:val="28"/>
        </w:rPr>
        <w:t>є</w:t>
      </w:r>
      <w:r>
        <w:rPr>
          <w:rFonts w:ascii="Times New Roman" w:eastAsia="Times New Roman" w:hAnsi="Times New Roman" w:cs="Times New Roman"/>
          <w:sz w:val="28"/>
          <w:szCs w:val="28"/>
        </w:rPr>
        <w:t xml:space="preserve">кту </w:t>
      </w:r>
      <w:r w:rsidR="00E66F64">
        <w:rPr>
          <w:rFonts w:ascii="Times New Roman" w:eastAsia="Times New Roman" w:hAnsi="Times New Roman" w:cs="Times New Roman"/>
          <w:sz w:val="28"/>
          <w:szCs w:val="28"/>
        </w:rPr>
        <w:t>рішення міської ради</w:t>
      </w:r>
    </w:p>
    <w:p w14:paraId="2FE683CD" w14:textId="3CB869EB" w:rsidR="00C82386" w:rsidRDefault="0026626A" w:rsidP="0026626A">
      <w:pPr>
        <w:spacing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66F64">
        <w:rPr>
          <w:rFonts w:ascii="Times New Roman" w:eastAsia="Times New Roman" w:hAnsi="Times New Roman" w:cs="Times New Roman"/>
          <w:sz w:val="28"/>
          <w:szCs w:val="28"/>
        </w:rPr>
        <w:t>_____________№______</w:t>
      </w:r>
      <w:r>
        <w:rPr>
          <w:rFonts w:ascii="Times New Roman" w:eastAsia="Times New Roman" w:hAnsi="Times New Roman" w:cs="Times New Roman"/>
          <w:sz w:val="28"/>
          <w:szCs w:val="28"/>
        </w:rPr>
        <w:t>___</w:t>
      </w:r>
    </w:p>
    <w:p w14:paraId="395B2F88" w14:textId="77777777" w:rsidR="00C82386" w:rsidRDefault="00C82386">
      <w:pPr>
        <w:rPr>
          <w:b/>
          <w:sz w:val="28"/>
          <w:szCs w:val="28"/>
        </w:rPr>
      </w:pPr>
    </w:p>
    <w:p w14:paraId="7A3B48FF" w14:textId="77777777" w:rsidR="00C82386" w:rsidRDefault="00C82386">
      <w:pPr>
        <w:rPr>
          <w:b/>
          <w:sz w:val="28"/>
          <w:szCs w:val="28"/>
        </w:rPr>
      </w:pPr>
    </w:p>
    <w:p w14:paraId="4F6C619C" w14:textId="77777777" w:rsidR="00C82386" w:rsidRDefault="00E66F64">
      <w:pPr>
        <w:jc w:val="center"/>
        <w:rPr>
          <w:b/>
          <w:sz w:val="28"/>
          <w:szCs w:val="28"/>
        </w:rPr>
      </w:pPr>
      <w:r>
        <w:rPr>
          <w:b/>
          <w:noProof/>
          <w:sz w:val="28"/>
          <w:szCs w:val="28"/>
          <w:lang w:val="ru-RU"/>
        </w:rPr>
        <w:drawing>
          <wp:inline distT="0" distB="0" distL="0" distR="0" wp14:anchorId="223D7566" wp14:editId="2ACD9103">
            <wp:extent cx="2588863" cy="3896368"/>
            <wp:effectExtent l="0" t="0" r="0" b="0"/>
            <wp:docPr id="2144252010"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8"/>
                    <a:srcRect/>
                    <a:stretch>
                      <a:fillRect/>
                    </a:stretch>
                  </pic:blipFill>
                  <pic:spPr>
                    <a:xfrm>
                      <a:off x="0" y="0"/>
                      <a:ext cx="2588863" cy="3896368"/>
                    </a:xfrm>
                    <a:prstGeom prst="rect">
                      <a:avLst/>
                    </a:prstGeom>
                    <a:ln/>
                  </pic:spPr>
                </pic:pic>
              </a:graphicData>
            </a:graphic>
          </wp:inline>
        </w:drawing>
      </w:r>
    </w:p>
    <w:p w14:paraId="0BE98AFF" w14:textId="77777777" w:rsidR="00C82386" w:rsidRDefault="00C82386">
      <w:pPr>
        <w:jc w:val="center"/>
        <w:rPr>
          <w:rFonts w:ascii="Times New Roman" w:eastAsia="Times New Roman" w:hAnsi="Times New Roman" w:cs="Times New Roman"/>
          <w:b/>
          <w:sz w:val="28"/>
          <w:szCs w:val="28"/>
        </w:rPr>
      </w:pPr>
    </w:p>
    <w:p w14:paraId="19860CA4" w14:textId="77777777" w:rsidR="00C82386" w:rsidRDefault="00E66F64">
      <w:pPr>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ПЛАН ДІЙ ЗІ СТАЛОГО ЕНЕРГЕТИЧНОГО </w:t>
      </w:r>
      <w:r>
        <w:rPr>
          <w:rFonts w:ascii="Times New Roman" w:eastAsia="Times New Roman" w:hAnsi="Times New Roman" w:cs="Times New Roman"/>
          <w:b/>
          <w:sz w:val="32"/>
          <w:szCs w:val="32"/>
        </w:rPr>
        <w:br/>
        <w:t>РОЗВИТКУ ТА КЛІМАТУ</w:t>
      </w:r>
      <w:r>
        <w:rPr>
          <w:rFonts w:ascii="Times New Roman" w:eastAsia="Times New Roman" w:hAnsi="Times New Roman" w:cs="Times New Roman"/>
          <w:b/>
          <w:sz w:val="32"/>
          <w:szCs w:val="32"/>
        </w:rPr>
        <w:br/>
        <w:t xml:space="preserve">Житомирської міської територіальної громади </w:t>
      </w:r>
      <w:r>
        <w:rPr>
          <w:rFonts w:ascii="Times New Roman" w:eastAsia="Times New Roman" w:hAnsi="Times New Roman" w:cs="Times New Roman"/>
          <w:b/>
          <w:sz w:val="32"/>
          <w:szCs w:val="32"/>
        </w:rPr>
        <w:br/>
        <w:t>до 2050 року</w:t>
      </w:r>
    </w:p>
    <w:p w14:paraId="469FA54D" w14:textId="77777777" w:rsidR="00C82386" w:rsidRDefault="00C82386">
      <w:pPr>
        <w:jc w:val="center"/>
        <w:rPr>
          <w:rFonts w:ascii="Times New Roman" w:eastAsia="Times New Roman" w:hAnsi="Times New Roman" w:cs="Times New Roman"/>
          <w:b/>
          <w:sz w:val="28"/>
          <w:szCs w:val="28"/>
        </w:rPr>
      </w:pPr>
    </w:p>
    <w:p w14:paraId="75955DE0" w14:textId="77777777" w:rsidR="00C82386" w:rsidRDefault="00C82386">
      <w:pPr>
        <w:jc w:val="center"/>
        <w:rPr>
          <w:rFonts w:ascii="Times New Roman" w:eastAsia="Times New Roman" w:hAnsi="Times New Roman" w:cs="Times New Roman"/>
          <w:b/>
          <w:sz w:val="28"/>
          <w:szCs w:val="28"/>
        </w:rPr>
      </w:pPr>
    </w:p>
    <w:p w14:paraId="7E3F5195" w14:textId="77777777" w:rsidR="00C82386" w:rsidRDefault="00E66F6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 Житомир</w:t>
      </w:r>
    </w:p>
    <w:p w14:paraId="5E29C108" w14:textId="77777777" w:rsidR="00C82386" w:rsidRDefault="00E66F64">
      <w:pPr>
        <w:jc w:val="center"/>
        <w:rPr>
          <w:rFonts w:ascii="Times New Roman" w:eastAsia="Times New Roman" w:hAnsi="Times New Roman" w:cs="Times New Roman"/>
          <w:b/>
        </w:rPr>
        <w:sectPr w:rsidR="00C82386" w:rsidSect="00563EC7">
          <w:footerReference w:type="default" r:id="rId9"/>
          <w:footerReference w:type="first" r:id="rId10"/>
          <w:pgSz w:w="11906" w:h="16838"/>
          <w:pgMar w:top="1440" w:right="1440" w:bottom="1440" w:left="1440" w:header="708" w:footer="708" w:gutter="0"/>
          <w:pgNumType w:start="1"/>
          <w:cols w:space="720"/>
          <w:titlePg/>
          <w:docGrid w:linePitch="299"/>
        </w:sectPr>
      </w:pPr>
      <w:r>
        <w:rPr>
          <w:rFonts w:ascii="Times New Roman" w:eastAsia="Times New Roman" w:hAnsi="Times New Roman" w:cs="Times New Roman"/>
          <w:b/>
          <w:sz w:val="28"/>
          <w:szCs w:val="28"/>
        </w:rPr>
        <w:t>2025</w:t>
      </w:r>
    </w:p>
    <w:p w14:paraId="02DF2C26" w14:textId="77777777" w:rsidR="00C82386" w:rsidRDefault="004341E7">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sdt>
        <w:sdtPr>
          <w:tag w:val="goog_rdk_0"/>
          <w:id w:val="-1211099584"/>
        </w:sdtPr>
        <w:sdtEndPr/>
        <w:sdtContent/>
      </w:sdt>
      <w:r w:rsidR="00E66F64">
        <w:rPr>
          <w:rFonts w:ascii="Times New Roman" w:eastAsia="Times New Roman" w:hAnsi="Times New Roman" w:cs="Times New Roman"/>
          <w:b/>
          <w:color w:val="000000"/>
          <w:sz w:val="24"/>
          <w:szCs w:val="24"/>
        </w:rPr>
        <w:t>Зміст</w:t>
      </w:r>
    </w:p>
    <w:sdt>
      <w:sdtPr>
        <w:id w:val="1328475093"/>
        <w:docPartObj>
          <w:docPartGallery w:val="Table of Contents"/>
          <w:docPartUnique/>
        </w:docPartObj>
      </w:sdtPr>
      <w:sdtEndPr/>
      <w:sdtContent>
        <w:p w14:paraId="46AD51EC"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r>
            <w:fldChar w:fldCharType="begin"/>
          </w:r>
          <w:r>
            <w:instrText xml:space="preserve"> TOC \h \u \z \t "Heading 1,1,Heading 2,2,Heading 3,3,"</w:instrText>
          </w:r>
          <w:r>
            <w:fldChar w:fldCharType="separate"/>
          </w:r>
          <w:hyperlink w:anchor="_heading=h.gjdgxs">
            <w:r>
              <w:rPr>
                <w:rFonts w:ascii="Times New Roman" w:eastAsia="Times New Roman" w:hAnsi="Times New Roman" w:cs="Times New Roman"/>
                <w:noProof/>
                <w:color w:val="000000"/>
                <w:sz w:val="24"/>
                <w:szCs w:val="24"/>
              </w:rPr>
              <w:t>Вступ</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6</w:t>
            </w:r>
          </w:hyperlink>
        </w:p>
        <w:p w14:paraId="022C9359"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0j0zll">
            <w:r>
              <w:rPr>
                <w:rFonts w:ascii="Times New Roman" w:eastAsia="Times New Roman" w:hAnsi="Times New Roman" w:cs="Times New Roman"/>
                <w:noProof/>
                <w:color w:val="000000"/>
                <w:sz w:val="24"/>
                <w:szCs w:val="24"/>
              </w:rPr>
              <w:t>Нормативно-правова база</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w:t>
            </w:r>
          </w:hyperlink>
        </w:p>
        <w:p w14:paraId="031D61D3"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t3h5sf">
            <w:r>
              <w:rPr>
                <w:rFonts w:ascii="Times New Roman" w:eastAsia="Times New Roman" w:hAnsi="Times New Roman" w:cs="Times New Roman"/>
                <w:noProof/>
                <w:color w:val="000000"/>
                <w:sz w:val="24"/>
                <w:szCs w:val="24"/>
              </w:rPr>
              <w:t>Джерела інформації</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w:t>
            </w:r>
          </w:hyperlink>
        </w:p>
        <w:p w14:paraId="193EA0BE"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4d34og8">
            <w:r>
              <w:rPr>
                <w:rFonts w:ascii="Times New Roman" w:eastAsia="Times New Roman" w:hAnsi="Times New Roman" w:cs="Times New Roman"/>
                <w:noProof/>
                <w:color w:val="000000"/>
                <w:sz w:val="24"/>
                <w:szCs w:val="24"/>
              </w:rPr>
              <w:t>Список умовних скорочень</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9</w:t>
            </w:r>
          </w:hyperlink>
        </w:p>
        <w:p w14:paraId="12A94F45"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s8eyo1">
            <w:r>
              <w:rPr>
                <w:rFonts w:ascii="Times New Roman" w:eastAsia="Times New Roman" w:hAnsi="Times New Roman" w:cs="Times New Roman"/>
                <w:noProof/>
                <w:color w:val="000000"/>
                <w:sz w:val="24"/>
                <w:szCs w:val="24"/>
              </w:rPr>
              <w:t>Розділ 1. Стратегія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w:t>
            </w:r>
          </w:hyperlink>
        </w:p>
        <w:p w14:paraId="0452C967"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7dp8vu">
            <w:r>
              <w:rPr>
                <w:rFonts w:ascii="Times New Roman" w:eastAsia="Times New Roman" w:hAnsi="Times New Roman" w:cs="Times New Roman"/>
                <w:noProof/>
                <w:color w:val="000000"/>
                <w:sz w:val="24"/>
                <w:szCs w:val="24"/>
              </w:rPr>
              <w:t>1.1.</w:t>
            </w:r>
            <w:r>
              <w:rPr>
                <w:rFonts w:ascii="Times New Roman" w:eastAsia="Times New Roman" w:hAnsi="Times New Roman" w:cs="Times New Roman"/>
                <w:noProof/>
                <w:color w:val="000000"/>
                <w:sz w:val="24"/>
                <w:szCs w:val="24"/>
              </w:rPr>
              <w:tab/>
              <w:t>Довгострокове бачення, цілі та стратегії громади до 2050 року</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w:t>
            </w:r>
          </w:hyperlink>
        </w:p>
        <w:p w14:paraId="770532B3"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rdcrjn">
            <w:r>
              <w:rPr>
                <w:rFonts w:ascii="Times New Roman" w:eastAsia="Times New Roman" w:hAnsi="Times New Roman" w:cs="Times New Roman"/>
                <w:noProof/>
                <w:color w:val="000000"/>
                <w:sz w:val="24"/>
                <w:szCs w:val="24"/>
              </w:rPr>
              <w:t>1.2.</w:t>
            </w:r>
            <w:r>
              <w:rPr>
                <w:rFonts w:ascii="Times New Roman" w:eastAsia="Times New Roman" w:hAnsi="Times New Roman" w:cs="Times New Roman"/>
                <w:noProof/>
                <w:color w:val="000000"/>
                <w:sz w:val="24"/>
                <w:szCs w:val="24"/>
              </w:rPr>
              <w:tab/>
              <w:t>Зобов’язання, цілі та стратегії до 2030 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12</w:t>
            </w:r>
          </w:hyperlink>
        </w:p>
        <w:p w14:paraId="1D76F336"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6in1rg">
            <w:r>
              <w:rPr>
                <w:rFonts w:ascii="Times New Roman" w:eastAsia="Times New Roman" w:hAnsi="Times New Roman" w:cs="Times New Roman"/>
                <w:noProof/>
                <w:color w:val="000000"/>
                <w:sz w:val="24"/>
                <w:szCs w:val="24"/>
              </w:rPr>
              <w:t>1.3.</w:t>
            </w:r>
            <w:r>
              <w:rPr>
                <w:rFonts w:ascii="Times New Roman" w:eastAsia="Times New Roman" w:hAnsi="Times New Roman" w:cs="Times New Roman"/>
                <w:noProof/>
                <w:color w:val="000000"/>
                <w:sz w:val="24"/>
                <w:szCs w:val="24"/>
              </w:rPr>
              <w:tab/>
              <w:t>Організаційна структура на виконання ПДСЕРК</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14</w:t>
            </w:r>
          </w:hyperlink>
        </w:p>
        <w:p w14:paraId="775D1B88"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lnxbz9">
            <w:r>
              <w:rPr>
                <w:rFonts w:ascii="Times New Roman" w:eastAsia="Times New Roman" w:hAnsi="Times New Roman" w:cs="Times New Roman"/>
                <w:noProof/>
                <w:color w:val="000000"/>
                <w:sz w:val="24"/>
                <w:szCs w:val="24"/>
              </w:rPr>
              <w:t>1.4.</w:t>
            </w:r>
            <w:r>
              <w:rPr>
                <w:rFonts w:ascii="Times New Roman" w:eastAsia="Times New Roman" w:hAnsi="Times New Roman" w:cs="Times New Roman"/>
                <w:noProof/>
                <w:color w:val="000000"/>
                <w:sz w:val="24"/>
                <w:szCs w:val="24"/>
              </w:rPr>
              <w:tab/>
              <w:t>Залучення зацікавлених сторін</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15</w:t>
            </w:r>
          </w:hyperlink>
        </w:p>
        <w:p w14:paraId="49F62418"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5nkun2">
            <w:r>
              <w:rPr>
                <w:rFonts w:ascii="Times New Roman" w:eastAsia="Times New Roman" w:hAnsi="Times New Roman" w:cs="Times New Roman"/>
                <w:noProof/>
                <w:color w:val="000000"/>
                <w:sz w:val="24"/>
                <w:szCs w:val="24"/>
              </w:rPr>
              <w:t>1.5.</w:t>
            </w:r>
            <w:r>
              <w:rPr>
                <w:rFonts w:ascii="Times New Roman" w:eastAsia="Times New Roman" w:hAnsi="Times New Roman" w:cs="Times New Roman"/>
                <w:noProof/>
                <w:color w:val="000000"/>
                <w:sz w:val="24"/>
                <w:szCs w:val="24"/>
              </w:rPr>
              <w:tab/>
              <w:t>Система моніторингу виконання ПДСЕРК</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16</w:t>
            </w:r>
          </w:hyperlink>
        </w:p>
        <w:p w14:paraId="02D397F2"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ksv4uv">
            <w:r>
              <w:rPr>
                <w:rFonts w:ascii="Times New Roman" w:eastAsia="Times New Roman" w:hAnsi="Times New Roman" w:cs="Times New Roman"/>
                <w:noProof/>
                <w:color w:val="000000"/>
                <w:sz w:val="24"/>
                <w:szCs w:val="24"/>
              </w:rPr>
              <w:t>Розділ 2. Загальна характеристика територіальної громади</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18</w:t>
            </w:r>
          </w:hyperlink>
        </w:p>
        <w:p w14:paraId="0A78CF9F"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4sinio">
            <w:r>
              <w:rPr>
                <w:rFonts w:ascii="Times New Roman" w:eastAsia="Times New Roman" w:hAnsi="Times New Roman" w:cs="Times New Roman"/>
                <w:noProof/>
                <w:color w:val="000000"/>
                <w:sz w:val="24"/>
                <w:szCs w:val="24"/>
              </w:rPr>
              <w:t>2.1.</w:t>
            </w:r>
            <w:r>
              <w:rPr>
                <w:rFonts w:ascii="Times New Roman" w:eastAsia="Times New Roman" w:hAnsi="Times New Roman" w:cs="Times New Roman"/>
                <w:noProof/>
                <w:color w:val="000000"/>
                <w:sz w:val="24"/>
                <w:szCs w:val="24"/>
              </w:rPr>
              <w:tab/>
              <w:t>Історичний нарис</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18</w:t>
            </w:r>
          </w:hyperlink>
        </w:p>
        <w:p w14:paraId="57C1BCC9"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jxsxqh">
            <w:r>
              <w:rPr>
                <w:rFonts w:ascii="Times New Roman" w:eastAsia="Times New Roman" w:hAnsi="Times New Roman" w:cs="Times New Roman"/>
                <w:noProof/>
                <w:color w:val="000000"/>
                <w:sz w:val="24"/>
                <w:szCs w:val="24"/>
              </w:rPr>
              <w:t>2.2.</w:t>
            </w:r>
            <w:r>
              <w:rPr>
                <w:rFonts w:ascii="Times New Roman" w:eastAsia="Times New Roman" w:hAnsi="Times New Roman" w:cs="Times New Roman"/>
                <w:noProof/>
                <w:color w:val="000000"/>
                <w:sz w:val="24"/>
                <w:szCs w:val="24"/>
              </w:rPr>
              <w:tab/>
              <w:t>Географічне розташування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18</w:t>
            </w:r>
          </w:hyperlink>
        </w:p>
        <w:p w14:paraId="3E745A6E"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z337ya">
            <w:r>
              <w:rPr>
                <w:rFonts w:ascii="Times New Roman" w:eastAsia="Times New Roman" w:hAnsi="Times New Roman" w:cs="Times New Roman"/>
                <w:noProof/>
                <w:color w:val="000000"/>
                <w:sz w:val="24"/>
                <w:szCs w:val="24"/>
              </w:rPr>
              <w:t>2.3.</w:t>
            </w:r>
            <w:r>
              <w:rPr>
                <w:rFonts w:ascii="Times New Roman" w:eastAsia="Times New Roman" w:hAnsi="Times New Roman" w:cs="Times New Roman"/>
                <w:noProof/>
                <w:color w:val="000000"/>
                <w:sz w:val="24"/>
                <w:szCs w:val="24"/>
              </w:rPr>
              <w:tab/>
              <w:t>Кліматичні умови</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19</w:t>
            </w:r>
          </w:hyperlink>
        </w:p>
        <w:p w14:paraId="10BDFC57"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i7ojhp">
            <w:r>
              <w:rPr>
                <w:rFonts w:ascii="Times New Roman" w:eastAsia="Times New Roman" w:hAnsi="Times New Roman" w:cs="Times New Roman"/>
                <w:noProof/>
                <w:color w:val="000000"/>
                <w:sz w:val="24"/>
                <w:szCs w:val="24"/>
              </w:rPr>
              <w:t>2.4.</w:t>
            </w:r>
            <w:r>
              <w:rPr>
                <w:rFonts w:ascii="Times New Roman" w:eastAsia="Times New Roman" w:hAnsi="Times New Roman" w:cs="Times New Roman"/>
                <w:noProof/>
                <w:color w:val="000000"/>
                <w:sz w:val="24"/>
                <w:szCs w:val="24"/>
              </w:rPr>
              <w:tab/>
              <w:t>Оцінка соціально-економічного потенціалу громади</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26</w:t>
            </w:r>
          </w:hyperlink>
        </w:p>
        <w:p w14:paraId="638648EE"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xcytpi">
            <w:r>
              <w:rPr>
                <w:rFonts w:ascii="Times New Roman" w:eastAsia="Times New Roman" w:hAnsi="Times New Roman" w:cs="Times New Roman"/>
                <w:noProof/>
                <w:color w:val="000000"/>
                <w:sz w:val="24"/>
                <w:szCs w:val="24"/>
              </w:rPr>
              <w:t>2.5.</w:t>
            </w:r>
            <w:r>
              <w:rPr>
                <w:rFonts w:ascii="Times New Roman" w:eastAsia="Times New Roman" w:hAnsi="Times New Roman" w:cs="Times New Roman"/>
                <w:noProof/>
                <w:color w:val="000000"/>
                <w:sz w:val="24"/>
                <w:szCs w:val="24"/>
              </w:rPr>
              <w:tab/>
              <w:t>Огляд бюджету</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30</w:t>
            </w:r>
          </w:hyperlink>
        </w:p>
        <w:p w14:paraId="31A8BC90"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ci93xb">
            <w:r>
              <w:rPr>
                <w:rFonts w:ascii="Times New Roman" w:eastAsia="Times New Roman" w:hAnsi="Times New Roman" w:cs="Times New Roman"/>
                <w:noProof/>
                <w:color w:val="000000"/>
                <w:sz w:val="24"/>
                <w:szCs w:val="24"/>
              </w:rPr>
              <w:t>Розділ 3. Опис енергетичної системи</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34</w:t>
            </w:r>
          </w:hyperlink>
        </w:p>
        <w:p w14:paraId="31569B95"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whwml4">
            <w:r>
              <w:rPr>
                <w:rFonts w:ascii="Times New Roman" w:eastAsia="Times New Roman" w:hAnsi="Times New Roman" w:cs="Times New Roman"/>
                <w:noProof/>
                <w:color w:val="000000"/>
                <w:sz w:val="24"/>
                <w:szCs w:val="24"/>
              </w:rPr>
              <w:t>3.1.</w:t>
            </w:r>
            <w:r>
              <w:rPr>
                <w:rFonts w:ascii="Times New Roman" w:eastAsia="Times New Roman" w:hAnsi="Times New Roman" w:cs="Times New Roman"/>
                <w:noProof/>
                <w:color w:val="000000"/>
                <w:sz w:val="24"/>
                <w:szCs w:val="24"/>
              </w:rPr>
              <w:tab/>
              <w:t>Виробництво, транспортування  та споживання енергії</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34</w:t>
            </w:r>
          </w:hyperlink>
        </w:p>
        <w:p w14:paraId="629B709A"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bn6wsx">
            <w:r>
              <w:rPr>
                <w:rFonts w:ascii="Times New Roman" w:eastAsia="Times New Roman" w:hAnsi="Times New Roman" w:cs="Times New Roman"/>
                <w:noProof/>
                <w:color w:val="000000"/>
                <w:sz w:val="24"/>
                <w:szCs w:val="24"/>
              </w:rPr>
              <w:t>3.1.1.</w:t>
            </w:r>
            <w:r>
              <w:rPr>
                <w:rFonts w:ascii="Times New Roman" w:eastAsia="Times New Roman" w:hAnsi="Times New Roman" w:cs="Times New Roman"/>
                <w:noProof/>
                <w:color w:val="000000"/>
                <w:sz w:val="24"/>
                <w:szCs w:val="24"/>
              </w:rPr>
              <w:tab/>
              <w:t>Система теплопостачання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34</w:t>
            </w:r>
          </w:hyperlink>
        </w:p>
        <w:p w14:paraId="003BBD1C"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qsh70q">
            <w:r>
              <w:rPr>
                <w:rFonts w:ascii="Times New Roman" w:eastAsia="Times New Roman" w:hAnsi="Times New Roman" w:cs="Times New Roman"/>
                <w:noProof/>
                <w:color w:val="000000"/>
                <w:sz w:val="24"/>
                <w:szCs w:val="24"/>
              </w:rPr>
              <w:t>3.1.2.</w:t>
            </w:r>
            <w:r>
              <w:rPr>
                <w:rFonts w:ascii="Times New Roman" w:eastAsia="Times New Roman" w:hAnsi="Times New Roman" w:cs="Times New Roman"/>
                <w:noProof/>
                <w:color w:val="000000"/>
                <w:sz w:val="24"/>
                <w:szCs w:val="24"/>
              </w:rPr>
              <w:tab/>
              <w:t>Система газопостачання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37</w:t>
            </w:r>
          </w:hyperlink>
        </w:p>
        <w:p w14:paraId="0ED283A3"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as4poj">
            <w:r>
              <w:rPr>
                <w:rFonts w:ascii="Times New Roman" w:eastAsia="Times New Roman" w:hAnsi="Times New Roman" w:cs="Times New Roman"/>
                <w:noProof/>
                <w:color w:val="000000"/>
                <w:sz w:val="24"/>
                <w:szCs w:val="24"/>
              </w:rPr>
              <w:t>3.1.3.</w:t>
            </w:r>
            <w:r>
              <w:rPr>
                <w:rFonts w:ascii="Times New Roman" w:eastAsia="Times New Roman" w:hAnsi="Times New Roman" w:cs="Times New Roman"/>
                <w:noProof/>
                <w:color w:val="000000"/>
                <w:sz w:val="24"/>
                <w:szCs w:val="24"/>
              </w:rPr>
              <w:tab/>
              <w:t>Система електропостачання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39</w:t>
            </w:r>
          </w:hyperlink>
        </w:p>
        <w:p w14:paraId="3D10BAFD"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pxezwc">
            <w:r>
              <w:rPr>
                <w:rFonts w:ascii="Times New Roman" w:eastAsia="Times New Roman" w:hAnsi="Times New Roman" w:cs="Times New Roman"/>
                <w:noProof/>
                <w:color w:val="000000"/>
                <w:sz w:val="24"/>
                <w:szCs w:val="24"/>
              </w:rPr>
              <w:t>3.1.4.</w:t>
            </w:r>
            <w:r>
              <w:rPr>
                <w:rFonts w:ascii="Times New Roman" w:eastAsia="Times New Roman" w:hAnsi="Times New Roman" w:cs="Times New Roman"/>
                <w:noProof/>
                <w:color w:val="000000"/>
                <w:sz w:val="24"/>
                <w:szCs w:val="24"/>
              </w:rPr>
              <w:tab/>
              <w:t>Система водопостачання та водовідведення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41</w:t>
            </w:r>
          </w:hyperlink>
        </w:p>
        <w:p w14:paraId="45E25BA6"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9x2ik5">
            <w:r>
              <w:rPr>
                <w:rFonts w:ascii="Times New Roman" w:eastAsia="Times New Roman" w:hAnsi="Times New Roman" w:cs="Times New Roman"/>
                <w:noProof/>
                <w:color w:val="000000"/>
                <w:sz w:val="24"/>
                <w:szCs w:val="24"/>
              </w:rPr>
              <w:t>3.2.</w:t>
            </w:r>
            <w:r>
              <w:rPr>
                <w:rFonts w:ascii="Times New Roman" w:eastAsia="Times New Roman" w:hAnsi="Times New Roman" w:cs="Times New Roman"/>
                <w:noProof/>
                <w:color w:val="000000"/>
                <w:sz w:val="24"/>
                <w:szCs w:val="24"/>
              </w:rPr>
              <w:tab/>
              <w:t>Основні споживачі енергоресурсів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43</w:t>
            </w:r>
          </w:hyperlink>
        </w:p>
        <w:p w14:paraId="17E2D642"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p2csry">
            <w:r>
              <w:rPr>
                <w:rFonts w:ascii="Times New Roman" w:eastAsia="Times New Roman" w:hAnsi="Times New Roman" w:cs="Times New Roman"/>
                <w:noProof/>
                <w:color w:val="000000"/>
                <w:sz w:val="24"/>
                <w:szCs w:val="24"/>
              </w:rPr>
              <w:t>3.2.1.</w:t>
            </w:r>
            <w:r>
              <w:rPr>
                <w:rFonts w:ascii="Times New Roman" w:eastAsia="Times New Roman" w:hAnsi="Times New Roman" w:cs="Times New Roman"/>
                <w:noProof/>
                <w:color w:val="000000"/>
                <w:sz w:val="24"/>
                <w:szCs w:val="24"/>
              </w:rPr>
              <w:tab/>
              <w:t>Будівлі муніципальних установ та підприємств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43</w:t>
            </w:r>
          </w:hyperlink>
        </w:p>
        <w:p w14:paraId="74426B7A"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47n2zr">
            <w:r>
              <w:rPr>
                <w:rFonts w:ascii="Times New Roman" w:eastAsia="Times New Roman" w:hAnsi="Times New Roman" w:cs="Times New Roman"/>
                <w:noProof/>
                <w:color w:val="000000"/>
                <w:sz w:val="24"/>
                <w:szCs w:val="24"/>
              </w:rPr>
              <w:t>3.2.2.</w:t>
            </w:r>
            <w:r>
              <w:rPr>
                <w:rFonts w:ascii="Times New Roman" w:eastAsia="Times New Roman" w:hAnsi="Times New Roman" w:cs="Times New Roman"/>
                <w:noProof/>
                <w:color w:val="000000"/>
                <w:sz w:val="24"/>
                <w:szCs w:val="24"/>
              </w:rPr>
              <w:tab/>
              <w:t>Житловий сектор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46</w:t>
            </w:r>
          </w:hyperlink>
        </w:p>
        <w:p w14:paraId="33222ECB"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o7alnk">
            <w:r>
              <w:rPr>
                <w:rFonts w:ascii="Times New Roman" w:eastAsia="Times New Roman" w:hAnsi="Times New Roman" w:cs="Times New Roman"/>
                <w:noProof/>
                <w:color w:val="000000"/>
                <w:sz w:val="24"/>
                <w:szCs w:val="24"/>
              </w:rPr>
              <w:t>3.2.3.</w:t>
            </w:r>
            <w:r>
              <w:rPr>
                <w:rFonts w:ascii="Times New Roman" w:eastAsia="Times New Roman" w:hAnsi="Times New Roman" w:cs="Times New Roman"/>
                <w:noProof/>
                <w:color w:val="000000"/>
                <w:sz w:val="24"/>
                <w:szCs w:val="24"/>
              </w:rPr>
              <w:tab/>
              <w:t>Вуличне освітлення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52</w:t>
            </w:r>
          </w:hyperlink>
        </w:p>
        <w:p w14:paraId="4169E4CF"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ihv636">
            <w:r>
              <w:rPr>
                <w:rFonts w:ascii="Times New Roman" w:eastAsia="Times New Roman" w:hAnsi="Times New Roman" w:cs="Times New Roman"/>
                <w:noProof/>
                <w:color w:val="000000"/>
                <w:sz w:val="24"/>
                <w:szCs w:val="24"/>
              </w:rPr>
              <w:t>3.2.4.</w:t>
            </w:r>
            <w:r>
              <w:rPr>
                <w:rFonts w:ascii="Times New Roman" w:eastAsia="Times New Roman" w:hAnsi="Times New Roman" w:cs="Times New Roman"/>
                <w:noProof/>
                <w:color w:val="000000"/>
                <w:sz w:val="24"/>
                <w:szCs w:val="24"/>
              </w:rPr>
              <w:tab/>
              <w:t>Промисловість (середній та малий бізнес) та комерційні структури</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53</w:t>
            </w:r>
          </w:hyperlink>
        </w:p>
        <w:p w14:paraId="167BA27B"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2hioqz">
            <w:r>
              <w:rPr>
                <w:rFonts w:ascii="Times New Roman" w:eastAsia="Times New Roman" w:hAnsi="Times New Roman" w:cs="Times New Roman"/>
                <w:noProof/>
                <w:color w:val="000000"/>
                <w:sz w:val="24"/>
                <w:szCs w:val="24"/>
              </w:rPr>
              <w:t>3.2.5.</w:t>
            </w:r>
            <w:r>
              <w:rPr>
                <w:rFonts w:ascii="Times New Roman" w:eastAsia="Times New Roman" w:hAnsi="Times New Roman" w:cs="Times New Roman"/>
                <w:noProof/>
                <w:color w:val="000000"/>
                <w:sz w:val="24"/>
                <w:szCs w:val="24"/>
              </w:rPr>
              <w:tab/>
              <w:t>Транспорт</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55</w:t>
            </w:r>
          </w:hyperlink>
        </w:p>
        <w:p w14:paraId="201514E3" w14:textId="77777777" w:rsidR="00C82386" w:rsidRDefault="00E66F64" w:rsidP="006466AE">
          <w:pPr>
            <w:pBdr>
              <w:top w:val="nil"/>
              <w:left w:val="nil"/>
              <w:bottom w:val="nil"/>
              <w:right w:val="nil"/>
              <w:between w:val="nil"/>
            </w:pBdr>
            <w:tabs>
              <w:tab w:val="left" w:pos="1200"/>
              <w:tab w:val="right" w:pos="8931"/>
            </w:tabs>
            <w:spacing w:after="100"/>
            <w:ind w:left="284"/>
            <w:rPr>
              <w:rFonts w:ascii="Times New Roman" w:eastAsia="Times New Roman" w:hAnsi="Times New Roman" w:cs="Times New Roman"/>
              <w:noProof/>
              <w:color w:val="000000"/>
              <w:sz w:val="24"/>
              <w:szCs w:val="24"/>
            </w:rPr>
          </w:pPr>
          <w:hyperlink w:anchor="_heading=h.1hmsyys">
            <w:r>
              <w:rPr>
                <w:rFonts w:ascii="Times New Roman" w:eastAsia="Times New Roman" w:hAnsi="Times New Roman" w:cs="Times New Roman"/>
                <w:noProof/>
                <w:color w:val="000000"/>
                <w:sz w:val="24"/>
                <w:szCs w:val="24"/>
              </w:rPr>
              <w:t>3.2.5.1.</w:t>
            </w:r>
            <w:r>
              <w:rPr>
                <w:rFonts w:ascii="Times New Roman" w:eastAsia="Times New Roman" w:hAnsi="Times New Roman" w:cs="Times New Roman"/>
                <w:noProof/>
                <w:color w:val="000000"/>
                <w:sz w:val="24"/>
                <w:szCs w:val="24"/>
              </w:rPr>
              <w:tab/>
              <w:t>Муніципальний транспорт</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57</w:t>
            </w:r>
          </w:hyperlink>
        </w:p>
        <w:p w14:paraId="63CF17E3" w14:textId="77777777" w:rsidR="00C82386" w:rsidRDefault="00E66F64" w:rsidP="006466AE">
          <w:pPr>
            <w:pBdr>
              <w:top w:val="nil"/>
              <w:left w:val="nil"/>
              <w:bottom w:val="nil"/>
              <w:right w:val="nil"/>
              <w:between w:val="nil"/>
            </w:pBdr>
            <w:tabs>
              <w:tab w:val="left" w:pos="1200"/>
              <w:tab w:val="right" w:pos="8931"/>
            </w:tabs>
            <w:spacing w:after="100"/>
            <w:ind w:left="284"/>
            <w:rPr>
              <w:rFonts w:ascii="Times New Roman" w:eastAsia="Times New Roman" w:hAnsi="Times New Roman" w:cs="Times New Roman"/>
              <w:noProof/>
              <w:color w:val="000000"/>
              <w:sz w:val="24"/>
              <w:szCs w:val="24"/>
            </w:rPr>
          </w:pPr>
          <w:hyperlink w:anchor="_heading=h.41mghml">
            <w:r>
              <w:rPr>
                <w:rFonts w:ascii="Times New Roman" w:eastAsia="Times New Roman" w:hAnsi="Times New Roman" w:cs="Times New Roman"/>
                <w:noProof/>
                <w:color w:val="000000"/>
                <w:sz w:val="24"/>
                <w:szCs w:val="24"/>
              </w:rPr>
              <w:t>3.2.5.2.</w:t>
            </w:r>
            <w:r>
              <w:rPr>
                <w:rFonts w:ascii="Times New Roman" w:eastAsia="Times New Roman" w:hAnsi="Times New Roman" w:cs="Times New Roman"/>
                <w:noProof/>
                <w:color w:val="000000"/>
                <w:sz w:val="24"/>
                <w:szCs w:val="24"/>
              </w:rPr>
              <w:tab/>
              <w:t>Громадський транспорт</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59</w:t>
            </w:r>
          </w:hyperlink>
        </w:p>
        <w:p w14:paraId="1AD44DFD" w14:textId="77777777" w:rsidR="00C82386" w:rsidRDefault="00E66F64" w:rsidP="006466AE">
          <w:pPr>
            <w:pBdr>
              <w:top w:val="nil"/>
              <w:left w:val="nil"/>
              <w:bottom w:val="nil"/>
              <w:right w:val="nil"/>
              <w:between w:val="nil"/>
            </w:pBdr>
            <w:tabs>
              <w:tab w:val="left" w:pos="1200"/>
              <w:tab w:val="right" w:pos="8931"/>
            </w:tabs>
            <w:spacing w:after="100"/>
            <w:ind w:left="284"/>
            <w:rPr>
              <w:rFonts w:ascii="Times New Roman" w:eastAsia="Times New Roman" w:hAnsi="Times New Roman" w:cs="Times New Roman"/>
              <w:noProof/>
              <w:color w:val="000000"/>
              <w:sz w:val="24"/>
              <w:szCs w:val="24"/>
            </w:rPr>
          </w:pPr>
          <w:hyperlink w:anchor="_heading=h.vx1227">
            <w:r>
              <w:rPr>
                <w:rFonts w:ascii="Times New Roman" w:eastAsia="Times New Roman" w:hAnsi="Times New Roman" w:cs="Times New Roman"/>
                <w:noProof/>
                <w:color w:val="000000"/>
                <w:sz w:val="24"/>
                <w:szCs w:val="24"/>
              </w:rPr>
              <w:t>3.2.5.3.</w:t>
            </w:r>
            <w:r>
              <w:rPr>
                <w:rFonts w:ascii="Times New Roman" w:eastAsia="Times New Roman" w:hAnsi="Times New Roman" w:cs="Times New Roman"/>
                <w:noProof/>
                <w:color w:val="000000"/>
                <w:sz w:val="24"/>
                <w:szCs w:val="24"/>
              </w:rPr>
              <w:tab/>
              <w:t>Приватний та комерційний транспорт</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63</w:t>
            </w:r>
          </w:hyperlink>
        </w:p>
        <w:p w14:paraId="5DC09350" w14:textId="77777777" w:rsidR="00BD7402" w:rsidRDefault="00BD7402" w:rsidP="00BD7402">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fwokq0">
            <w:r>
              <w:rPr>
                <w:rFonts w:ascii="Times New Roman" w:eastAsia="Times New Roman" w:hAnsi="Times New Roman" w:cs="Times New Roman"/>
                <w:noProof/>
                <w:color w:val="000000"/>
                <w:sz w:val="24"/>
                <w:szCs w:val="24"/>
              </w:rPr>
              <w:t>3.3.</w:t>
            </w:r>
            <w:r>
              <w:rPr>
                <w:rFonts w:ascii="Times New Roman" w:eastAsia="Times New Roman" w:hAnsi="Times New Roman" w:cs="Times New Roman"/>
                <w:noProof/>
                <w:color w:val="000000"/>
                <w:sz w:val="24"/>
                <w:szCs w:val="24"/>
              </w:rPr>
              <w:tab/>
              <w:t>Установка дегазації на полігоні ТПВ</w:t>
            </w:r>
            <w:r>
              <w:rPr>
                <w:rFonts w:ascii="Times New Roman" w:eastAsia="Times New Roman" w:hAnsi="Times New Roman" w:cs="Times New Roman"/>
                <w:noProof/>
                <w:color w:val="000000"/>
                <w:sz w:val="24"/>
                <w:szCs w:val="24"/>
              </w:rPr>
              <w:tab/>
              <w:t>6</w:t>
            </w:r>
          </w:hyperlink>
          <w:r>
            <w:rPr>
              <w:rFonts w:ascii="Times New Roman" w:eastAsia="Times New Roman" w:hAnsi="Times New Roman" w:cs="Times New Roman"/>
              <w:noProof/>
              <w:color w:val="000000"/>
              <w:sz w:val="24"/>
              <w:szCs w:val="24"/>
            </w:rPr>
            <w:t>6</w:t>
          </w:r>
        </w:p>
        <w:p w14:paraId="3FE04AF0"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fwokq0">
            <w:r>
              <w:rPr>
                <w:rFonts w:ascii="Times New Roman" w:eastAsia="Times New Roman" w:hAnsi="Times New Roman" w:cs="Times New Roman"/>
                <w:noProof/>
                <w:color w:val="000000"/>
                <w:sz w:val="24"/>
                <w:szCs w:val="24"/>
              </w:rPr>
              <w:t>3.</w:t>
            </w:r>
            <w:r w:rsidR="00BD7402">
              <w:rPr>
                <w:rFonts w:ascii="Times New Roman" w:eastAsia="Times New Roman" w:hAnsi="Times New Roman" w:cs="Times New Roman"/>
                <w:noProof/>
                <w:color w:val="000000"/>
                <w:sz w:val="24"/>
                <w:szCs w:val="24"/>
              </w:rPr>
              <w:t>4</w:t>
            </w:r>
            <w:r>
              <w:rPr>
                <w:rFonts w:ascii="Times New Roman" w:eastAsia="Times New Roman" w:hAnsi="Times New Roman" w:cs="Times New Roman"/>
                <w:noProof/>
                <w:color w:val="000000"/>
                <w:sz w:val="24"/>
                <w:szCs w:val="24"/>
              </w:rPr>
              <w:t>.</w:t>
            </w:r>
            <w:r>
              <w:rPr>
                <w:rFonts w:ascii="Times New Roman" w:eastAsia="Times New Roman" w:hAnsi="Times New Roman" w:cs="Times New Roman"/>
                <w:noProof/>
                <w:color w:val="000000"/>
                <w:sz w:val="24"/>
                <w:szCs w:val="24"/>
              </w:rPr>
              <w:tab/>
              <w:t>Потенціал для використання відновлюваних джерел енергії</w:t>
            </w:r>
            <w:r>
              <w:rPr>
                <w:rFonts w:ascii="Times New Roman" w:eastAsia="Times New Roman" w:hAnsi="Times New Roman" w:cs="Times New Roman"/>
                <w:noProof/>
                <w:color w:val="000000"/>
                <w:sz w:val="24"/>
                <w:szCs w:val="24"/>
              </w:rPr>
              <w:tab/>
            </w:r>
          </w:hyperlink>
          <w:r w:rsidR="00BD7402">
            <w:rPr>
              <w:rFonts w:ascii="Times New Roman" w:eastAsia="Times New Roman" w:hAnsi="Times New Roman" w:cs="Times New Roman"/>
              <w:noProof/>
              <w:color w:val="000000"/>
              <w:sz w:val="24"/>
              <w:szCs w:val="24"/>
            </w:rPr>
            <w:t>67</w:t>
          </w:r>
        </w:p>
        <w:p w14:paraId="1AA7C217"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v1yuxt">
            <w:r>
              <w:rPr>
                <w:rFonts w:ascii="Times New Roman" w:eastAsia="Times New Roman" w:hAnsi="Times New Roman" w:cs="Times New Roman"/>
                <w:noProof/>
                <w:color w:val="000000"/>
                <w:sz w:val="24"/>
                <w:szCs w:val="24"/>
              </w:rPr>
              <w:t>Розділ 4. Базовий кадастр викидів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72</w:t>
            </w:r>
          </w:hyperlink>
        </w:p>
        <w:p w14:paraId="30CDAB39"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f1mdlm">
            <w:r>
              <w:rPr>
                <w:rFonts w:ascii="Times New Roman" w:eastAsia="Times New Roman" w:hAnsi="Times New Roman" w:cs="Times New Roman"/>
                <w:noProof/>
                <w:color w:val="000000"/>
                <w:sz w:val="24"/>
                <w:szCs w:val="24"/>
              </w:rPr>
              <w:t>4.1.</w:t>
            </w:r>
            <w:r>
              <w:rPr>
                <w:rFonts w:ascii="Times New Roman" w:eastAsia="Times New Roman" w:hAnsi="Times New Roman" w:cs="Times New Roman"/>
                <w:noProof/>
                <w:color w:val="000000"/>
                <w:sz w:val="24"/>
                <w:szCs w:val="24"/>
              </w:rPr>
              <w:tab/>
              <w:t>Визначення базового року</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72</w:t>
            </w:r>
          </w:hyperlink>
        </w:p>
        <w:p w14:paraId="5D2E6C64"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u6wntf">
            <w:r>
              <w:rPr>
                <w:rFonts w:ascii="Times New Roman" w:eastAsia="Times New Roman" w:hAnsi="Times New Roman" w:cs="Times New Roman"/>
                <w:noProof/>
                <w:color w:val="000000"/>
                <w:sz w:val="24"/>
                <w:szCs w:val="24"/>
              </w:rPr>
              <w:t>4.2.</w:t>
            </w:r>
            <w:r>
              <w:rPr>
                <w:rFonts w:ascii="Times New Roman" w:eastAsia="Times New Roman" w:hAnsi="Times New Roman" w:cs="Times New Roman"/>
                <w:noProof/>
                <w:color w:val="000000"/>
                <w:sz w:val="24"/>
                <w:szCs w:val="24"/>
              </w:rPr>
              <w:tab/>
              <w:t>Визначення секторів базового кадастру викидів (БКВ)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72</w:t>
            </w:r>
          </w:hyperlink>
        </w:p>
        <w:p w14:paraId="59012B7E"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9c6y18">
            <w:r>
              <w:rPr>
                <w:rFonts w:ascii="Times New Roman" w:eastAsia="Times New Roman" w:hAnsi="Times New Roman" w:cs="Times New Roman"/>
                <w:noProof/>
                <w:color w:val="000000"/>
                <w:sz w:val="24"/>
                <w:szCs w:val="24"/>
              </w:rPr>
              <w:t>4.3.</w:t>
            </w:r>
            <w:r>
              <w:rPr>
                <w:rFonts w:ascii="Times New Roman" w:eastAsia="Times New Roman" w:hAnsi="Times New Roman" w:cs="Times New Roman"/>
                <w:noProof/>
                <w:color w:val="000000"/>
                <w:sz w:val="24"/>
                <w:szCs w:val="24"/>
              </w:rPr>
              <w:tab/>
              <w:t>Обрання системи вимірювання викидів парникових газів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74</w:t>
            </w:r>
          </w:hyperlink>
        </w:p>
        <w:p w14:paraId="1CEE6195"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11kx3o">
            <w:r>
              <w:rPr>
                <w:rFonts w:ascii="Times New Roman" w:eastAsia="Times New Roman" w:hAnsi="Times New Roman" w:cs="Times New Roman"/>
                <w:noProof/>
                <w:color w:val="000000"/>
                <w:sz w:val="24"/>
                <w:szCs w:val="24"/>
              </w:rPr>
              <w:t>4.4.</w:t>
            </w:r>
            <w:r>
              <w:rPr>
                <w:rFonts w:ascii="Times New Roman" w:eastAsia="Times New Roman" w:hAnsi="Times New Roman" w:cs="Times New Roman"/>
                <w:noProof/>
                <w:color w:val="000000"/>
                <w:sz w:val="24"/>
                <w:szCs w:val="24"/>
              </w:rPr>
              <w:tab/>
              <w:t>Споживання енергоресурсів в натуральних одиницях за базовий 2010 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77</w:t>
            </w:r>
          </w:hyperlink>
        </w:p>
        <w:p w14:paraId="00225EAF"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l18frh">
            <w:r>
              <w:rPr>
                <w:rFonts w:ascii="Times New Roman" w:eastAsia="Times New Roman" w:hAnsi="Times New Roman" w:cs="Times New Roman"/>
                <w:noProof/>
                <w:color w:val="000000"/>
                <w:sz w:val="24"/>
                <w:szCs w:val="24"/>
              </w:rPr>
              <w:t>4.5.</w:t>
            </w:r>
            <w:r>
              <w:rPr>
                <w:rFonts w:ascii="Times New Roman" w:eastAsia="Times New Roman" w:hAnsi="Times New Roman" w:cs="Times New Roman"/>
                <w:noProof/>
                <w:color w:val="000000"/>
                <w:sz w:val="24"/>
                <w:szCs w:val="24"/>
              </w:rPr>
              <w:tab/>
              <w:t>Споживання енергоресурсів в МВт∙год за базовий 2010 р.</w:t>
            </w:r>
            <w:r>
              <w:rPr>
                <w:rFonts w:ascii="Times New Roman" w:eastAsia="Times New Roman" w:hAnsi="Times New Roman" w:cs="Times New Roman"/>
                <w:noProof/>
                <w:color w:val="000000"/>
                <w:sz w:val="24"/>
                <w:szCs w:val="24"/>
              </w:rPr>
              <w:tab/>
            </w:r>
          </w:hyperlink>
          <w:r w:rsidR="00BD7402">
            <w:rPr>
              <w:rFonts w:ascii="Times New Roman" w:eastAsia="Times New Roman" w:hAnsi="Times New Roman" w:cs="Times New Roman"/>
              <w:noProof/>
              <w:color w:val="000000"/>
              <w:sz w:val="24"/>
              <w:szCs w:val="24"/>
            </w:rPr>
            <w:t>78</w:t>
          </w:r>
        </w:p>
        <w:p w14:paraId="419712FA"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06ipza">
            <w:r>
              <w:rPr>
                <w:rFonts w:ascii="Times New Roman" w:eastAsia="Times New Roman" w:hAnsi="Times New Roman" w:cs="Times New Roman"/>
                <w:noProof/>
                <w:color w:val="000000"/>
                <w:sz w:val="24"/>
                <w:szCs w:val="24"/>
              </w:rPr>
              <w:t>4.6.</w:t>
            </w:r>
            <w:r>
              <w:rPr>
                <w:rFonts w:ascii="Times New Roman" w:eastAsia="Times New Roman" w:hAnsi="Times New Roman" w:cs="Times New Roman"/>
                <w:noProof/>
                <w:color w:val="000000"/>
                <w:sz w:val="24"/>
                <w:szCs w:val="24"/>
              </w:rPr>
              <w:tab/>
              <w:t>Кадастр викидів СО</w:t>
            </w:r>
          </w:hyperlink>
          <w:r w:rsidR="002802C8" w:rsidRPr="002802C8">
            <w:rPr>
              <w:rFonts w:ascii="Times New Roman" w:eastAsia="Times New Roman" w:hAnsi="Times New Roman" w:cs="Times New Roman"/>
              <w:noProof/>
              <w:color w:val="000000"/>
              <w:sz w:val="24"/>
              <w:szCs w:val="24"/>
              <w:vertAlign w:val="subscript"/>
            </w:rPr>
            <w:t>2</w:t>
          </w:r>
          <w:r w:rsidR="002802C8">
            <w:rPr>
              <w:rFonts w:ascii="Times New Roman" w:eastAsia="Times New Roman" w:hAnsi="Times New Roman" w:cs="Times New Roman"/>
              <w:noProof/>
              <w:color w:val="000000"/>
              <w:sz w:val="24"/>
              <w:szCs w:val="24"/>
            </w:rPr>
            <w:t xml:space="preserve">        </w:t>
          </w:r>
          <w:r w:rsidR="008E35E0">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79</w:t>
          </w:r>
        </w:p>
        <w:p w14:paraId="5BBFCB86"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4k668n3">
            <w:r>
              <w:rPr>
                <w:rFonts w:ascii="Times New Roman" w:eastAsia="Times New Roman" w:hAnsi="Times New Roman" w:cs="Times New Roman"/>
                <w:noProof/>
                <w:color w:val="000000"/>
                <w:sz w:val="24"/>
                <w:szCs w:val="24"/>
              </w:rPr>
              <w:t>Розділ 5. Моніторинговий кадастр викидів за 2020 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81</w:t>
            </w:r>
          </w:hyperlink>
        </w:p>
        <w:p w14:paraId="67EFBF93"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zbgiuw">
            <w:r>
              <w:rPr>
                <w:rFonts w:ascii="Times New Roman" w:eastAsia="Times New Roman" w:hAnsi="Times New Roman" w:cs="Times New Roman"/>
                <w:noProof/>
                <w:color w:val="000000"/>
                <w:sz w:val="24"/>
                <w:szCs w:val="24"/>
              </w:rPr>
              <w:t>5.1.</w:t>
            </w:r>
            <w:r>
              <w:rPr>
                <w:rFonts w:ascii="Times New Roman" w:eastAsia="Times New Roman" w:hAnsi="Times New Roman" w:cs="Times New Roman"/>
                <w:noProof/>
                <w:color w:val="000000"/>
                <w:sz w:val="24"/>
                <w:szCs w:val="24"/>
              </w:rPr>
              <w:tab/>
              <w:t>Споживання енергоресурсів в натуральних одиницях у 2020 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81</w:t>
            </w:r>
          </w:hyperlink>
        </w:p>
        <w:p w14:paraId="739559D1"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egqt2p">
            <w:r>
              <w:rPr>
                <w:rFonts w:ascii="Times New Roman" w:eastAsia="Times New Roman" w:hAnsi="Times New Roman" w:cs="Times New Roman"/>
                <w:noProof/>
                <w:color w:val="000000"/>
                <w:sz w:val="24"/>
                <w:szCs w:val="24"/>
              </w:rPr>
              <w:t>5.2.</w:t>
            </w:r>
            <w:r>
              <w:rPr>
                <w:rFonts w:ascii="Times New Roman" w:eastAsia="Times New Roman" w:hAnsi="Times New Roman" w:cs="Times New Roman"/>
                <w:noProof/>
                <w:color w:val="000000"/>
                <w:sz w:val="24"/>
                <w:szCs w:val="24"/>
              </w:rPr>
              <w:tab/>
              <w:t>Споживання енергоресурсів в МВт‧год у 2020 р.</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82</w:t>
            </w:r>
          </w:hyperlink>
        </w:p>
        <w:p w14:paraId="43A3AAF3"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ygebqi">
            <w:r>
              <w:rPr>
                <w:rFonts w:ascii="Times New Roman" w:eastAsia="Times New Roman" w:hAnsi="Times New Roman" w:cs="Times New Roman"/>
                <w:noProof/>
                <w:color w:val="000000"/>
                <w:sz w:val="24"/>
                <w:szCs w:val="24"/>
              </w:rPr>
              <w:t>5.3.</w:t>
            </w:r>
            <w:r>
              <w:rPr>
                <w:rFonts w:ascii="Times New Roman" w:eastAsia="Times New Roman" w:hAnsi="Times New Roman" w:cs="Times New Roman"/>
                <w:noProof/>
                <w:color w:val="000000"/>
                <w:sz w:val="24"/>
                <w:szCs w:val="24"/>
              </w:rPr>
              <w:tab/>
              <w:t>Кадастр викидів СО</w:t>
            </w:r>
          </w:hyperlink>
          <w:r w:rsidR="002802C8" w:rsidRPr="002802C8">
            <w:rPr>
              <w:rFonts w:ascii="Times New Roman" w:eastAsia="Times New Roman" w:hAnsi="Times New Roman" w:cs="Times New Roman"/>
              <w:noProof/>
              <w:color w:val="000000"/>
              <w:sz w:val="24"/>
              <w:szCs w:val="24"/>
              <w:vertAlign w:val="subscript"/>
            </w:rPr>
            <w:t>2</w:t>
          </w:r>
          <w:r w:rsidR="002802C8">
            <w:rPr>
              <w:rFonts w:ascii="Times New Roman" w:eastAsia="Times New Roman" w:hAnsi="Times New Roman" w:cs="Times New Roman"/>
              <w:noProof/>
              <w:color w:val="000000"/>
              <w:sz w:val="24"/>
              <w:szCs w:val="24"/>
            </w:rPr>
            <w:t xml:space="preserve">          </w:t>
          </w:r>
          <w:r w:rsidR="008E35E0">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83</w:t>
          </w:r>
        </w:p>
        <w:p w14:paraId="78E20836"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dlolyb">
            <w:r>
              <w:rPr>
                <w:rFonts w:ascii="Times New Roman" w:eastAsia="Times New Roman" w:hAnsi="Times New Roman" w:cs="Times New Roman"/>
                <w:noProof/>
                <w:color w:val="000000"/>
                <w:sz w:val="24"/>
                <w:szCs w:val="24"/>
              </w:rPr>
              <w:t>Розділ 6. Заходи з пом’якшення наслідків зміни клімату</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85</w:t>
            </w:r>
          </w:hyperlink>
        </w:p>
        <w:p w14:paraId="1261FAF4"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sqyw64">
            <w:r>
              <w:rPr>
                <w:rFonts w:ascii="Times New Roman" w:eastAsia="Times New Roman" w:hAnsi="Times New Roman" w:cs="Times New Roman"/>
                <w:noProof/>
                <w:color w:val="000000"/>
                <w:sz w:val="24"/>
                <w:szCs w:val="24"/>
              </w:rPr>
              <w:t>6.1.</w:t>
            </w:r>
            <w:r>
              <w:rPr>
                <w:rFonts w:ascii="Times New Roman" w:eastAsia="Times New Roman" w:hAnsi="Times New Roman" w:cs="Times New Roman"/>
                <w:noProof/>
                <w:color w:val="000000"/>
                <w:sz w:val="24"/>
                <w:szCs w:val="24"/>
              </w:rPr>
              <w:tab/>
              <w:t>План заходів з пом’якшення наслідків змін клімату на період 201</w:t>
            </w:r>
            <w:r w:rsidR="00B91121">
              <w:rPr>
                <w:rFonts w:ascii="Times New Roman" w:eastAsia="Times New Roman" w:hAnsi="Times New Roman" w:cs="Times New Roman"/>
                <w:noProof/>
                <w:color w:val="000000"/>
                <w:sz w:val="24"/>
                <w:szCs w:val="24"/>
              </w:rPr>
              <w:t>4</w:t>
            </w:r>
            <w:r>
              <w:rPr>
                <w:rFonts w:ascii="Times New Roman" w:eastAsia="Times New Roman" w:hAnsi="Times New Roman" w:cs="Times New Roman"/>
                <w:noProof/>
                <w:color w:val="000000"/>
                <w:sz w:val="24"/>
                <w:szCs w:val="24"/>
              </w:rPr>
              <w:t>-2030рр.</w:t>
            </w:r>
            <w:r>
              <w:rPr>
                <w:rFonts w:ascii="Times New Roman" w:eastAsia="Times New Roman" w:hAnsi="Times New Roman" w:cs="Times New Roman"/>
                <w:noProof/>
                <w:color w:val="000000"/>
                <w:sz w:val="24"/>
                <w:szCs w:val="24"/>
              </w:rPr>
              <w:tab/>
              <w:t>8</w:t>
            </w:r>
          </w:hyperlink>
          <w:r w:rsidR="00BD7402">
            <w:rPr>
              <w:rFonts w:ascii="Times New Roman" w:eastAsia="Times New Roman" w:hAnsi="Times New Roman" w:cs="Times New Roman"/>
              <w:noProof/>
              <w:color w:val="000000"/>
              <w:sz w:val="24"/>
              <w:szCs w:val="24"/>
            </w:rPr>
            <w:t>8</w:t>
          </w:r>
        </w:p>
        <w:p w14:paraId="53E51584"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cqmetx">
            <w:r>
              <w:rPr>
                <w:rFonts w:ascii="Times New Roman" w:eastAsia="Times New Roman" w:hAnsi="Times New Roman" w:cs="Times New Roman"/>
                <w:noProof/>
                <w:color w:val="000000"/>
                <w:sz w:val="24"/>
                <w:szCs w:val="24"/>
              </w:rPr>
              <w:t>6.2.</w:t>
            </w:r>
            <w:r>
              <w:rPr>
                <w:rFonts w:ascii="Times New Roman" w:eastAsia="Times New Roman" w:hAnsi="Times New Roman" w:cs="Times New Roman"/>
                <w:noProof/>
                <w:color w:val="000000"/>
                <w:sz w:val="24"/>
                <w:szCs w:val="24"/>
              </w:rPr>
              <w:tab/>
              <w:t>Ключові заходи з пом’якшення</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95</w:t>
            </w:r>
          </w:hyperlink>
        </w:p>
        <w:p w14:paraId="16774F9C"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rvwp1q">
            <w:r>
              <w:rPr>
                <w:rFonts w:ascii="Times New Roman" w:eastAsia="Times New Roman" w:hAnsi="Times New Roman" w:cs="Times New Roman"/>
                <w:noProof/>
                <w:color w:val="000000"/>
                <w:sz w:val="24"/>
                <w:szCs w:val="24"/>
              </w:rPr>
              <w:t>6.</w:t>
            </w:r>
            <w:r w:rsidR="006466AE">
              <w:rPr>
                <w:rFonts w:ascii="Times New Roman" w:eastAsia="Times New Roman" w:hAnsi="Times New Roman" w:cs="Times New Roman"/>
                <w:noProof/>
                <w:color w:val="000000"/>
                <w:sz w:val="24"/>
                <w:szCs w:val="24"/>
                <w:lang w:val="en-US"/>
              </w:rPr>
              <w:t>3</w:t>
            </w:r>
            <w:r>
              <w:rPr>
                <w:rFonts w:ascii="Times New Roman" w:eastAsia="Times New Roman" w:hAnsi="Times New Roman" w:cs="Times New Roman"/>
                <w:noProof/>
                <w:color w:val="000000"/>
                <w:sz w:val="24"/>
                <w:szCs w:val="24"/>
              </w:rPr>
              <w:t>.</w:t>
            </w:r>
            <w:r>
              <w:rPr>
                <w:rFonts w:ascii="Times New Roman" w:eastAsia="Times New Roman" w:hAnsi="Times New Roman" w:cs="Times New Roman"/>
                <w:noProof/>
                <w:color w:val="000000"/>
                <w:sz w:val="24"/>
                <w:szCs w:val="24"/>
              </w:rPr>
              <w:tab/>
              <w:t>Опис запланованих дій та заходів</w:t>
            </w:r>
            <w:r>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100</w:t>
            </w:r>
          </w:hyperlink>
        </w:p>
        <w:p w14:paraId="7A35C14D"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bvk7pj">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.1.</w:t>
            </w:r>
            <w:r w:rsidR="00E66F64">
              <w:rPr>
                <w:rFonts w:ascii="Times New Roman" w:eastAsia="Times New Roman" w:hAnsi="Times New Roman" w:cs="Times New Roman"/>
                <w:noProof/>
                <w:color w:val="000000"/>
                <w:sz w:val="24"/>
                <w:szCs w:val="24"/>
              </w:rPr>
              <w:tab/>
              <w:t>Заходи, що заплановані до виконання в муніципальному секторі</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101</w:t>
            </w:r>
          </w:hyperlink>
        </w:p>
        <w:p w14:paraId="7B459890" w14:textId="77777777" w:rsidR="00C82386" w:rsidRDefault="006466AE" w:rsidP="006466AE">
          <w:pPr>
            <w:pBdr>
              <w:top w:val="nil"/>
              <w:left w:val="nil"/>
              <w:bottom w:val="nil"/>
              <w:right w:val="nil"/>
              <w:between w:val="nil"/>
            </w:pBdr>
            <w:tabs>
              <w:tab w:val="left" w:pos="960"/>
              <w:tab w:val="left" w:pos="8789"/>
              <w:tab w:val="right" w:pos="8931"/>
            </w:tabs>
            <w:spacing w:after="100"/>
            <w:ind w:left="284" w:right="423"/>
            <w:rPr>
              <w:rFonts w:ascii="Times New Roman" w:eastAsia="Times New Roman" w:hAnsi="Times New Roman" w:cs="Times New Roman"/>
              <w:noProof/>
              <w:color w:val="000000"/>
              <w:sz w:val="24"/>
              <w:szCs w:val="24"/>
            </w:rPr>
          </w:pPr>
          <w:hyperlink w:anchor="_heading=h.1664s55">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.2.</w:t>
            </w:r>
            <w:r w:rsidR="00E66F64">
              <w:rPr>
                <w:rFonts w:ascii="Times New Roman" w:eastAsia="Times New Roman" w:hAnsi="Times New Roman" w:cs="Times New Roman"/>
                <w:noProof/>
                <w:color w:val="000000"/>
                <w:sz w:val="24"/>
                <w:szCs w:val="24"/>
              </w:rPr>
              <w:tab/>
              <w:t>Заходи, що заплановані до виконання для муніципального вуличного освітлення</w:t>
            </w:r>
            <w:r>
              <w:rPr>
                <w:rFonts w:ascii="Times New Roman" w:eastAsia="Times New Roman" w:hAnsi="Times New Roman" w:cs="Times New Roman"/>
                <w:noProof/>
                <w:color w:val="000000"/>
                <w:sz w:val="24"/>
                <w:szCs w:val="24"/>
                <w:lang w:val="en-US"/>
              </w:rPr>
              <w:t xml:space="preserve">                                                                                        </w:t>
            </w:r>
            <w:r w:rsidR="00BD7402">
              <w:rPr>
                <w:rFonts w:ascii="Times New Roman" w:eastAsia="Times New Roman" w:hAnsi="Times New Roman" w:cs="Times New Roman"/>
                <w:noProof/>
                <w:color w:val="000000"/>
                <w:sz w:val="24"/>
                <w:szCs w:val="24"/>
                <w:lang w:val="en-US"/>
              </w:rPr>
              <w:t xml:space="preserve">                               </w:t>
            </w:r>
            <w:r w:rsidR="00BD7402">
              <w:rPr>
                <w:rFonts w:ascii="Times New Roman" w:eastAsia="Times New Roman" w:hAnsi="Times New Roman" w:cs="Times New Roman"/>
                <w:noProof/>
                <w:color w:val="000000"/>
                <w:sz w:val="24"/>
                <w:szCs w:val="24"/>
              </w:rPr>
              <w:t>103</w:t>
            </w:r>
          </w:hyperlink>
        </w:p>
        <w:p w14:paraId="37FAB43D"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q5sasy">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.3.</w:t>
            </w:r>
            <w:r w:rsidR="00E66F64">
              <w:rPr>
                <w:rFonts w:ascii="Times New Roman" w:eastAsia="Times New Roman" w:hAnsi="Times New Roman" w:cs="Times New Roman"/>
                <w:noProof/>
                <w:color w:val="000000"/>
                <w:sz w:val="24"/>
                <w:szCs w:val="24"/>
              </w:rPr>
              <w:tab/>
              <w:t>Заходи, що заплановані до виконання в житловому секторі</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104</w:t>
            </w:r>
          </w:hyperlink>
        </w:p>
        <w:p w14:paraId="27E15F9A"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5b2l0r">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.4.</w:t>
            </w:r>
            <w:r w:rsidR="00E66F64">
              <w:rPr>
                <w:rFonts w:ascii="Times New Roman" w:eastAsia="Times New Roman" w:hAnsi="Times New Roman" w:cs="Times New Roman"/>
                <w:noProof/>
                <w:color w:val="000000"/>
                <w:sz w:val="24"/>
                <w:szCs w:val="24"/>
              </w:rPr>
              <w:tab/>
              <w:t>Заходи, що заплановані до виконання для будівель третинного сектору</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106</w:t>
            </w:r>
          </w:hyperlink>
        </w:p>
        <w:p w14:paraId="0C1D6FD0"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kgcv8k">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.5.</w:t>
            </w:r>
            <w:r w:rsidR="00E66F64">
              <w:rPr>
                <w:rFonts w:ascii="Times New Roman" w:eastAsia="Times New Roman" w:hAnsi="Times New Roman" w:cs="Times New Roman"/>
                <w:noProof/>
                <w:color w:val="000000"/>
                <w:sz w:val="24"/>
                <w:szCs w:val="24"/>
              </w:rPr>
              <w:tab/>
              <w:t>Заходи, що заплановані до виконання в секторі транспорту</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106</w:t>
            </w:r>
          </w:hyperlink>
        </w:p>
        <w:p w14:paraId="6057425F"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4g0dwd">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.6.</w:t>
            </w:r>
            <w:r w:rsidR="00E66F64">
              <w:rPr>
                <w:rFonts w:ascii="Times New Roman" w:eastAsia="Times New Roman" w:hAnsi="Times New Roman" w:cs="Times New Roman"/>
                <w:noProof/>
                <w:color w:val="000000"/>
                <w:sz w:val="24"/>
                <w:szCs w:val="24"/>
              </w:rPr>
              <w:tab/>
              <w:t>Заходи, що заплановані до виконання по розділу місцевого виробництва електроенергії</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107</w:t>
            </w:r>
          </w:hyperlink>
        </w:p>
        <w:p w14:paraId="0E9A1F1D"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1jlao46">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.7.</w:t>
            </w:r>
            <w:r w:rsidR="00E66F64">
              <w:rPr>
                <w:rFonts w:ascii="Times New Roman" w:eastAsia="Times New Roman" w:hAnsi="Times New Roman" w:cs="Times New Roman"/>
                <w:noProof/>
                <w:color w:val="000000"/>
                <w:sz w:val="24"/>
                <w:szCs w:val="24"/>
              </w:rPr>
              <w:tab/>
              <w:t>Заходи, що заплановані до виконання по розділу місцевого виробництва тепла/холоду</w:t>
            </w:r>
            <w:r w:rsidR="00E66F64">
              <w:rPr>
                <w:rFonts w:ascii="Times New Roman" w:eastAsia="Times New Roman" w:hAnsi="Times New Roman" w:cs="Times New Roman"/>
                <w:noProof/>
                <w:color w:val="000000"/>
                <w:sz w:val="24"/>
                <w:szCs w:val="24"/>
              </w:rPr>
              <w:tab/>
            </w:r>
            <w:r w:rsidR="00BD7402">
              <w:rPr>
                <w:rFonts w:ascii="Times New Roman" w:eastAsia="Times New Roman" w:hAnsi="Times New Roman" w:cs="Times New Roman"/>
                <w:noProof/>
                <w:color w:val="000000"/>
                <w:sz w:val="24"/>
                <w:szCs w:val="24"/>
              </w:rPr>
              <w:t>107</w:t>
            </w:r>
          </w:hyperlink>
        </w:p>
        <w:p w14:paraId="49A864E4" w14:textId="77777777" w:rsidR="00C82386" w:rsidRDefault="006466AE"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3ky6rz">
            <w:r>
              <w:rPr>
                <w:rFonts w:ascii="Times New Roman" w:eastAsia="Times New Roman" w:hAnsi="Times New Roman" w:cs="Times New Roman"/>
                <w:noProof/>
                <w:color w:val="000000"/>
                <w:sz w:val="24"/>
                <w:szCs w:val="24"/>
              </w:rPr>
              <w:t>6.3</w:t>
            </w:r>
            <w:r w:rsidR="00E66F64">
              <w:rPr>
                <w:rFonts w:ascii="Times New Roman" w:eastAsia="Times New Roman" w:hAnsi="Times New Roman" w:cs="Times New Roman"/>
                <w:noProof/>
                <w:color w:val="000000"/>
                <w:sz w:val="24"/>
                <w:szCs w:val="24"/>
              </w:rPr>
              <w:t>.8.</w:t>
            </w:r>
            <w:r w:rsidR="00E66F64">
              <w:rPr>
                <w:rFonts w:ascii="Times New Roman" w:eastAsia="Times New Roman" w:hAnsi="Times New Roman" w:cs="Times New Roman"/>
                <w:noProof/>
                <w:color w:val="000000"/>
                <w:sz w:val="24"/>
                <w:szCs w:val="24"/>
              </w:rPr>
              <w:tab/>
              <w:t xml:space="preserve">Заходи, що заплановані до виконання по розділу </w:t>
            </w:r>
            <w:r w:rsidR="00BD7402">
              <w:rPr>
                <w:rFonts w:ascii="Times New Roman" w:eastAsia="Times New Roman" w:hAnsi="Times New Roman" w:cs="Times New Roman"/>
                <w:noProof/>
                <w:color w:val="000000"/>
                <w:sz w:val="24"/>
                <w:szCs w:val="24"/>
              </w:rPr>
              <w:t>«Управління</w:t>
            </w:r>
            <w:r w:rsidR="00E66F64">
              <w:rPr>
                <w:rFonts w:ascii="Times New Roman" w:eastAsia="Times New Roman" w:hAnsi="Times New Roman" w:cs="Times New Roman"/>
                <w:noProof/>
                <w:color w:val="000000"/>
                <w:sz w:val="24"/>
                <w:szCs w:val="24"/>
              </w:rPr>
              <w:t xml:space="preserve"> відходами</w:t>
            </w:r>
            <w:r w:rsidR="00BD7402">
              <w:rPr>
                <w:rFonts w:ascii="Times New Roman" w:eastAsia="Times New Roman" w:hAnsi="Times New Roman" w:cs="Times New Roman"/>
                <w:noProof/>
                <w:color w:val="000000"/>
                <w:sz w:val="24"/>
                <w:szCs w:val="24"/>
              </w:rPr>
              <w:t>»</w:t>
            </w:r>
            <w:r w:rsidR="00E66F64">
              <w:rPr>
                <w:rFonts w:ascii="Times New Roman" w:eastAsia="Times New Roman" w:hAnsi="Times New Roman" w:cs="Times New Roman"/>
                <w:noProof/>
                <w:color w:val="000000"/>
                <w:sz w:val="24"/>
                <w:szCs w:val="24"/>
              </w:rPr>
              <w:tab/>
            </w:r>
          </w:hyperlink>
          <w:r w:rsidR="00BD7402">
            <w:rPr>
              <w:rFonts w:ascii="Times New Roman" w:eastAsia="Times New Roman" w:hAnsi="Times New Roman" w:cs="Times New Roman"/>
              <w:noProof/>
              <w:color w:val="000000"/>
              <w:sz w:val="24"/>
              <w:szCs w:val="24"/>
            </w:rPr>
            <w:t>108</w:t>
          </w:r>
        </w:p>
        <w:p w14:paraId="5C3351FF" w14:textId="77777777" w:rsidR="00C82386" w:rsidRDefault="006466AE" w:rsidP="006466AE">
          <w:pPr>
            <w:pBdr>
              <w:top w:val="nil"/>
              <w:left w:val="nil"/>
              <w:bottom w:val="nil"/>
              <w:right w:val="nil"/>
              <w:between w:val="nil"/>
            </w:pBdr>
            <w:tabs>
              <w:tab w:val="left" w:pos="720"/>
              <w:tab w:val="right" w:pos="8931"/>
            </w:tabs>
            <w:spacing w:after="100"/>
            <w:ind w:left="284"/>
            <w:rPr>
              <w:rFonts w:ascii="Times New Roman" w:eastAsia="Times New Roman" w:hAnsi="Times New Roman" w:cs="Times New Roman"/>
              <w:noProof/>
              <w:color w:val="000000"/>
              <w:sz w:val="24"/>
              <w:szCs w:val="24"/>
            </w:rPr>
          </w:pPr>
          <w:hyperlink w:anchor="_heading=h.2iq8gzs">
            <w:r>
              <w:rPr>
                <w:rFonts w:ascii="Times New Roman" w:eastAsia="Times New Roman" w:hAnsi="Times New Roman" w:cs="Times New Roman"/>
                <w:noProof/>
                <w:color w:val="000000"/>
                <w:sz w:val="24"/>
                <w:szCs w:val="24"/>
              </w:rPr>
              <w:t>6.4</w:t>
            </w:r>
            <w:r w:rsidR="00E66F64">
              <w:rPr>
                <w:rFonts w:ascii="Times New Roman" w:eastAsia="Times New Roman" w:hAnsi="Times New Roman" w:cs="Times New Roman"/>
                <w:noProof/>
                <w:color w:val="000000"/>
                <w:sz w:val="24"/>
                <w:szCs w:val="24"/>
              </w:rPr>
              <w:t>.</w:t>
            </w:r>
            <w:r w:rsidR="00E66F64">
              <w:rPr>
                <w:rFonts w:ascii="Times New Roman" w:eastAsia="Times New Roman" w:hAnsi="Times New Roman" w:cs="Times New Roman"/>
                <w:noProof/>
                <w:color w:val="000000"/>
                <w:sz w:val="24"/>
                <w:szCs w:val="24"/>
              </w:rPr>
              <w:tab/>
              <w:t>Заходи на п</w:t>
            </w:r>
            <w:r w:rsidR="00BD7402">
              <w:rPr>
                <w:rFonts w:ascii="Times New Roman" w:eastAsia="Times New Roman" w:hAnsi="Times New Roman" w:cs="Times New Roman"/>
                <w:noProof/>
                <w:color w:val="000000"/>
                <w:sz w:val="24"/>
                <w:szCs w:val="24"/>
              </w:rPr>
              <w:t>одолання енергетичної бідності</w:t>
            </w:r>
            <w:r w:rsidR="00BD7402">
              <w:rPr>
                <w:rFonts w:ascii="Times New Roman" w:eastAsia="Times New Roman" w:hAnsi="Times New Roman" w:cs="Times New Roman"/>
                <w:noProof/>
                <w:color w:val="000000"/>
                <w:sz w:val="24"/>
                <w:szCs w:val="24"/>
              </w:rPr>
              <w:tab/>
              <w:t>10</w:t>
            </w:r>
            <w:r w:rsidR="00E66F64">
              <w:rPr>
                <w:rFonts w:ascii="Times New Roman" w:eastAsia="Times New Roman" w:hAnsi="Times New Roman" w:cs="Times New Roman"/>
                <w:noProof/>
                <w:color w:val="000000"/>
                <w:sz w:val="24"/>
                <w:szCs w:val="24"/>
              </w:rPr>
              <w:t>9</w:t>
            </w:r>
          </w:hyperlink>
        </w:p>
        <w:p w14:paraId="37DD954E"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xvir7l">
            <w:r>
              <w:rPr>
                <w:rFonts w:ascii="Times New Roman" w:eastAsia="Times New Roman" w:hAnsi="Times New Roman" w:cs="Times New Roman"/>
                <w:noProof/>
                <w:color w:val="000000"/>
                <w:sz w:val="24"/>
                <w:szCs w:val="24"/>
              </w:rPr>
              <w:t>Розділ 7. Оцінка ризиків та вразливості Житомирської міс</w:t>
            </w:r>
            <w:r w:rsidR="00BD7402">
              <w:rPr>
                <w:rFonts w:ascii="Times New Roman" w:eastAsia="Times New Roman" w:hAnsi="Times New Roman" w:cs="Times New Roman"/>
                <w:noProof/>
                <w:color w:val="000000"/>
                <w:sz w:val="24"/>
                <w:szCs w:val="24"/>
              </w:rPr>
              <w:t>ької громади до зміни клімату</w:t>
            </w:r>
            <w:r w:rsidR="00BD7402">
              <w:rPr>
                <w:rFonts w:ascii="Times New Roman" w:eastAsia="Times New Roman" w:hAnsi="Times New Roman" w:cs="Times New Roman"/>
                <w:noProof/>
                <w:color w:val="000000"/>
                <w:sz w:val="24"/>
                <w:szCs w:val="24"/>
              </w:rPr>
              <w:tab/>
              <w:t>11</w:t>
            </w:r>
            <w:r>
              <w:rPr>
                <w:rFonts w:ascii="Times New Roman" w:eastAsia="Times New Roman" w:hAnsi="Times New Roman" w:cs="Times New Roman"/>
                <w:noProof/>
                <w:color w:val="000000"/>
                <w:sz w:val="24"/>
                <w:szCs w:val="24"/>
              </w:rPr>
              <w:t>1</w:t>
            </w:r>
          </w:hyperlink>
        </w:p>
        <w:p w14:paraId="4AB599DE"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hv69ve">
            <w:r>
              <w:rPr>
                <w:rFonts w:ascii="Times New Roman" w:eastAsia="Times New Roman" w:hAnsi="Times New Roman" w:cs="Times New Roman"/>
                <w:noProof/>
                <w:color w:val="000000"/>
                <w:sz w:val="24"/>
                <w:szCs w:val="24"/>
              </w:rPr>
              <w:t>7.1.</w:t>
            </w:r>
            <w:r>
              <w:rPr>
                <w:rFonts w:ascii="Times New Roman" w:eastAsia="Times New Roman" w:hAnsi="Times New Roman" w:cs="Times New Roman"/>
                <w:noProof/>
                <w:color w:val="000000"/>
                <w:sz w:val="24"/>
                <w:szCs w:val="24"/>
              </w:rPr>
              <w:tab/>
              <w:t>Підсумкова оцінка вразли</w:t>
            </w:r>
            <w:r w:rsidR="00BD7402">
              <w:rPr>
                <w:rFonts w:ascii="Times New Roman" w:eastAsia="Times New Roman" w:hAnsi="Times New Roman" w:cs="Times New Roman"/>
                <w:noProof/>
                <w:color w:val="000000"/>
                <w:sz w:val="24"/>
                <w:szCs w:val="24"/>
              </w:rPr>
              <w:t>вості громади до змін клімату</w:t>
            </w:r>
            <w:r w:rsidR="00BD7402">
              <w:rPr>
                <w:rFonts w:ascii="Times New Roman" w:eastAsia="Times New Roman" w:hAnsi="Times New Roman" w:cs="Times New Roman"/>
                <w:noProof/>
                <w:color w:val="000000"/>
                <w:sz w:val="24"/>
                <w:szCs w:val="24"/>
              </w:rPr>
              <w:tab/>
              <w:t>11</w:t>
            </w:r>
            <w:r>
              <w:rPr>
                <w:rFonts w:ascii="Times New Roman" w:eastAsia="Times New Roman" w:hAnsi="Times New Roman" w:cs="Times New Roman"/>
                <w:noProof/>
                <w:color w:val="000000"/>
                <w:sz w:val="24"/>
                <w:szCs w:val="24"/>
              </w:rPr>
              <w:t>2</w:t>
            </w:r>
          </w:hyperlink>
        </w:p>
        <w:p w14:paraId="33DCACE5"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4h042r0">
            <w:r>
              <w:rPr>
                <w:rFonts w:ascii="Times New Roman" w:eastAsia="Times New Roman" w:hAnsi="Times New Roman" w:cs="Times New Roman"/>
                <w:noProof/>
                <w:color w:val="000000"/>
                <w:sz w:val="24"/>
                <w:szCs w:val="24"/>
              </w:rPr>
              <w:t>Розділ 8. Опис заходів з адаптації Житомирської місько</w:t>
            </w:r>
            <w:r w:rsidR="00BD7402">
              <w:rPr>
                <w:rFonts w:ascii="Times New Roman" w:eastAsia="Times New Roman" w:hAnsi="Times New Roman" w:cs="Times New Roman"/>
                <w:noProof/>
                <w:color w:val="000000"/>
                <w:sz w:val="24"/>
                <w:szCs w:val="24"/>
              </w:rPr>
              <w:t>ї громади до кліматичних змін</w:t>
            </w:r>
            <w:r w:rsidR="00BD7402">
              <w:rPr>
                <w:rFonts w:ascii="Times New Roman" w:eastAsia="Times New Roman" w:hAnsi="Times New Roman" w:cs="Times New Roman"/>
                <w:noProof/>
                <w:color w:val="000000"/>
                <w:sz w:val="24"/>
                <w:szCs w:val="24"/>
              </w:rPr>
              <w:tab/>
              <w:t>11</w:t>
            </w:r>
            <w:r>
              <w:rPr>
                <w:rFonts w:ascii="Times New Roman" w:eastAsia="Times New Roman" w:hAnsi="Times New Roman" w:cs="Times New Roman"/>
                <w:noProof/>
                <w:color w:val="000000"/>
                <w:sz w:val="24"/>
                <w:szCs w:val="24"/>
              </w:rPr>
              <w:t>7</w:t>
            </w:r>
          </w:hyperlink>
        </w:p>
        <w:p w14:paraId="33E19F77"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w5ecyt">
            <w:r>
              <w:rPr>
                <w:rFonts w:ascii="Times New Roman" w:eastAsia="Times New Roman" w:hAnsi="Times New Roman" w:cs="Times New Roman"/>
                <w:noProof/>
                <w:color w:val="000000"/>
                <w:sz w:val="24"/>
                <w:szCs w:val="24"/>
              </w:rPr>
              <w:t>8.1.</w:t>
            </w:r>
            <w:r>
              <w:rPr>
                <w:rFonts w:ascii="Times New Roman" w:eastAsia="Times New Roman" w:hAnsi="Times New Roman" w:cs="Times New Roman"/>
                <w:noProof/>
                <w:color w:val="000000"/>
                <w:sz w:val="24"/>
                <w:szCs w:val="24"/>
              </w:rPr>
              <w:tab/>
              <w:t>Соціально-</w:t>
            </w:r>
            <w:r w:rsidR="00BD7402">
              <w:rPr>
                <w:rFonts w:ascii="Times New Roman" w:eastAsia="Times New Roman" w:hAnsi="Times New Roman" w:cs="Times New Roman"/>
                <w:noProof/>
                <w:color w:val="000000"/>
                <w:sz w:val="24"/>
                <w:szCs w:val="24"/>
              </w:rPr>
              <w:t>економічні заходи з адаптації</w:t>
            </w:r>
            <w:r w:rsidR="00BD7402">
              <w:rPr>
                <w:rFonts w:ascii="Times New Roman" w:eastAsia="Times New Roman" w:hAnsi="Times New Roman" w:cs="Times New Roman"/>
                <w:noProof/>
                <w:color w:val="000000"/>
                <w:sz w:val="24"/>
                <w:szCs w:val="24"/>
              </w:rPr>
              <w:tab/>
              <w:t>11</w:t>
            </w:r>
            <w:r>
              <w:rPr>
                <w:rFonts w:ascii="Times New Roman" w:eastAsia="Times New Roman" w:hAnsi="Times New Roman" w:cs="Times New Roman"/>
                <w:noProof/>
                <w:color w:val="000000"/>
                <w:sz w:val="24"/>
                <w:szCs w:val="24"/>
              </w:rPr>
              <w:t>7</w:t>
            </w:r>
          </w:hyperlink>
        </w:p>
        <w:p w14:paraId="71AF5CA3"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3vac5uf">
            <w:r>
              <w:rPr>
                <w:rFonts w:ascii="Times New Roman" w:eastAsia="Times New Roman" w:hAnsi="Times New Roman" w:cs="Times New Roman"/>
                <w:noProof/>
                <w:color w:val="000000"/>
                <w:sz w:val="24"/>
                <w:szCs w:val="24"/>
              </w:rPr>
              <w:t>8.2.</w:t>
            </w:r>
            <w:r>
              <w:rPr>
                <w:rFonts w:ascii="Times New Roman" w:eastAsia="Times New Roman" w:hAnsi="Times New Roman" w:cs="Times New Roman"/>
                <w:noProof/>
                <w:color w:val="000000"/>
                <w:sz w:val="24"/>
                <w:szCs w:val="24"/>
              </w:rPr>
              <w:tab/>
              <w:t>Навколишнє середовище</w:t>
            </w:r>
            <w:r>
              <w:rPr>
                <w:rFonts w:ascii="Times New Roman" w:eastAsia="Times New Roman" w:hAnsi="Times New Roman" w:cs="Times New Roman"/>
                <w:noProof/>
                <w:color w:val="000000"/>
                <w:sz w:val="24"/>
                <w:szCs w:val="24"/>
              </w:rPr>
              <w:tab/>
              <w:t>1</w:t>
            </w:r>
            <w:r w:rsidR="00BD7402">
              <w:rPr>
                <w:rFonts w:ascii="Times New Roman" w:eastAsia="Times New Roman" w:hAnsi="Times New Roman" w:cs="Times New Roman"/>
                <w:noProof/>
                <w:color w:val="000000"/>
                <w:sz w:val="24"/>
                <w:szCs w:val="24"/>
              </w:rPr>
              <w:t>23</w:t>
            </w:r>
          </w:hyperlink>
        </w:p>
        <w:p w14:paraId="6F81D332"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45jfvxd">
            <w:r>
              <w:rPr>
                <w:rFonts w:ascii="Times New Roman" w:eastAsia="Times New Roman" w:hAnsi="Times New Roman" w:cs="Times New Roman"/>
                <w:noProof/>
                <w:color w:val="000000"/>
                <w:sz w:val="24"/>
                <w:szCs w:val="24"/>
              </w:rPr>
              <w:t>8.3.</w:t>
            </w:r>
            <w:r>
              <w:rPr>
                <w:rFonts w:ascii="Times New Roman" w:eastAsia="Times New Roman" w:hAnsi="Times New Roman" w:cs="Times New Roman"/>
                <w:noProof/>
                <w:color w:val="000000"/>
                <w:sz w:val="24"/>
                <w:szCs w:val="24"/>
              </w:rPr>
              <w:tab/>
              <w:t>Державні та інституційні</w:t>
            </w:r>
            <w:r>
              <w:rPr>
                <w:rFonts w:ascii="Times New Roman" w:eastAsia="Times New Roman" w:hAnsi="Times New Roman" w:cs="Times New Roman"/>
                <w:noProof/>
                <w:color w:val="000000"/>
                <w:sz w:val="24"/>
                <w:szCs w:val="24"/>
              </w:rPr>
              <w:tab/>
              <w:t>14</w:t>
            </w:r>
          </w:hyperlink>
          <w:r w:rsidR="00BD7402">
            <w:rPr>
              <w:rFonts w:ascii="Times New Roman" w:eastAsia="Times New Roman" w:hAnsi="Times New Roman" w:cs="Times New Roman"/>
              <w:noProof/>
              <w:color w:val="000000"/>
              <w:sz w:val="24"/>
              <w:szCs w:val="24"/>
            </w:rPr>
            <w:t>2</w:t>
          </w:r>
        </w:p>
        <w:p w14:paraId="62901A46" w14:textId="77777777" w:rsidR="00C82386" w:rsidRDefault="00E66F64" w:rsidP="006466AE">
          <w:pPr>
            <w:pBdr>
              <w:top w:val="nil"/>
              <w:left w:val="nil"/>
              <w:bottom w:val="nil"/>
              <w:right w:val="nil"/>
              <w:between w:val="nil"/>
            </w:pBdr>
            <w:tabs>
              <w:tab w:val="left" w:pos="960"/>
              <w:tab w:val="right" w:pos="8931"/>
            </w:tabs>
            <w:spacing w:after="100"/>
            <w:ind w:left="284"/>
            <w:rPr>
              <w:rFonts w:ascii="Times New Roman" w:eastAsia="Times New Roman" w:hAnsi="Times New Roman" w:cs="Times New Roman"/>
              <w:noProof/>
              <w:color w:val="000000"/>
              <w:sz w:val="24"/>
              <w:szCs w:val="24"/>
            </w:rPr>
          </w:pPr>
          <w:hyperlink w:anchor="_heading=h.2koq656">
            <w:r>
              <w:rPr>
                <w:rFonts w:ascii="Times New Roman" w:eastAsia="Times New Roman" w:hAnsi="Times New Roman" w:cs="Times New Roman"/>
                <w:noProof/>
                <w:color w:val="000000"/>
                <w:sz w:val="24"/>
                <w:szCs w:val="24"/>
              </w:rPr>
              <w:t>8.4.</w:t>
            </w:r>
            <w:r>
              <w:rPr>
                <w:rFonts w:ascii="Times New Roman" w:eastAsia="Times New Roman" w:hAnsi="Times New Roman" w:cs="Times New Roman"/>
                <w:noProof/>
                <w:color w:val="000000"/>
                <w:sz w:val="24"/>
                <w:szCs w:val="24"/>
              </w:rPr>
              <w:tab/>
              <w:t>Знання та технології (інновації)</w:t>
            </w:r>
            <w:r>
              <w:rPr>
                <w:rFonts w:ascii="Times New Roman" w:eastAsia="Times New Roman" w:hAnsi="Times New Roman" w:cs="Times New Roman"/>
                <w:noProof/>
                <w:color w:val="000000"/>
                <w:sz w:val="24"/>
                <w:szCs w:val="24"/>
              </w:rPr>
              <w:tab/>
              <w:t>144</w:t>
            </w:r>
          </w:hyperlink>
        </w:p>
        <w:p w14:paraId="4D4CEC09"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zu0gcz">
            <w:r>
              <w:rPr>
                <w:rFonts w:ascii="Times New Roman" w:eastAsia="Times New Roman" w:hAnsi="Times New Roman" w:cs="Times New Roman"/>
                <w:noProof/>
                <w:color w:val="000000"/>
                <w:sz w:val="24"/>
                <w:szCs w:val="24"/>
              </w:rPr>
              <w:t xml:space="preserve">Розділ 9. Планування території </w:t>
            </w:r>
            <w:r w:rsidR="00BD7402">
              <w:rPr>
                <w:rFonts w:ascii="Times New Roman" w:eastAsia="Times New Roman" w:hAnsi="Times New Roman" w:cs="Times New Roman"/>
                <w:noProof/>
                <w:color w:val="000000"/>
                <w:sz w:val="24"/>
                <w:szCs w:val="24"/>
              </w:rPr>
              <w:t>громади</w:t>
            </w:r>
            <w:r>
              <w:rPr>
                <w:rFonts w:ascii="Times New Roman" w:eastAsia="Times New Roman" w:hAnsi="Times New Roman" w:cs="Times New Roman"/>
                <w:noProof/>
                <w:color w:val="000000"/>
                <w:sz w:val="24"/>
                <w:szCs w:val="24"/>
              </w:rPr>
              <w:t xml:space="preserve"> та її використання</w:t>
            </w:r>
            <w:r>
              <w:rPr>
                <w:rFonts w:ascii="Times New Roman" w:eastAsia="Times New Roman" w:hAnsi="Times New Roman" w:cs="Times New Roman"/>
                <w:noProof/>
                <w:color w:val="000000"/>
                <w:sz w:val="24"/>
                <w:szCs w:val="24"/>
              </w:rPr>
              <w:tab/>
              <w:t>15</w:t>
            </w:r>
          </w:hyperlink>
          <w:r w:rsidR="00BD7402">
            <w:rPr>
              <w:rFonts w:ascii="Times New Roman" w:eastAsia="Times New Roman" w:hAnsi="Times New Roman" w:cs="Times New Roman"/>
              <w:noProof/>
              <w:color w:val="000000"/>
              <w:sz w:val="24"/>
              <w:szCs w:val="24"/>
            </w:rPr>
            <w:t>0</w:t>
          </w:r>
        </w:p>
        <w:p w14:paraId="1B07F1BC"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jtnz0s">
            <w:r>
              <w:rPr>
                <w:rFonts w:ascii="Times New Roman" w:eastAsia="Times New Roman" w:hAnsi="Times New Roman" w:cs="Times New Roman"/>
                <w:noProof/>
                <w:color w:val="000000"/>
                <w:sz w:val="24"/>
                <w:szCs w:val="24"/>
              </w:rPr>
              <w:t>Розділ 10. Визначення джерел фінансування запланованих заходів ПДСЕРК</w:t>
            </w:r>
            <w:r>
              <w:rPr>
                <w:rFonts w:ascii="Times New Roman" w:eastAsia="Times New Roman" w:hAnsi="Times New Roman" w:cs="Times New Roman"/>
                <w:noProof/>
                <w:color w:val="000000"/>
                <w:sz w:val="24"/>
                <w:szCs w:val="24"/>
              </w:rPr>
              <w:tab/>
              <w:t>15</w:t>
            </w:r>
          </w:hyperlink>
          <w:r w:rsidR="00BD7402">
            <w:rPr>
              <w:rFonts w:ascii="Times New Roman" w:eastAsia="Times New Roman" w:hAnsi="Times New Roman" w:cs="Times New Roman"/>
              <w:noProof/>
              <w:color w:val="000000"/>
              <w:sz w:val="24"/>
              <w:szCs w:val="24"/>
            </w:rPr>
            <w:t>5</w:t>
          </w:r>
        </w:p>
        <w:p w14:paraId="1AD17252"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yyy98l">
            <w:r>
              <w:rPr>
                <w:rFonts w:ascii="Times New Roman" w:eastAsia="Times New Roman" w:hAnsi="Times New Roman" w:cs="Times New Roman"/>
                <w:noProof/>
                <w:color w:val="000000"/>
                <w:sz w:val="24"/>
                <w:szCs w:val="24"/>
              </w:rPr>
              <w:t>ДОДАТОК 1.  Методика визначення енергоспоживання та викидів СО2 у секторі «Транспорт»</w:t>
            </w:r>
            <w:r>
              <w:rPr>
                <w:rFonts w:ascii="Times New Roman" w:eastAsia="Times New Roman" w:hAnsi="Times New Roman" w:cs="Times New Roman"/>
                <w:noProof/>
                <w:color w:val="000000"/>
                <w:sz w:val="24"/>
                <w:szCs w:val="24"/>
              </w:rPr>
              <w:tab/>
              <w:t>1</w:t>
            </w:r>
          </w:hyperlink>
          <w:r w:rsidR="00BD7402">
            <w:rPr>
              <w:rFonts w:ascii="Times New Roman" w:eastAsia="Times New Roman" w:hAnsi="Times New Roman" w:cs="Times New Roman"/>
              <w:noProof/>
              <w:color w:val="000000"/>
              <w:sz w:val="24"/>
              <w:szCs w:val="24"/>
            </w:rPr>
            <w:t>59</w:t>
          </w:r>
        </w:p>
        <w:p w14:paraId="701B7007"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y3w247">
            <w:r>
              <w:rPr>
                <w:rFonts w:ascii="Times New Roman" w:eastAsia="Times New Roman" w:hAnsi="Times New Roman" w:cs="Times New Roman"/>
                <w:noProof/>
                <w:color w:val="000000"/>
                <w:sz w:val="24"/>
                <w:szCs w:val="24"/>
              </w:rPr>
              <w:t>ДОДАТОК 2.  Оцінка ризиків та вразливості до змін клімату Житомирської міської громади</w:t>
            </w:r>
            <w:r>
              <w:rPr>
                <w:rFonts w:ascii="Times New Roman" w:eastAsia="Times New Roman" w:hAnsi="Times New Roman" w:cs="Times New Roman"/>
                <w:noProof/>
                <w:color w:val="000000"/>
                <w:sz w:val="24"/>
                <w:szCs w:val="24"/>
              </w:rPr>
              <w:tab/>
              <w:t>17</w:t>
            </w:r>
          </w:hyperlink>
          <w:r w:rsidR="00BD7402">
            <w:rPr>
              <w:rFonts w:ascii="Times New Roman" w:eastAsia="Times New Roman" w:hAnsi="Times New Roman" w:cs="Times New Roman"/>
              <w:noProof/>
              <w:color w:val="000000"/>
              <w:sz w:val="24"/>
              <w:szCs w:val="24"/>
            </w:rPr>
            <w:t>0</w:t>
          </w:r>
        </w:p>
        <w:p w14:paraId="67A5BE3E"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d96cc0">
            <w:r>
              <w:rPr>
                <w:rFonts w:ascii="Times New Roman" w:eastAsia="Times New Roman" w:hAnsi="Times New Roman" w:cs="Times New Roman"/>
                <w:noProof/>
                <w:color w:val="000000"/>
                <w:sz w:val="24"/>
                <w:szCs w:val="24"/>
              </w:rPr>
              <w:t>Д2.1 Методика дослідження</w:t>
            </w:r>
            <w:r>
              <w:rPr>
                <w:rFonts w:ascii="Times New Roman" w:eastAsia="Times New Roman" w:hAnsi="Times New Roman" w:cs="Times New Roman"/>
                <w:noProof/>
                <w:color w:val="000000"/>
                <w:sz w:val="24"/>
                <w:szCs w:val="24"/>
              </w:rPr>
              <w:tab/>
              <w:t>17</w:t>
            </w:r>
          </w:hyperlink>
          <w:r w:rsidR="00BD7402">
            <w:rPr>
              <w:rFonts w:ascii="Times New Roman" w:eastAsia="Times New Roman" w:hAnsi="Times New Roman" w:cs="Times New Roman"/>
              <w:noProof/>
              <w:color w:val="000000"/>
              <w:sz w:val="24"/>
              <w:szCs w:val="24"/>
            </w:rPr>
            <w:t>0</w:t>
          </w:r>
        </w:p>
        <w:p w14:paraId="5C803A8C"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x8tuzt">
            <w:r>
              <w:rPr>
                <w:rFonts w:ascii="Times New Roman" w:eastAsia="Times New Roman" w:hAnsi="Times New Roman" w:cs="Times New Roman"/>
                <w:noProof/>
                <w:color w:val="000000"/>
                <w:sz w:val="24"/>
                <w:szCs w:val="24"/>
              </w:rPr>
              <w:t>Д2.2 Оцінка вразливості до зміни клімату Житомирської міської громади</w:t>
            </w:r>
            <w:r>
              <w:rPr>
                <w:rFonts w:ascii="Times New Roman" w:eastAsia="Times New Roman" w:hAnsi="Times New Roman" w:cs="Times New Roman"/>
                <w:noProof/>
                <w:color w:val="000000"/>
                <w:sz w:val="24"/>
                <w:szCs w:val="24"/>
              </w:rPr>
              <w:tab/>
              <w:t>17</w:t>
            </w:r>
          </w:hyperlink>
          <w:r w:rsidR="00BD7402">
            <w:rPr>
              <w:rFonts w:ascii="Times New Roman" w:eastAsia="Times New Roman" w:hAnsi="Times New Roman" w:cs="Times New Roman"/>
              <w:noProof/>
              <w:color w:val="000000"/>
              <w:sz w:val="24"/>
              <w:szCs w:val="24"/>
            </w:rPr>
            <w:t>3</w:t>
          </w:r>
        </w:p>
        <w:p w14:paraId="3E52E786"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ce457m">
            <w:r>
              <w:rPr>
                <w:rFonts w:ascii="Times New Roman" w:eastAsia="Times New Roman" w:hAnsi="Times New Roman" w:cs="Times New Roman"/>
                <w:noProof/>
                <w:color w:val="000000"/>
                <w:sz w:val="24"/>
                <w:szCs w:val="24"/>
              </w:rPr>
              <w:t>Д2.2.1 Оцінка вразливості до екстремальної спеки</w:t>
            </w:r>
            <w:r>
              <w:rPr>
                <w:rFonts w:ascii="Times New Roman" w:eastAsia="Times New Roman" w:hAnsi="Times New Roman" w:cs="Times New Roman"/>
                <w:noProof/>
                <w:color w:val="000000"/>
                <w:sz w:val="24"/>
                <w:szCs w:val="24"/>
              </w:rPr>
              <w:tab/>
              <w:t>17</w:t>
            </w:r>
          </w:hyperlink>
          <w:r w:rsidR="00BD7402">
            <w:rPr>
              <w:rFonts w:ascii="Times New Roman" w:eastAsia="Times New Roman" w:hAnsi="Times New Roman" w:cs="Times New Roman"/>
              <w:noProof/>
              <w:color w:val="000000"/>
              <w:sz w:val="24"/>
              <w:szCs w:val="24"/>
            </w:rPr>
            <w:t>3</w:t>
          </w:r>
        </w:p>
        <w:p w14:paraId="0D88D148"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rjefff">
            <w:r>
              <w:rPr>
                <w:rFonts w:ascii="Times New Roman" w:eastAsia="Times New Roman" w:hAnsi="Times New Roman" w:cs="Times New Roman"/>
                <w:noProof/>
                <w:color w:val="000000"/>
                <w:sz w:val="24"/>
                <w:szCs w:val="24"/>
              </w:rPr>
              <w:t>Д2.2.2 Оцінка вразливості до екстремального холоду</w:t>
            </w:r>
            <w:r>
              <w:rPr>
                <w:rFonts w:ascii="Times New Roman" w:eastAsia="Times New Roman" w:hAnsi="Times New Roman" w:cs="Times New Roman"/>
                <w:noProof/>
                <w:color w:val="000000"/>
                <w:sz w:val="24"/>
                <w:szCs w:val="24"/>
              </w:rPr>
              <w:tab/>
              <w:t>1</w:t>
            </w:r>
          </w:hyperlink>
          <w:r w:rsidR="00BD7402">
            <w:rPr>
              <w:rFonts w:ascii="Times New Roman" w:eastAsia="Times New Roman" w:hAnsi="Times New Roman" w:cs="Times New Roman"/>
              <w:noProof/>
              <w:color w:val="000000"/>
              <w:sz w:val="24"/>
              <w:szCs w:val="24"/>
            </w:rPr>
            <w:t>79</w:t>
          </w:r>
        </w:p>
        <w:p w14:paraId="54D16337"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bj1y38">
            <w:r>
              <w:rPr>
                <w:rFonts w:ascii="Times New Roman" w:eastAsia="Times New Roman" w:hAnsi="Times New Roman" w:cs="Times New Roman"/>
                <w:noProof/>
                <w:color w:val="000000"/>
                <w:sz w:val="24"/>
                <w:szCs w:val="24"/>
              </w:rPr>
              <w:t>Д2.2.3 Оцінка вразливості до екстремальних опадів (екстремальні зливи)</w:t>
            </w:r>
            <w:r>
              <w:rPr>
                <w:rFonts w:ascii="Times New Roman" w:eastAsia="Times New Roman" w:hAnsi="Times New Roman" w:cs="Times New Roman"/>
                <w:noProof/>
                <w:color w:val="000000"/>
                <w:sz w:val="24"/>
                <w:szCs w:val="24"/>
              </w:rPr>
              <w:tab/>
              <w:t>1</w:t>
            </w:r>
          </w:hyperlink>
          <w:r w:rsidR="00BD7402">
            <w:rPr>
              <w:rFonts w:ascii="Times New Roman" w:eastAsia="Times New Roman" w:hAnsi="Times New Roman" w:cs="Times New Roman"/>
              <w:noProof/>
              <w:color w:val="000000"/>
              <w:sz w:val="24"/>
              <w:szCs w:val="24"/>
            </w:rPr>
            <w:t>79</w:t>
          </w:r>
        </w:p>
        <w:p w14:paraId="7FD80753"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qoc8b1">
            <w:r>
              <w:rPr>
                <w:rFonts w:ascii="Times New Roman" w:eastAsia="Times New Roman" w:hAnsi="Times New Roman" w:cs="Times New Roman"/>
                <w:noProof/>
                <w:color w:val="000000"/>
                <w:sz w:val="24"/>
                <w:szCs w:val="24"/>
              </w:rPr>
              <w:t>Д2.2.4 Оцінка вразливості до екстремальних опадів: снігопади</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3</w:t>
          </w:r>
        </w:p>
        <w:p w14:paraId="1D9DECE5"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4anzqyu">
            <w:r>
              <w:rPr>
                <w:rFonts w:ascii="Times New Roman" w:eastAsia="Times New Roman" w:hAnsi="Times New Roman" w:cs="Times New Roman"/>
                <w:noProof/>
                <w:color w:val="000000"/>
                <w:sz w:val="24"/>
                <w:szCs w:val="24"/>
              </w:rPr>
              <w:t>Д2.2.5 Оцінка вразливості до екстремальних опадів: град</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3</w:t>
          </w:r>
        </w:p>
        <w:p w14:paraId="4E95DCD7"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pta16n">
            <w:r>
              <w:rPr>
                <w:rFonts w:ascii="Times New Roman" w:eastAsia="Times New Roman" w:hAnsi="Times New Roman" w:cs="Times New Roman"/>
                <w:noProof/>
                <w:color w:val="000000"/>
                <w:sz w:val="24"/>
                <w:szCs w:val="24"/>
              </w:rPr>
              <w:t>Д2.2.6 Оцінка вразливості до повеней: підвищення рівня води</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3</w:t>
          </w:r>
        </w:p>
        <w:p w14:paraId="6646012A"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4ykbeg">
            <w:r>
              <w:rPr>
                <w:rFonts w:ascii="Times New Roman" w:eastAsia="Times New Roman" w:hAnsi="Times New Roman" w:cs="Times New Roman"/>
                <w:noProof/>
                <w:color w:val="000000"/>
                <w:sz w:val="24"/>
                <w:szCs w:val="24"/>
              </w:rPr>
              <w:t>Д2.2.7 Оцінка вразливості до посухи</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5</w:t>
          </w:r>
        </w:p>
        <w:p w14:paraId="26A79907"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oy7u29">
            <w:r>
              <w:rPr>
                <w:rFonts w:ascii="Times New Roman" w:eastAsia="Times New Roman" w:hAnsi="Times New Roman" w:cs="Times New Roman"/>
                <w:noProof/>
                <w:color w:val="000000"/>
                <w:sz w:val="24"/>
                <w:szCs w:val="24"/>
              </w:rPr>
              <w:t>Д2.2.8 Оцінка вразливості до низових пожеж</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7</w:t>
          </w:r>
        </w:p>
        <w:p w14:paraId="06A6632F"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243i4a2">
            <w:r>
              <w:rPr>
                <w:rFonts w:ascii="Times New Roman" w:eastAsia="Times New Roman" w:hAnsi="Times New Roman" w:cs="Times New Roman"/>
                <w:noProof/>
                <w:color w:val="000000"/>
                <w:sz w:val="24"/>
                <w:szCs w:val="24"/>
              </w:rPr>
              <w:t>Д2.2.9 Оцінка вразливості до інфекційних захворювань та алергічних проявів</w:t>
            </w:r>
            <w:r>
              <w:rPr>
                <w:rFonts w:ascii="Times New Roman" w:eastAsia="Times New Roman" w:hAnsi="Times New Roman" w:cs="Times New Roman"/>
                <w:noProof/>
                <w:color w:val="000000"/>
                <w:sz w:val="24"/>
                <w:szCs w:val="24"/>
              </w:rPr>
              <w:tab/>
              <w:t>18</w:t>
            </w:r>
          </w:hyperlink>
          <w:r w:rsidR="0045015C">
            <w:rPr>
              <w:rFonts w:ascii="Times New Roman" w:eastAsia="Times New Roman" w:hAnsi="Times New Roman" w:cs="Times New Roman"/>
              <w:noProof/>
              <w:color w:val="000000"/>
              <w:sz w:val="24"/>
              <w:szCs w:val="24"/>
            </w:rPr>
            <w:t>7</w:t>
          </w:r>
        </w:p>
        <w:p w14:paraId="3837BA0C"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j8sehv">
            <w:r>
              <w:rPr>
                <w:rFonts w:ascii="Times New Roman" w:eastAsia="Times New Roman" w:hAnsi="Times New Roman" w:cs="Times New Roman"/>
                <w:noProof/>
                <w:color w:val="000000"/>
                <w:sz w:val="24"/>
                <w:szCs w:val="24"/>
              </w:rPr>
              <w:t>ДОДАТОК 3.  Оцінка ризиків та вразливості до змін клімату Житомирської МТГ (згідно методики Угоди мерів)</w:t>
            </w:r>
            <w:r>
              <w:rPr>
                <w:rFonts w:ascii="Times New Roman" w:eastAsia="Times New Roman" w:hAnsi="Times New Roman" w:cs="Times New Roman"/>
                <w:noProof/>
                <w:color w:val="000000"/>
                <w:sz w:val="24"/>
                <w:szCs w:val="24"/>
              </w:rPr>
              <w:tab/>
              <w:t>1</w:t>
            </w:r>
          </w:hyperlink>
          <w:r w:rsidR="0045015C">
            <w:rPr>
              <w:rFonts w:ascii="Times New Roman" w:eastAsia="Times New Roman" w:hAnsi="Times New Roman" w:cs="Times New Roman"/>
              <w:noProof/>
              <w:color w:val="000000"/>
              <w:sz w:val="24"/>
              <w:szCs w:val="24"/>
            </w:rPr>
            <w:t>89</w:t>
          </w:r>
        </w:p>
        <w:p w14:paraId="4CE92C22"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38fx5o">
            <w:r>
              <w:rPr>
                <w:rFonts w:ascii="Times New Roman" w:eastAsia="Times New Roman" w:hAnsi="Times New Roman" w:cs="Times New Roman"/>
                <w:noProof/>
                <w:color w:val="000000"/>
                <w:sz w:val="24"/>
                <w:szCs w:val="24"/>
              </w:rPr>
              <w:t>ДОДАТОК 4.  Опитування мешканців м. Житомир щодо їх оцінки зміни клімату, що були проведені у 2020 та 2024 роках.</w:t>
            </w:r>
            <w:r>
              <w:rPr>
                <w:rFonts w:ascii="Times New Roman" w:eastAsia="Times New Roman" w:hAnsi="Times New Roman" w:cs="Times New Roman"/>
                <w:noProof/>
                <w:color w:val="000000"/>
                <w:sz w:val="24"/>
                <w:szCs w:val="24"/>
              </w:rPr>
              <w:tab/>
              <w:t>19</w:t>
            </w:r>
          </w:hyperlink>
          <w:r w:rsidR="0045015C">
            <w:rPr>
              <w:rFonts w:ascii="Times New Roman" w:eastAsia="Times New Roman" w:hAnsi="Times New Roman" w:cs="Times New Roman"/>
              <w:noProof/>
              <w:color w:val="000000"/>
              <w:sz w:val="24"/>
              <w:szCs w:val="24"/>
            </w:rPr>
            <w:t>4</w:t>
          </w:r>
        </w:p>
        <w:p w14:paraId="284F0306"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3gnlt4p">
            <w:r>
              <w:rPr>
                <w:rFonts w:ascii="Times New Roman" w:eastAsia="Times New Roman" w:hAnsi="Times New Roman" w:cs="Times New Roman"/>
                <w:noProof/>
                <w:color w:val="000000"/>
                <w:sz w:val="24"/>
                <w:szCs w:val="24"/>
              </w:rPr>
              <w:t>ДОДАТОК 5  Зсувні процеси відповідно до Паспорту ризику виникнення надзвичайних ситуацій техногенного та природного характеру на території Житомирської міської об’єднаної територіальної громади, лютий 2022</w:t>
            </w:r>
            <w:r>
              <w:rPr>
                <w:rFonts w:ascii="Times New Roman" w:eastAsia="Times New Roman" w:hAnsi="Times New Roman" w:cs="Times New Roman"/>
                <w:noProof/>
                <w:color w:val="000000"/>
                <w:sz w:val="24"/>
                <w:szCs w:val="24"/>
              </w:rPr>
              <w:tab/>
              <w:t>20</w:t>
            </w:r>
          </w:hyperlink>
          <w:r w:rsidR="0045015C">
            <w:rPr>
              <w:rFonts w:ascii="Times New Roman" w:eastAsia="Times New Roman" w:hAnsi="Times New Roman" w:cs="Times New Roman"/>
              <w:noProof/>
              <w:color w:val="000000"/>
              <w:sz w:val="24"/>
              <w:szCs w:val="24"/>
            </w:rPr>
            <w:t>6</w:t>
          </w:r>
        </w:p>
        <w:p w14:paraId="7A33BB84" w14:textId="77777777" w:rsidR="00C82386" w:rsidRDefault="00E66F64" w:rsidP="006466AE">
          <w:pPr>
            <w:pBdr>
              <w:top w:val="nil"/>
              <w:left w:val="nil"/>
              <w:bottom w:val="nil"/>
              <w:right w:val="nil"/>
              <w:between w:val="nil"/>
            </w:pBdr>
            <w:tabs>
              <w:tab w:val="right" w:pos="8931"/>
            </w:tabs>
            <w:spacing w:after="100"/>
            <w:ind w:left="284"/>
            <w:rPr>
              <w:rFonts w:ascii="Times New Roman" w:eastAsia="Times New Roman" w:hAnsi="Times New Roman" w:cs="Times New Roman"/>
              <w:noProof/>
              <w:color w:val="000000"/>
              <w:sz w:val="24"/>
              <w:szCs w:val="24"/>
            </w:rPr>
          </w:pPr>
          <w:hyperlink w:anchor="_heading=h.1vsw3ci">
            <w:r>
              <w:rPr>
                <w:rFonts w:ascii="Times New Roman" w:eastAsia="Times New Roman" w:hAnsi="Times New Roman" w:cs="Times New Roman"/>
                <w:noProof/>
                <w:color w:val="000000"/>
                <w:sz w:val="24"/>
                <w:szCs w:val="24"/>
              </w:rPr>
              <w:t>ДОДАТОК 6 Процеси підтоплення відповідно до Паспорту ризику виникнення надзвичайних ситуацій техногенного та природного характеру на території Житомирської міської об’єднаної територіальної громади, лютий 2022</w:t>
            </w:r>
            <w:r>
              <w:rPr>
                <w:rFonts w:ascii="Times New Roman" w:eastAsia="Times New Roman" w:hAnsi="Times New Roman" w:cs="Times New Roman"/>
                <w:noProof/>
                <w:color w:val="000000"/>
                <w:sz w:val="24"/>
                <w:szCs w:val="24"/>
              </w:rPr>
              <w:tab/>
              <w:t>20</w:t>
            </w:r>
          </w:hyperlink>
          <w:r w:rsidR="0045015C">
            <w:rPr>
              <w:rFonts w:ascii="Times New Roman" w:eastAsia="Times New Roman" w:hAnsi="Times New Roman" w:cs="Times New Roman"/>
              <w:noProof/>
              <w:color w:val="000000"/>
              <w:sz w:val="24"/>
              <w:szCs w:val="24"/>
            </w:rPr>
            <w:t>7</w:t>
          </w:r>
        </w:p>
        <w:p w14:paraId="2DADBBF4" w14:textId="77777777" w:rsidR="00C82386" w:rsidRDefault="00E66F64">
          <w:pPr>
            <w:spacing w:after="0"/>
            <w:rPr>
              <w:rFonts w:ascii="Times New Roman" w:eastAsia="Times New Roman" w:hAnsi="Times New Roman" w:cs="Times New Roman"/>
              <w:sz w:val="24"/>
              <w:szCs w:val="24"/>
            </w:rPr>
          </w:pPr>
          <w:r>
            <w:fldChar w:fldCharType="end"/>
          </w:r>
        </w:p>
      </w:sdtContent>
    </w:sdt>
    <w:p w14:paraId="7D1042FF" w14:textId="77777777" w:rsidR="00C82386" w:rsidRDefault="00C82386">
      <w:pPr>
        <w:pBdr>
          <w:top w:val="nil"/>
          <w:left w:val="nil"/>
          <w:bottom w:val="nil"/>
          <w:right w:val="nil"/>
          <w:between w:val="nil"/>
        </w:pBdr>
        <w:ind w:left="720" w:hanging="720"/>
        <w:rPr>
          <w:rFonts w:ascii="Times New Roman" w:eastAsia="Times New Roman" w:hAnsi="Times New Roman" w:cs="Times New Roman"/>
          <w:color w:val="000000"/>
          <w:sz w:val="24"/>
          <w:szCs w:val="24"/>
          <w:highlight w:val="yellow"/>
        </w:rPr>
      </w:pPr>
    </w:p>
    <w:p w14:paraId="73E73C26" w14:textId="77777777" w:rsidR="00C82386" w:rsidRDefault="00E66F64">
      <w:pPr>
        <w:rPr>
          <w:rFonts w:ascii="Times New Roman" w:eastAsia="Times New Roman" w:hAnsi="Times New Roman" w:cs="Times New Roman"/>
          <w:b/>
          <w:sz w:val="28"/>
          <w:szCs w:val="28"/>
        </w:rPr>
      </w:pPr>
      <w:r>
        <w:br w:type="page"/>
      </w:r>
    </w:p>
    <w:p w14:paraId="08FB8667" w14:textId="77777777" w:rsidR="00C82386" w:rsidRDefault="00E66F64">
      <w:pPr>
        <w:pStyle w:val="1"/>
        <w:rPr>
          <w:rFonts w:ascii="Times New Roman" w:eastAsia="Times New Roman" w:hAnsi="Times New Roman" w:cs="Times New Roman"/>
          <w:color w:val="000000"/>
        </w:rPr>
      </w:pPr>
      <w:bookmarkStart w:id="0" w:name="_heading=h.gjdgxs" w:colFirst="0" w:colLast="0"/>
      <w:bookmarkEnd w:id="0"/>
      <w:r>
        <w:rPr>
          <w:rFonts w:ascii="Times New Roman" w:eastAsia="Times New Roman" w:hAnsi="Times New Roman" w:cs="Times New Roman"/>
          <w:color w:val="000000"/>
        </w:rPr>
        <w:lastRenderedPageBreak/>
        <w:t>Вступ</w:t>
      </w:r>
    </w:p>
    <w:p w14:paraId="345FD5FD"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 стаємо свідками</w:t>
      </w:r>
      <w:r w:rsidR="009735A1">
        <w:rPr>
          <w:rFonts w:ascii="Times New Roman" w:eastAsia="Times New Roman" w:hAnsi="Times New Roman" w:cs="Times New Roman"/>
          <w:color w:val="000000"/>
          <w:sz w:val="24"/>
          <w:szCs w:val="24"/>
        </w:rPr>
        <w:t xml:space="preserve"> та учасниками</w:t>
      </w:r>
      <w:r>
        <w:rPr>
          <w:rFonts w:ascii="Times New Roman" w:eastAsia="Times New Roman" w:hAnsi="Times New Roman" w:cs="Times New Roman"/>
          <w:color w:val="000000"/>
          <w:sz w:val="24"/>
          <w:szCs w:val="24"/>
        </w:rPr>
        <w:t xml:space="preserve"> того, що зміна клімату вже відбувається. Тенденція останніх </w:t>
      </w:r>
      <w:r>
        <w:rPr>
          <w:rFonts w:ascii="Times New Roman" w:eastAsia="Times New Roman" w:hAnsi="Times New Roman" w:cs="Times New Roman"/>
          <w:sz w:val="24"/>
          <w:szCs w:val="24"/>
        </w:rPr>
        <w:t>десятиріч</w:t>
      </w:r>
      <w:r>
        <w:rPr>
          <w:rFonts w:ascii="Times New Roman" w:eastAsia="Times New Roman" w:hAnsi="Times New Roman" w:cs="Times New Roman"/>
          <w:color w:val="000000"/>
          <w:sz w:val="24"/>
          <w:szCs w:val="24"/>
        </w:rPr>
        <w:t xml:space="preserve"> щодо зміни клімату в сторону глобального потепління та відсутність адаптації до екологічних змін стали причиною того, що представники Європейського співтовариства виступили з ініціативою до муніципалітетів об’єднатися і визначити стратегічні цілі у сфері виробництва і споживання енергії через приєднання до європейської ініціативи «Угода мерів», яка згодом трансформувалася в «Угода мерів по клімату та енергії». Муніципалітети зіштовхуються з одним із найсерйозніших викликів нашого часу, який потребує невідкладних дій і співпраці між місцевими, регіональними та національними органами влади всього світу. Усвідомлюючи всю важливість даної проблеми, 21 червня 2012 року Житомир приєднався до європейської ініціативи «Угода Мерів».</w:t>
      </w:r>
    </w:p>
    <w:p w14:paraId="5BA12A11"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Підписавши дану угоду, було поставлено за мету скоротити власні викиди вуглекислого газу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щонайменше на 20% до 2020 року, сприяючи таким чином розвитку екологічно-орієнтованої економіки та підвищенню якості життя мешканців громади. Для досягнення задекларованих цілей </w:t>
      </w:r>
      <w:r>
        <w:rPr>
          <w:rFonts w:ascii="Times New Roman" w:eastAsia="Times New Roman" w:hAnsi="Times New Roman" w:cs="Times New Roman"/>
          <w:sz w:val="24"/>
          <w:szCs w:val="24"/>
        </w:rPr>
        <w:t xml:space="preserve">та відповідно до взятих зобов’язань </w:t>
      </w:r>
      <w:r>
        <w:rPr>
          <w:rFonts w:ascii="Times New Roman" w:eastAsia="Times New Roman" w:hAnsi="Times New Roman" w:cs="Times New Roman"/>
          <w:color w:val="000000"/>
          <w:sz w:val="24"/>
          <w:szCs w:val="24"/>
        </w:rPr>
        <w:t xml:space="preserve">було розроблено «План дій зі сталого енергетичного розвитку міста Житомира на 2015-2024 року» (надалі – ПДСЕР), який був затверджений рішенням Житомирської міської ради №862 від 11.03.2015. Протягом свого часу дії ПДСЕР мав стратегічне значення у формуванні енергетичної політики Житомира, сприяв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провадженню та вдосконаленню системи енерг</w:t>
      </w:r>
      <w:r>
        <w:rPr>
          <w:rFonts w:ascii="Times New Roman" w:eastAsia="Times New Roman" w:hAnsi="Times New Roman" w:cs="Times New Roman"/>
          <w:sz w:val="24"/>
          <w:szCs w:val="24"/>
        </w:rPr>
        <w:t xml:space="preserve">етичного </w:t>
      </w:r>
      <w:r>
        <w:rPr>
          <w:rFonts w:ascii="Times New Roman" w:eastAsia="Times New Roman" w:hAnsi="Times New Roman" w:cs="Times New Roman"/>
          <w:color w:val="000000"/>
          <w:sz w:val="24"/>
          <w:szCs w:val="24"/>
        </w:rPr>
        <w:t>менеджменту у місті та визначив один із найважливіших напрямків розвитку міста через модернізацію енергетичної інфраструктури.</w:t>
      </w:r>
    </w:p>
    <w:p w14:paraId="50D7C23D"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реформи децентралізації 28 вересня 2018 року була створена Житомирська міська об’єднана територіальна громада шляхом об’єднання міста Житомира та села Вереси. Житомирська ОТГ взяла на себе правові зобов’язання міста Житомира і продовжила виконання ПДСЕР. </w:t>
      </w:r>
      <w:r>
        <w:rPr>
          <w:rFonts w:ascii="Times New Roman" w:eastAsia="Times New Roman" w:hAnsi="Times New Roman" w:cs="Times New Roman"/>
          <w:sz w:val="24"/>
          <w:szCs w:val="24"/>
        </w:rPr>
        <w:t>Із</w:t>
      </w:r>
      <w:r>
        <w:rPr>
          <w:rFonts w:ascii="Times New Roman" w:eastAsia="Times New Roman" w:hAnsi="Times New Roman" w:cs="Times New Roman"/>
          <w:color w:val="000000"/>
          <w:sz w:val="24"/>
          <w:szCs w:val="24"/>
        </w:rPr>
        <w:t xml:space="preserve"> 25 жовтня 2020 року офіційна назва громади – Житомирська міська територіальна громада.</w:t>
      </w:r>
    </w:p>
    <w:p w14:paraId="004385DD"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грудня 2022 р</w:t>
      </w:r>
      <w:r>
        <w:rPr>
          <w:rFonts w:ascii="Times New Roman" w:eastAsia="Times New Roman" w:hAnsi="Times New Roman" w:cs="Times New Roman"/>
          <w:sz w:val="24"/>
          <w:szCs w:val="24"/>
        </w:rPr>
        <w:t>оку</w:t>
      </w:r>
      <w:r>
        <w:rPr>
          <w:rFonts w:ascii="Times New Roman" w:eastAsia="Times New Roman" w:hAnsi="Times New Roman" w:cs="Times New Roman"/>
          <w:color w:val="000000"/>
          <w:sz w:val="24"/>
          <w:szCs w:val="24"/>
        </w:rPr>
        <w:t xml:space="preserve"> Житомирська міська рада прийняла рішення щодо приєднання до Європейської ініціативи «Угода мерів - Схід» та заявила про намір до 2050 року досягнути кліматичної нейтральності з проміжною ціллю зменшення викидів парникових газів не менш ніж на 35% до 2030 року відносно рівня 2010 року. Громада також зобов’язується впроваджувати заходи з адаптації до зміни клімату та забезпечення сталої, доступної, безпечної енергії для всіх мешканців громади.</w:t>
      </w:r>
    </w:p>
    <w:p w14:paraId="397331BF"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Заходи та дії, які описані в даному документі, можуть бути змінені, доповнені та деталізовані відповідно до потреб громади та у зв’язку з появою нових </w:t>
      </w:r>
      <w:r>
        <w:rPr>
          <w:rFonts w:ascii="Times New Roman" w:eastAsia="Times New Roman" w:hAnsi="Times New Roman" w:cs="Times New Roman"/>
          <w:sz w:val="24"/>
          <w:szCs w:val="24"/>
        </w:rPr>
        <w:t>організаційних можливостей, розробкою ефективних технологічних рішень тощо</w:t>
      </w:r>
      <w:sdt>
        <w:sdtPr>
          <w:tag w:val="goog_rdk_1"/>
          <w:id w:val="-1314023972"/>
        </w:sdtPr>
        <w:sdtEndPr/>
        <w:sdtContent/>
      </w:sdt>
      <w:r>
        <w:rPr>
          <w:rFonts w:ascii="Times New Roman" w:eastAsia="Times New Roman" w:hAnsi="Times New Roman" w:cs="Times New Roman"/>
          <w:sz w:val="24"/>
          <w:szCs w:val="24"/>
        </w:rPr>
        <w:t>.</w:t>
      </w:r>
    </w:p>
    <w:p w14:paraId="13484AA7" w14:textId="77777777" w:rsidR="00C82386" w:rsidRDefault="00E66F64" w:rsidP="009735A1">
      <w:pPr>
        <w:pBdr>
          <w:top w:val="nil"/>
          <w:left w:val="nil"/>
          <w:bottom w:val="nil"/>
          <w:right w:val="nil"/>
          <w:between w:val="nil"/>
        </w:pBdr>
        <w:spacing w:after="0" w:line="26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Зміна клімату та енергетичні виклики накладають серйозний відбиток на розвиток міст і громад, але з 24 лютого 2022 року Україна опинилася перед ще одним безпрецедентним випробуванням — повномасштабним військовим вторгненням</w:t>
      </w:r>
      <w:r w:rsidR="009735A1">
        <w:rPr>
          <w:rFonts w:ascii="Times New Roman" w:eastAsia="Times New Roman" w:hAnsi="Times New Roman" w:cs="Times New Roman"/>
          <w:sz w:val="24"/>
          <w:szCs w:val="24"/>
        </w:rPr>
        <w:t xml:space="preserve"> російської федерації</w:t>
      </w:r>
      <w:r>
        <w:rPr>
          <w:rFonts w:ascii="Times New Roman" w:eastAsia="Times New Roman" w:hAnsi="Times New Roman" w:cs="Times New Roman"/>
          <w:sz w:val="24"/>
          <w:szCs w:val="24"/>
        </w:rPr>
        <w:t xml:space="preserve">. </w:t>
      </w:r>
      <w:r w:rsidR="009735A1">
        <w:rPr>
          <w:rFonts w:ascii="Times New Roman" w:eastAsia="Times New Roman" w:hAnsi="Times New Roman" w:cs="Times New Roman"/>
          <w:sz w:val="24"/>
          <w:szCs w:val="24"/>
        </w:rPr>
        <w:t>Це</w:t>
      </w:r>
      <w:r>
        <w:rPr>
          <w:rFonts w:ascii="Times New Roman" w:eastAsia="Times New Roman" w:hAnsi="Times New Roman" w:cs="Times New Roman"/>
          <w:sz w:val="24"/>
          <w:szCs w:val="24"/>
        </w:rPr>
        <w:t xml:space="preserve"> значно ускладнил</w:t>
      </w:r>
      <w:r w:rsidR="009735A1">
        <w:rPr>
          <w:rFonts w:ascii="Times New Roman" w:eastAsia="Times New Roman" w:hAnsi="Times New Roman" w:cs="Times New Roman"/>
          <w:sz w:val="24"/>
          <w:szCs w:val="24"/>
        </w:rPr>
        <w:t>о</w:t>
      </w:r>
      <w:r>
        <w:rPr>
          <w:rFonts w:ascii="Times New Roman" w:eastAsia="Times New Roman" w:hAnsi="Times New Roman" w:cs="Times New Roman"/>
          <w:sz w:val="24"/>
          <w:szCs w:val="24"/>
        </w:rPr>
        <w:t xml:space="preserve"> планування та прогнозування майбутнього розвитку, адже війна створила нові виклики: </w:t>
      </w:r>
      <w:r w:rsidR="009735A1">
        <w:rPr>
          <w:rFonts w:ascii="Times New Roman" w:eastAsia="Times New Roman" w:hAnsi="Times New Roman" w:cs="Times New Roman"/>
          <w:sz w:val="24"/>
          <w:szCs w:val="24"/>
        </w:rPr>
        <w:t xml:space="preserve">вбивства та поранення людей, </w:t>
      </w:r>
      <w:r>
        <w:rPr>
          <w:rFonts w:ascii="Times New Roman" w:eastAsia="Times New Roman" w:hAnsi="Times New Roman" w:cs="Times New Roman"/>
          <w:sz w:val="24"/>
          <w:szCs w:val="24"/>
        </w:rPr>
        <w:t xml:space="preserve">руйнування </w:t>
      </w:r>
      <w:r w:rsidR="009735A1">
        <w:rPr>
          <w:rFonts w:ascii="Times New Roman" w:eastAsia="Times New Roman" w:hAnsi="Times New Roman" w:cs="Times New Roman"/>
          <w:sz w:val="24"/>
          <w:szCs w:val="24"/>
        </w:rPr>
        <w:t xml:space="preserve">житла та </w:t>
      </w:r>
      <w:r>
        <w:rPr>
          <w:rFonts w:ascii="Times New Roman" w:eastAsia="Times New Roman" w:hAnsi="Times New Roman" w:cs="Times New Roman"/>
          <w:sz w:val="24"/>
          <w:szCs w:val="24"/>
        </w:rPr>
        <w:t>енергетичної інфраструктури</w:t>
      </w:r>
      <w:r w:rsidR="009735A1">
        <w:rPr>
          <w:rFonts w:ascii="Times New Roman" w:eastAsia="Times New Roman" w:hAnsi="Times New Roman" w:cs="Times New Roman"/>
          <w:sz w:val="24"/>
          <w:szCs w:val="24"/>
        </w:rPr>
        <w:t xml:space="preserve"> внаслідок російських обстрілів</w:t>
      </w:r>
      <w:r>
        <w:rPr>
          <w:rFonts w:ascii="Times New Roman" w:eastAsia="Times New Roman" w:hAnsi="Times New Roman" w:cs="Times New Roman"/>
          <w:sz w:val="24"/>
          <w:szCs w:val="24"/>
        </w:rPr>
        <w:t xml:space="preserve">, вимушені зміни у схемах постачання енергоресурсів, зростання соціальних та економічних ризиків. Водночас військова агресія стала каталізатором прискореного переходу до енергонезалежності, розвитку сталої енергетики та адаптації до нових умов. У таких умовах міста та громади повинні гнучко реагувати на нові виклики, адаптувати </w:t>
      </w:r>
      <w:r w:rsidR="009735A1">
        <w:rPr>
          <w:rFonts w:ascii="Times New Roman" w:eastAsia="Times New Roman" w:hAnsi="Times New Roman" w:cs="Times New Roman"/>
          <w:sz w:val="24"/>
          <w:szCs w:val="24"/>
        </w:rPr>
        <w:t xml:space="preserve">місцеву </w:t>
      </w:r>
      <w:r>
        <w:rPr>
          <w:rFonts w:ascii="Times New Roman" w:eastAsia="Times New Roman" w:hAnsi="Times New Roman" w:cs="Times New Roman"/>
          <w:sz w:val="24"/>
          <w:szCs w:val="24"/>
        </w:rPr>
        <w:t>енергетичну політику та шукати стійкі рішення для майбутнього.</w:t>
      </w:r>
    </w:p>
    <w:p w14:paraId="5764977F" w14:textId="77777777" w:rsidR="00C82386" w:rsidRDefault="009735A1" w:rsidP="009735A1">
      <w:pPr>
        <w:rPr>
          <w:rFonts w:ascii="Times New Roman" w:eastAsia="Times New Roman" w:hAnsi="Times New Roman" w:cs="Times New Roman"/>
          <w:b/>
          <w:color w:val="000000"/>
          <w:sz w:val="28"/>
          <w:szCs w:val="28"/>
        </w:rPr>
      </w:pPr>
      <w:bookmarkStart w:id="1" w:name="_heading=h.30j0zll" w:colFirst="0" w:colLast="0"/>
      <w:bookmarkEnd w:id="1"/>
      <w:r>
        <w:br w:type="page"/>
      </w:r>
      <w:sdt>
        <w:sdtPr>
          <w:tag w:val="goog_rdk_2"/>
          <w:id w:val="-1686038726"/>
          <w:showingPlcHdr/>
        </w:sdtPr>
        <w:sdtEndPr/>
        <w:sdtContent>
          <w:r>
            <w:t xml:space="preserve">     </w:t>
          </w:r>
        </w:sdtContent>
      </w:sdt>
      <w:r w:rsidR="00E66F64">
        <w:rPr>
          <w:rFonts w:ascii="Times New Roman" w:eastAsia="Times New Roman" w:hAnsi="Times New Roman" w:cs="Times New Roman"/>
          <w:b/>
          <w:color w:val="000000"/>
          <w:sz w:val="28"/>
          <w:szCs w:val="28"/>
        </w:rPr>
        <w:t>Нормативно-правова база</w:t>
      </w:r>
    </w:p>
    <w:p w14:paraId="4914D122"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ратифікацію Рамкової Конвенція ООН про зміну клімату» від 29.10.1996 № 435/96-ВР;</w:t>
      </w:r>
    </w:p>
    <w:p w14:paraId="3EA7D1B4"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місцеве самовр</w:t>
      </w:r>
      <w:r w:rsidR="009B719A">
        <w:rPr>
          <w:rFonts w:ascii="Times New Roman" w:eastAsia="Times New Roman" w:hAnsi="Times New Roman" w:cs="Times New Roman"/>
          <w:color w:val="000000"/>
          <w:sz w:val="24"/>
          <w:szCs w:val="24"/>
        </w:rPr>
        <w:t>ядування в Україні» від 21.05.19</w:t>
      </w:r>
      <w:r>
        <w:rPr>
          <w:rFonts w:ascii="Times New Roman" w:eastAsia="Times New Roman" w:hAnsi="Times New Roman" w:cs="Times New Roman"/>
          <w:color w:val="000000"/>
          <w:sz w:val="24"/>
          <w:szCs w:val="24"/>
        </w:rPr>
        <w:t>97 № 280/97-ВР, зі змінами, в чинній редакції;</w:t>
      </w:r>
    </w:p>
    <w:p w14:paraId="4724C3C0"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альтернативні джерела енергії» від 20.02.2003 року № №555-IV;</w:t>
      </w:r>
    </w:p>
    <w:p w14:paraId="68768306"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комбіноване виробництво теплової та електричної енергії (когенерацію) та використання скидного енергопотенціалу від 05.04.2005 р. №2509-15</w:t>
      </w:r>
    </w:p>
    <w:p w14:paraId="258D7B10"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bookmarkStart w:id="2" w:name="bookmark=id.1fob9te" w:colFirst="0" w:colLast="0"/>
      <w:bookmarkEnd w:id="2"/>
      <w:r>
        <w:rPr>
          <w:rFonts w:ascii="Times New Roman" w:eastAsia="Times New Roman" w:hAnsi="Times New Roman" w:cs="Times New Roman"/>
          <w:color w:val="000000"/>
          <w:sz w:val="24"/>
          <w:szCs w:val="24"/>
        </w:rPr>
        <w:t>Закон України «Про ратифікацію Паризької угоди» від 14.07.2016 року № 1469-VIII;</w:t>
      </w:r>
    </w:p>
    <w:p w14:paraId="3FB6CE48"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«Концепція реалізації державної політики у сфері зміни клімату на період до 2030 року», схвалена розпорядженням Кабінету Міністрів України від 07.12.2016 № 932-р.;</w:t>
      </w:r>
    </w:p>
    <w:p w14:paraId="63148635"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Фонд енергоефективності» від 08.06.2017 року № 2095-19;</w:t>
      </w:r>
    </w:p>
    <w:p w14:paraId="256D883B"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енергетичну ефективність будівель»</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від 22.06.2017 р. № 2118-19;</w:t>
      </w:r>
    </w:p>
    <w:p w14:paraId="76100544"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«Концепція реалізації державної політики у сфері теплопостачання», схвалена розпорядженням Кабінету Міністрів України від 18.08.2017 року № 569-р</w:t>
      </w:r>
    </w:p>
    <w:p w14:paraId="5FA6E6A1"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Енергетична стратегія України на період до 2035 року «Безпека, енергоефективність, конкурентоспроможність», схвалена розпорядженням Кабінету Міністрів України від 18.08.2017 року №605-р.;</w:t>
      </w:r>
    </w:p>
    <w:p w14:paraId="20EAA21B"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«Стратегія низьковуглецевого розвитку України до 2050 року», опубліковано на сайті Секретаріату Рамкової Конвенції ООН про зміну клімату 30.07.2018 року;</w:t>
      </w:r>
    </w:p>
    <w:p w14:paraId="6459A3B3"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Основні засади (стратегію) державної екологічної політики України на період до 2030 року» від 28.02.2019 № 2697-VIII;</w:t>
      </w:r>
    </w:p>
    <w:p w14:paraId="5DE9E537"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Цілі сталого розвитку України до 2030 року, затверджені Указом Президента України від 30.09.2019 року № 722/2019;</w:t>
      </w:r>
    </w:p>
    <w:p w14:paraId="710B4AFD"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bookmarkStart w:id="3" w:name="_heading=h.3znysh7" w:colFirst="0" w:colLast="0"/>
      <w:bookmarkEnd w:id="3"/>
      <w:r>
        <w:rPr>
          <w:rFonts w:ascii="Times New Roman" w:eastAsia="Times New Roman" w:hAnsi="Times New Roman" w:cs="Times New Roman"/>
          <w:color w:val="000000"/>
          <w:sz w:val="24"/>
          <w:szCs w:val="24"/>
        </w:rPr>
        <w:t>«Стратегія екологічної безпеки та адаптації до зміни клімату на період до 2030 року», схвалена розпорядженням Кабінету міністрів України від 20.10.2021 № 1363-р</w:t>
      </w:r>
    </w:p>
    <w:p w14:paraId="5948CE36"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hyperlink r:id="rId11" w:anchor="n11">
        <w:r>
          <w:rPr>
            <w:rFonts w:ascii="Times New Roman" w:eastAsia="Times New Roman" w:hAnsi="Times New Roman" w:cs="Times New Roman"/>
            <w:color w:val="000000"/>
            <w:sz w:val="24"/>
            <w:szCs w:val="24"/>
          </w:rPr>
          <w:t>Концепція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w:t>
        </w:r>
      </w:hyperlink>
      <w:r>
        <w:rPr>
          <w:rFonts w:ascii="Times New Roman" w:eastAsia="Times New Roman" w:hAnsi="Times New Roman" w:cs="Times New Roman"/>
          <w:color w:val="000000"/>
          <w:sz w:val="24"/>
          <w:szCs w:val="24"/>
        </w:rPr>
        <w:t>», схвалена розпорядженням Кабінету Міністрів України від 29.01.2020 року № 88-р;</w:t>
      </w:r>
    </w:p>
    <w:p w14:paraId="591BC2A9"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Оновлений національний визначений внесок України до Паризької Угоди, схвалений розпорядженням Кабінету Міністрів України від 30.07.2021 р. № 868-р;</w:t>
      </w:r>
    </w:p>
    <w:p w14:paraId="1907AD75"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Закон України «Про енергетичну ефективність», прийнятий Верховною Радою України від 21.10.2021 р. №1818-ІX;</w:t>
      </w:r>
    </w:p>
    <w:p w14:paraId="56960FBC"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«Національний план дій з енергоефективності на період до 2030 року», схвалений розпорядженням Кабінету Міністрів України від 29.12.2021 р. № 1803-р;</w:t>
      </w:r>
    </w:p>
    <w:p w14:paraId="55E67BE8"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Методика розроблення місцевих енергетичних планів, затверджена наказом Міністерства розвитку громад, територій та інфраструктури України</w:t>
      </w:r>
      <w:r w:rsidR="00D60E4C">
        <w:rPr>
          <w:rFonts w:ascii="Times New Roman" w:eastAsia="Times New Roman" w:hAnsi="Times New Roman" w:cs="Times New Roman"/>
          <w:color w:val="000000"/>
          <w:sz w:val="24"/>
          <w:szCs w:val="24"/>
        </w:rPr>
        <w:t xml:space="preserve"> від</w:t>
      </w:r>
      <w:r>
        <w:rPr>
          <w:rFonts w:ascii="Times New Roman" w:eastAsia="Times New Roman" w:hAnsi="Times New Roman" w:cs="Times New Roman"/>
          <w:color w:val="000000"/>
          <w:sz w:val="24"/>
          <w:szCs w:val="24"/>
        </w:rPr>
        <w:t xml:space="preserve"> 21.12.2023 №1163;</w:t>
      </w:r>
    </w:p>
    <w:p w14:paraId="062C609B"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bookmarkStart w:id="4" w:name="_heading=h.2et92p0" w:colFirst="0" w:colLast="0"/>
      <w:bookmarkEnd w:id="4"/>
      <w:r>
        <w:rPr>
          <w:rFonts w:ascii="Times New Roman" w:eastAsia="Times New Roman" w:hAnsi="Times New Roman" w:cs="Times New Roman"/>
          <w:color w:val="000000"/>
          <w:sz w:val="24"/>
          <w:szCs w:val="24"/>
        </w:rPr>
        <w:t>«Концепція Державної цільової економічної програми підтримки термомодернізації будівель до 2030 року», схвалена розпорядженням Кабінету міністрів України</w:t>
      </w:r>
      <w:r w:rsidR="00D60E4C">
        <w:rPr>
          <w:rFonts w:ascii="Times New Roman" w:eastAsia="Times New Roman" w:hAnsi="Times New Roman" w:cs="Times New Roman"/>
          <w:color w:val="000000"/>
          <w:sz w:val="24"/>
          <w:szCs w:val="24"/>
        </w:rPr>
        <w:t xml:space="preserve"> від</w:t>
      </w:r>
      <w:r>
        <w:rPr>
          <w:rFonts w:ascii="Times New Roman" w:eastAsia="Times New Roman" w:hAnsi="Times New Roman" w:cs="Times New Roman"/>
          <w:color w:val="000000"/>
          <w:sz w:val="24"/>
          <w:szCs w:val="24"/>
        </w:rPr>
        <w:t xml:space="preserve"> 29.12.2023 №1228-р;</w:t>
      </w:r>
    </w:p>
    <w:p w14:paraId="6F82CE4E"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bookmarkStart w:id="5" w:name="_heading=h.tyjcwt" w:colFirst="0" w:colLast="0"/>
      <w:bookmarkEnd w:id="5"/>
      <w:r>
        <w:rPr>
          <w:rFonts w:ascii="Times New Roman" w:eastAsia="Times New Roman" w:hAnsi="Times New Roman" w:cs="Times New Roman"/>
          <w:color w:val="000000"/>
          <w:sz w:val="24"/>
          <w:szCs w:val="24"/>
        </w:rPr>
        <w:t>«Довгострокова стратегія термомодернізації будівель на період до 2050 року», схвалена розпорядженням Кабінету міністрів України</w:t>
      </w:r>
      <w:r w:rsidR="00D60E4C">
        <w:rPr>
          <w:rFonts w:ascii="Times New Roman" w:eastAsia="Times New Roman" w:hAnsi="Times New Roman" w:cs="Times New Roman"/>
          <w:color w:val="000000"/>
          <w:sz w:val="24"/>
          <w:szCs w:val="24"/>
        </w:rPr>
        <w:t xml:space="preserve"> від</w:t>
      </w:r>
      <w:r>
        <w:rPr>
          <w:rFonts w:ascii="Times New Roman" w:eastAsia="Times New Roman" w:hAnsi="Times New Roman" w:cs="Times New Roman"/>
          <w:color w:val="000000"/>
          <w:sz w:val="24"/>
          <w:szCs w:val="24"/>
        </w:rPr>
        <w:t xml:space="preserve"> 29.12.2023 №1228-р;</w:t>
      </w:r>
    </w:p>
    <w:p w14:paraId="083188CA"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bookmarkStart w:id="6" w:name="_heading=h.3dy6vkm" w:colFirst="0" w:colLast="0"/>
      <w:bookmarkEnd w:id="6"/>
      <w:r>
        <w:rPr>
          <w:rFonts w:ascii="Times New Roman" w:eastAsia="Times New Roman" w:hAnsi="Times New Roman" w:cs="Times New Roman"/>
          <w:color w:val="000000"/>
          <w:sz w:val="24"/>
          <w:szCs w:val="24"/>
        </w:rPr>
        <w:lastRenderedPageBreak/>
        <w:t>Національний план з енергетики та клімату (НПЕК) на період до 2030 року, схвалено розпорядженням Кабінету міністрів України</w:t>
      </w:r>
      <w:r w:rsidR="00D60E4C">
        <w:rPr>
          <w:rFonts w:ascii="Times New Roman" w:eastAsia="Times New Roman" w:hAnsi="Times New Roman" w:cs="Times New Roman"/>
          <w:color w:val="000000"/>
          <w:sz w:val="24"/>
          <w:szCs w:val="24"/>
        </w:rPr>
        <w:t xml:space="preserve"> від</w:t>
      </w:r>
      <w:r>
        <w:rPr>
          <w:rFonts w:ascii="Times New Roman" w:eastAsia="Times New Roman" w:hAnsi="Times New Roman" w:cs="Times New Roman"/>
          <w:color w:val="000000"/>
          <w:sz w:val="24"/>
          <w:szCs w:val="24"/>
        </w:rPr>
        <w:t xml:space="preserve"> 25.06.2024 №  587-р</w:t>
      </w:r>
    </w:p>
    <w:p w14:paraId="6F5969FF"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Міська цільова програма «Муніципальний енергетичний план Житомирської міської територіальної громади на 2021-2024 роки»</w:t>
      </w:r>
      <w:r w:rsidR="00D60E4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затверджена рішення</w:t>
      </w:r>
      <w:r w:rsidR="00D60E4C">
        <w:rPr>
          <w:rFonts w:ascii="Times New Roman" w:eastAsia="Times New Roman" w:hAnsi="Times New Roman" w:cs="Times New Roman"/>
          <w:color w:val="000000"/>
          <w:sz w:val="24"/>
          <w:szCs w:val="24"/>
        </w:rPr>
        <w:t xml:space="preserve">м Житомирської міської ради </w:t>
      </w:r>
      <w:r>
        <w:rPr>
          <w:rFonts w:ascii="Times New Roman" w:eastAsia="Times New Roman" w:hAnsi="Times New Roman" w:cs="Times New Roman"/>
          <w:color w:val="000000"/>
          <w:sz w:val="24"/>
          <w:szCs w:val="24"/>
        </w:rPr>
        <w:t>від 24.12.2020</w:t>
      </w:r>
      <w:r w:rsidR="00D60E4C">
        <w:rPr>
          <w:rFonts w:ascii="Times New Roman" w:eastAsia="Times New Roman" w:hAnsi="Times New Roman" w:cs="Times New Roman"/>
          <w:color w:val="000000"/>
          <w:sz w:val="24"/>
          <w:szCs w:val="24"/>
        </w:rPr>
        <w:t xml:space="preserve"> №53</w:t>
      </w:r>
      <w:r w:rsidR="009735A1">
        <w:rPr>
          <w:rFonts w:ascii="Times New Roman" w:eastAsia="Times New Roman" w:hAnsi="Times New Roman" w:cs="Times New Roman"/>
          <w:color w:val="000000"/>
          <w:sz w:val="24"/>
          <w:szCs w:val="24"/>
        </w:rPr>
        <w:t xml:space="preserve"> (зі змінами)</w:t>
      </w:r>
      <w:r>
        <w:rPr>
          <w:rFonts w:ascii="Times New Roman" w:eastAsia="Times New Roman" w:hAnsi="Times New Roman" w:cs="Times New Roman"/>
          <w:color w:val="000000"/>
          <w:sz w:val="24"/>
          <w:szCs w:val="24"/>
        </w:rPr>
        <w:t>;</w:t>
      </w:r>
    </w:p>
    <w:p w14:paraId="544459D1" w14:textId="77777777" w:rsidR="00C82386" w:rsidRDefault="00E66F64">
      <w:pPr>
        <w:numPr>
          <w:ilvl w:val="0"/>
          <w:numId w:val="1"/>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Концепція інтегрованого роз</w:t>
      </w:r>
      <w:r w:rsidR="00D60E4C">
        <w:rPr>
          <w:rFonts w:ascii="Times New Roman" w:eastAsia="Times New Roman" w:hAnsi="Times New Roman" w:cs="Times New Roman"/>
          <w:color w:val="000000"/>
          <w:sz w:val="24"/>
          <w:szCs w:val="24"/>
        </w:rPr>
        <w:t xml:space="preserve">витку м. Житомира до 2030 року, </w:t>
      </w:r>
      <w:r>
        <w:rPr>
          <w:rFonts w:ascii="Times New Roman" w:eastAsia="Times New Roman" w:hAnsi="Times New Roman" w:cs="Times New Roman"/>
          <w:color w:val="000000"/>
          <w:sz w:val="24"/>
          <w:szCs w:val="24"/>
        </w:rPr>
        <w:t xml:space="preserve">затверджена рішенням Житомирської міської ради </w:t>
      </w:r>
      <w:r w:rsidR="00D60E4C">
        <w:rPr>
          <w:rFonts w:ascii="Times New Roman" w:eastAsia="Times New Roman" w:hAnsi="Times New Roman" w:cs="Times New Roman"/>
          <w:color w:val="000000"/>
          <w:sz w:val="24"/>
          <w:szCs w:val="24"/>
        </w:rPr>
        <w:t>від 07.02.2019 №1359.</w:t>
      </w:r>
    </w:p>
    <w:p w14:paraId="5D367C45"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8"/>
          <w:szCs w:val="28"/>
        </w:rPr>
      </w:pPr>
      <w:bookmarkStart w:id="7" w:name="_heading=h.1t3h5sf" w:colFirst="0" w:colLast="0"/>
      <w:bookmarkEnd w:id="7"/>
      <w:r>
        <w:rPr>
          <w:rFonts w:ascii="Times New Roman" w:eastAsia="Times New Roman" w:hAnsi="Times New Roman" w:cs="Times New Roman"/>
          <w:b/>
          <w:color w:val="000000"/>
          <w:sz w:val="28"/>
          <w:szCs w:val="28"/>
        </w:rPr>
        <w:t>Джерела інформації</w:t>
      </w:r>
    </w:p>
    <w:p w14:paraId="0E4A38A3"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Результати дослідження мобільності «Опитування громадської думки щодо мобільності у містах: Житомир»;</w:t>
      </w:r>
    </w:p>
    <w:p w14:paraId="506B8953"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Інформаційно-аналітична записка «Модельні сценарні оцінки переходу м. Житомир на 100% відновлюваних джерел енергії до 2050 року»;</w:t>
      </w:r>
    </w:p>
    <w:p w14:paraId="48801343"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Концепція інтегрованого розвитку м. Житомира до 2030 року;</w:t>
      </w:r>
    </w:p>
    <w:p w14:paraId="746FD092"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 розвитку системи розподілу АТ «Житомиробленерго» на період з 2021 до 2025 року;</w:t>
      </w:r>
    </w:p>
    <w:p w14:paraId="00A16C13"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Стратегія реформування та розвитку КП «Житомирводоканал» до 2030 року;</w:t>
      </w:r>
    </w:p>
    <w:p w14:paraId="4BBBD245" w14:textId="77777777" w:rsidR="00C82386" w:rsidRDefault="00E66F64">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Статистичний збірник «Житомир 2019</w:t>
      </w:r>
      <w:r w:rsidR="009735A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Головного управління ст</w:t>
      </w:r>
      <w:r w:rsidR="009735A1">
        <w:rPr>
          <w:rFonts w:ascii="Times New Roman" w:eastAsia="Times New Roman" w:hAnsi="Times New Roman" w:cs="Times New Roman"/>
          <w:color w:val="000000"/>
          <w:sz w:val="24"/>
          <w:szCs w:val="24"/>
        </w:rPr>
        <w:t>атистики у Житомирській області;</w:t>
      </w:r>
    </w:p>
    <w:p w14:paraId="7F7E71D6" w14:textId="77777777" w:rsidR="009735A1" w:rsidRDefault="009735A1" w:rsidP="009735A1">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Статистичний збірник «Житомир 2020» Головного управління статистики у Житомирській області;</w:t>
      </w:r>
    </w:p>
    <w:p w14:paraId="30E22311" w14:textId="77777777" w:rsidR="00C82386" w:rsidRDefault="007D45CD">
      <w:pPr>
        <w:numPr>
          <w:ilvl w:val="0"/>
          <w:numId w:val="9"/>
        </w:numPr>
        <w:pBdr>
          <w:top w:val="nil"/>
          <w:left w:val="nil"/>
          <w:bottom w:val="nil"/>
          <w:right w:val="nil"/>
          <w:between w:val="nil"/>
        </w:pBdr>
        <w:spacing w:after="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w:t>
      </w:r>
      <w:r w:rsidR="00E66F64">
        <w:rPr>
          <w:rFonts w:ascii="Times New Roman" w:eastAsia="Times New Roman" w:hAnsi="Times New Roman" w:cs="Times New Roman"/>
          <w:color w:val="000000"/>
          <w:sz w:val="24"/>
          <w:szCs w:val="24"/>
        </w:rPr>
        <w:t>нші відкриті джерела.</w:t>
      </w:r>
    </w:p>
    <w:p w14:paraId="6E68149F" w14:textId="77777777" w:rsidR="00C82386" w:rsidRDefault="00E66F64">
      <w:pPr>
        <w:rPr>
          <w:rFonts w:ascii="Times New Roman" w:eastAsia="Times New Roman" w:hAnsi="Times New Roman" w:cs="Times New Roman"/>
          <w:sz w:val="24"/>
          <w:szCs w:val="24"/>
        </w:rPr>
      </w:pPr>
      <w:r>
        <w:br w:type="page"/>
      </w:r>
    </w:p>
    <w:p w14:paraId="29EC029C"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8"/>
          <w:szCs w:val="28"/>
        </w:rPr>
      </w:pPr>
      <w:bookmarkStart w:id="8" w:name="_heading=h.4d34og8" w:colFirst="0" w:colLast="0"/>
      <w:bookmarkEnd w:id="8"/>
      <w:r>
        <w:rPr>
          <w:rFonts w:ascii="Times New Roman" w:eastAsia="Times New Roman" w:hAnsi="Times New Roman" w:cs="Times New Roman"/>
          <w:b/>
          <w:color w:val="000000"/>
          <w:sz w:val="28"/>
          <w:szCs w:val="28"/>
        </w:rPr>
        <w:lastRenderedPageBreak/>
        <w:t xml:space="preserve">Список умовних скорочень </w:t>
      </w:r>
    </w:p>
    <w:p w14:paraId="5E2CF56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БКВ – базовий кадастр викидів</w:t>
      </w:r>
    </w:p>
    <w:p w14:paraId="7DCF95B5"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ВДЕ – відновлювані джерела енергії;</w:t>
      </w:r>
    </w:p>
    <w:p w14:paraId="1FAF356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ВЕС – вітрова електростанція;</w:t>
      </w:r>
    </w:p>
    <w:p w14:paraId="1FA11CA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ЄБРР – Європейський банк реконструкції та розвитку; </w:t>
      </w:r>
    </w:p>
    <w:p w14:paraId="02D59AF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ЄІБ – Європейський інвестиційний банк;</w:t>
      </w:r>
    </w:p>
    <w:p w14:paraId="57A6130C"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ЖБК – житлово-будівельний кооператив; </w:t>
      </w:r>
    </w:p>
    <w:p w14:paraId="1935AB1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ЖЕК – житлово-експлуатаційна контора; </w:t>
      </w:r>
    </w:p>
    <w:p w14:paraId="3AF1B29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ІТП – індивідуальний тепловий пункт; </w:t>
      </w:r>
    </w:p>
    <w:p w14:paraId="655D9396"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КП – комунальне підприємство; </w:t>
      </w:r>
    </w:p>
    <w:p w14:paraId="51F3D2E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КП «ЖТКЕ» – комунальне підприємство «Житомиртеплокомуненерго» Житомирської міської ради; </w:t>
      </w:r>
    </w:p>
    <w:p w14:paraId="11EFF4D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КП «ЖТТУ» – комунальне підприємство «Житомирське трамвайно-тролейбусне управління» Житомирської міської ради; </w:t>
      </w:r>
    </w:p>
    <w:p w14:paraId="3D8FAF2C"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КП «Житомирводоканал» – комунальне підприємство «Житомирводоканал» Житомирської міської ради; </w:t>
      </w:r>
    </w:p>
    <w:p w14:paraId="4C3FFC22"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КП «ЕМЗО «Міськсвітло»» – комунальне підприємство «Електричних мереж зовнішнього освітлення «Міськсвітло»» Житомирської міської ради; </w:t>
      </w:r>
    </w:p>
    <w:p w14:paraId="4DB8735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КВЖРЕП – комунальне виробниче житлове ремонтно-експлуатаційне підприємство Житомирської міської ради; </w:t>
      </w:r>
    </w:p>
    <w:p w14:paraId="382D223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МТГ – міська територіальна громада;</w:t>
      </w:r>
    </w:p>
    <w:p w14:paraId="3686D434"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МТД – міжнародна технічна допомога; </w:t>
      </w:r>
    </w:p>
    <w:p w14:paraId="6D878D27"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МФО – міжнародні фінансові організації;</w:t>
      </w:r>
    </w:p>
    <w:p w14:paraId="043F0F34"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ОСББ – об’єднання співвласників багатоквартирних будинків; </w:t>
      </w:r>
    </w:p>
    <w:p w14:paraId="0236DF17"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ОТГ – об’єднана територіальна громада;</w:t>
      </w:r>
    </w:p>
    <w:p w14:paraId="0E19146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ПДСЕР – план дій зі сталого енергетичного розвитку; </w:t>
      </w:r>
    </w:p>
    <w:p w14:paraId="732F885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ПДСЕРК – план дій зі сталого енергетичного розвитку та клімату;</w:t>
      </w:r>
    </w:p>
    <w:p w14:paraId="018F07F8"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 – паливно-енергетичні ресурси; </w:t>
      </w:r>
    </w:p>
    <w:p w14:paraId="673160C6"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пкм – пасажиро-кілометри;</w:t>
      </w:r>
    </w:p>
    <w:p w14:paraId="6C5A882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СЕС – сонячна електростанція;</w:t>
      </w:r>
    </w:p>
    <w:p w14:paraId="68267857"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СНГ – скраплений нафтовий газ (LPG);</w:t>
      </w:r>
    </w:p>
    <w:p w14:paraId="26E38DB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 вуглекислий газ; </w:t>
      </w:r>
    </w:p>
    <w:p w14:paraId="02C0F68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 – система торгівлі викидами;</w:t>
      </w:r>
    </w:p>
    <w:p w14:paraId="3FBE90B4"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тис. тонн н.е. – тисяч тонн нафтового еквіваленту;</w:t>
      </w:r>
    </w:p>
    <w:p w14:paraId="0CC2264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NEFCO – Північна екологічна фінансова корпорація НЕФКО; </w:t>
      </w:r>
    </w:p>
    <w:p w14:paraId="0F4451C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SIDA – Шведське агентство з питань міжнародної співпраці та розвитку; </w:t>
      </w:r>
    </w:p>
    <w:p w14:paraId="4B03330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E5P – Фонд Східноєвропейського партнерства з енергоефективності та довкілля; </w:t>
      </w:r>
    </w:p>
    <w:p w14:paraId="54C8D880"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SECO – Державний секретаріат з економічних питань Швейцарської Конфедерації; </w:t>
      </w:r>
    </w:p>
    <w:p w14:paraId="38267B3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GIZ – Німецьке товариство з міжнародного розвитку; </w:t>
      </w:r>
    </w:p>
    <w:p w14:paraId="3752E413" w14:textId="77777777" w:rsidR="00C82386" w:rsidRDefault="00E66F64">
      <w:pPr>
        <w:rPr>
          <w:rFonts w:ascii="Times New Roman" w:eastAsia="Times New Roman" w:hAnsi="Times New Roman" w:cs="Times New Roman"/>
        </w:rPr>
      </w:pPr>
      <w:r>
        <w:br w:type="page"/>
      </w:r>
    </w:p>
    <w:p w14:paraId="02046B9F" w14:textId="77777777" w:rsidR="00C82386"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8"/>
          <w:szCs w:val="28"/>
        </w:rPr>
      </w:pPr>
      <w:bookmarkStart w:id="9" w:name="_heading=h.2s8eyo1" w:colFirst="0" w:colLast="0"/>
      <w:bookmarkEnd w:id="9"/>
      <w:r>
        <w:rPr>
          <w:rFonts w:ascii="Times New Roman" w:eastAsia="Times New Roman" w:hAnsi="Times New Roman" w:cs="Times New Roman"/>
          <w:b/>
          <w:color w:val="000000"/>
          <w:sz w:val="28"/>
          <w:szCs w:val="28"/>
        </w:rPr>
        <w:lastRenderedPageBreak/>
        <w:t>РОЗДІЛ 1. СТРАТЕГІЯ</w:t>
      </w:r>
    </w:p>
    <w:p w14:paraId="7EA16782" w14:textId="77777777" w:rsidR="00C82386" w:rsidRDefault="00E66F64">
      <w:pPr>
        <w:pStyle w:val="2"/>
        <w:numPr>
          <w:ilvl w:val="0"/>
          <w:numId w:val="48"/>
        </w:numPr>
        <w:spacing w:before="0"/>
        <w:ind w:left="426" w:hanging="426"/>
        <w:rPr>
          <w:rFonts w:ascii="Times New Roman" w:eastAsia="Times New Roman" w:hAnsi="Times New Roman" w:cs="Times New Roman"/>
          <w:color w:val="000000"/>
          <w:sz w:val="24"/>
          <w:szCs w:val="24"/>
        </w:rPr>
      </w:pPr>
      <w:bookmarkStart w:id="10" w:name="_heading=h.17dp8vu" w:colFirst="0" w:colLast="0"/>
      <w:bookmarkEnd w:id="10"/>
      <w:r>
        <w:rPr>
          <w:rFonts w:ascii="Times New Roman" w:eastAsia="Times New Roman" w:hAnsi="Times New Roman" w:cs="Times New Roman"/>
          <w:color w:val="000000"/>
          <w:sz w:val="24"/>
          <w:szCs w:val="24"/>
        </w:rPr>
        <w:t xml:space="preserve"> Довгострокове бачення, цілі та стратегії громади до 2050 року</w:t>
      </w:r>
    </w:p>
    <w:p w14:paraId="110CE1A4"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 став одним з перших міст України, що заявив про свої наміри досягнути кліматичної нейтральності до 2050 року. У 2018 році громадою був підписаний меморандум про співробітництво з міжнародною неурядовою організацією «350.org», в якому Житомирська міська рада заявила про наміри до 2050 року перейти на споживання 100% енергії з відновлюваних джерел в загальному енергобалансі міста. Такі амбітні цілі Житомира задають вектор трансформації енергетичної системи міста на довгостроковий період. Це посилить енергетичну незалежність та кліматичну політику громади з забезпеченням зростання добробуту містян; надійності енергопостачання та енергетичної достатності, економічної, енергетичної та екологічної безпеки.</w:t>
      </w:r>
    </w:p>
    <w:p w14:paraId="3638FAEA"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Основною метою «Плану дій зі сталого енергетичного розвитку та клімату Житомирської міської територіальної громади до 2050 року» є формування бачення та конкретних цілей громади у напрямку щодо змін клімату та доступної, сталої енергії, а також розробка детального плану впровадженні заходів, що дозволяють громаді виконати взяті на себе зобов’язання відповідно до умов приєднання до ініціативи «Угода Мерів - схід», на території, що підпорядкована громаді, а саме:</w:t>
      </w:r>
    </w:p>
    <w:p w14:paraId="42FEAE89" w14:textId="77777777" w:rsidR="00C82386" w:rsidRDefault="00E66F64" w:rsidP="00167D6B">
      <w:pPr>
        <w:numPr>
          <w:ilvl w:val="0"/>
          <w:numId w:val="12"/>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з</w:t>
      </w:r>
      <w:r>
        <w:rPr>
          <w:rFonts w:ascii="Times New Roman" w:eastAsia="Times New Roman" w:hAnsi="Times New Roman" w:cs="Times New Roman"/>
          <w:color w:val="000000"/>
          <w:sz w:val="24"/>
          <w:szCs w:val="24"/>
        </w:rPr>
        <w:t>абезпечити перехід до кліматичної нейтральності громади до 2050 року</w:t>
      </w:r>
      <w:r>
        <w:rPr>
          <w:rFonts w:ascii="Times New Roman" w:eastAsia="Times New Roman" w:hAnsi="Times New Roman" w:cs="Times New Roman"/>
          <w:sz w:val="24"/>
          <w:szCs w:val="24"/>
        </w:rPr>
        <w:t>;</w:t>
      </w:r>
    </w:p>
    <w:p w14:paraId="3F7A9B35" w14:textId="77777777" w:rsidR="00C82386" w:rsidRDefault="00E66F64" w:rsidP="00167D6B">
      <w:pPr>
        <w:numPr>
          <w:ilvl w:val="0"/>
          <w:numId w:val="12"/>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д</w:t>
      </w:r>
      <w:r>
        <w:rPr>
          <w:rFonts w:ascii="Times New Roman" w:eastAsia="Times New Roman" w:hAnsi="Times New Roman" w:cs="Times New Roman"/>
          <w:color w:val="000000"/>
          <w:sz w:val="24"/>
          <w:szCs w:val="24"/>
        </w:rPr>
        <w:t>осягнути проміжної цілі скорочення викидів парникових газів до 2030 року щонайменше на 35% відносно рівня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у базовому 2010 році</w:t>
      </w:r>
      <w:r>
        <w:rPr>
          <w:rFonts w:ascii="Times New Roman" w:eastAsia="Times New Roman" w:hAnsi="Times New Roman" w:cs="Times New Roman"/>
          <w:sz w:val="24"/>
          <w:szCs w:val="24"/>
        </w:rPr>
        <w:t>;</w:t>
      </w:r>
    </w:p>
    <w:p w14:paraId="5DA10722" w14:textId="77777777" w:rsidR="00C82386" w:rsidRDefault="00E66F64" w:rsidP="00167D6B">
      <w:pPr>
        <w:numPr>
          <w:ilvl w:val="0"/>
          <w:numId w:val="12"/>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забезпечити адаптацію громади до зміни клімату</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w:t>
      </w:r>
    </w:p>
    <w:p w14:paraId="059B9D1D" w14:textId="77777777" w:rsidR="00C82386" w:rsidRDefault="00E66F64" w:rsidP="00167D6B">
      <w:pPr>
        <w:numPr>
          <w:ilvl w:val="0"/>
          <w:numId w:val="12"/>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забезпечити доступність, безпечність та сталість енергії для всіх жителів громади. </w:t>
      </w:r>
    </w:p>
    <w:p w14:paraId="3DE71B61" w14:textId="77777777" w:rsidR="00C82386" w:rsidRDefault="00C82386">
      <w:pPr>
        <w:spacing w:after="0"/>
        <w:ind w:firstLine="426"/>
        <w:jc w:val="both"/>
        <w:rPr>
          <w:rFonts w:ascii="Times New Roman" w:eastAsia="Times New Roman" w:hAnsi="Times New Roman" w:cs="Times New Roman"/>
          <w:sz w:val="24"/>
          <w:szCs w:val="24"/>
        </w:rPr>
      </w:pPr>
    </w:p>
    <w:p w14:paraId="66123AC4"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Довгострокове бачення Житомирської МТГ у напрямку енергії та клімату:</w:t>
      </w:r>
    </w:p>
    <w:p w14:paraId="64656BEF" w14:textId="77777777" w:rsidR="00C82386" w:rsidRDefault="00E66F64">
      <w:pPr>
        <w:spacing w:after="0"/>
        <w:ind w:firstLine="426"/>
        <w:jc w:val="both"/>
        <w:rPr>
          <w:rFonts w:ascii="Times New Roman" w:eastAsia="Times New Roman" w:hAnsi="Times New Roman" w:cs="Times New Roman"/>
          <w:sz w:val="24"/>
          <w:szCs w:val="24"/>
        </w:rPr>
      </w:pPr>
      <w:r>
        <w:rPr>
          <w:noProof/>
          <w:lang w:val="ru-RU"/>
        </w:rPr>
        <mc:AlternateContent>
          <mc:Choice Requires="wps">
            <w:drawing>
              <wp:anchor distT="0" distB="0" distL="114300" distR="114300" simplePos="0" relativeHeight="251658240" behindDoc="0" locked="0" layoutInCell="1" hidden="0" allowOverlap="1" wp14:anchorId="2B40FA74" wp14:editId="76D51039">
                <wp:simplePos x="0" y="0"/>
                <wp:positionH relativeFrom="column">
                  <wp:posOffset>-25399</wp:posOffset>
                </wp:positionH>
                <wp:positionV relativeFrom="paragraph">
                  <wp:posOffset>50800</wp:posOffset>
                </wp:positionV>
                <wp:extent cx="5972175" cy="771525"/>
                <wp:effectExtent l="0" t="0" r="0" b="0"/>
                <wp:wrapNone/>
                <wp:docPr id="2144251948" name="Прямоугольник 2144251948"/>
                <wp:cNvGraphicFramePr/>
                <a:graphic xmlns:a="http://schemas.openxmlformats.org/drawingml/2006/main">
                  <a:graphicData uri="http://schemas.microsoft.com/office/word/2010/wordprocessingShape">
                    <wps:wsp>
                      <wps:cNvSpPr/>
                      <wps:spPr>
                        <a:xfrm>
                          <a:off x="2364675" y="3399000"/>
                          <a:ext cx="5962650" cy="762000"/>
                        </a:xfrm>
                        <a:prstGeom prst="rect">
                          <a:avLst/>
                        </a:prstGeom>
                        <a:gradFill>
                          <a:gsLst>
                            <a:gs pos="0">
                              <a:srgbClr val="DAFEA4"/>
                            </a:gs>
                            <a:gs pos="35000">
                              <a:srgbClr val="E3FEBF"/>
                            </a:gs>
                            <a:gs pos="100000">
                              <a:srgbClr val="F4FEE6"/>
                            </a:gs>
                          </a:gsLst>
                          <a:lin ang="16200000" scaled="0"/>
                        </a:gradFill>
                        <a:ln w="9525" cap="flat" cmpd="sng">
                          <a:solidFill>
                            <a:srgbClr val="97B853"/>
                          </a:solidFill>
                          <a:prstDash val="solid"/>
                          <a:round/>
                          <a:headEnd type="none" w="sm" len="sm"/>
                          <a:tailEnd type="none" w="sm" len="sm"/>
                        </a:ln>
                      </wps:spPr>
                      <wps:txbx>
                        <w:txbxContent>
                          <w:p w14:paraId="0C96F0BE" w14:textId="77777777" w:rsidR="00BD7402" w:rsidRDefault="00BD7402">
                            <w:pPr>
                              <w:spacing w:after="0" w:line="275" w:lineRule="auto"/>
                              <w:ind w:firstLine="425"/>
                              <w:jc w:val="both"/>
                              <w:textDirection w:val="btLr"/>
                            </w:pPr>
                            <w:r>
                              <w:rPr>
                                <w:rFonts w:ascii="Times New Roman" w:eastAsia="Times New Roman" w:hAnsi="Times New Roman" w:cs="Times New Roman"/>
                                <w:b/>
                                <w:color w:val="000000"/>
                                <w:sz w:val="24"/>
                              </w:rPr>
                              <w:t>«Житомирська МТГ – кліматично нейтральна громада, адаптована до кліматичних загроз, що використовує доступну, безпечну та сталу енергію»</w:t>
                            </w:r>
                            <w:r>
                              <w:rPr>
                                <w:rFonts w:ascii="Times New Roman" w:eastAsia="Times New Roman" w:hAnsi="Times New Roman" w:cs="Times New Roman"/>
                                <w:color w:val="000000"/>
                                <w:sz w:val="24"/>
                              </w:rPr>
                              <w:t>.</w:t>
                            </w:r>
                          </w:p>
                        </w:txbxContent>
                      </wps:txbx>
                      <wps:bodyPr spcFirstLastPara="1" wrap="square" lIns="91425" tIns="45700" rIns="91425" bIns="45700" anchor="ctr" anchorCtr="0">
                        <a:noAutofit/>
                      </wps:bodyPr>
                    </wps:wsp>
                  </a:graphicData>
                </a:graphic>
              </wp:anchor>
            </w:drawing>
          </mc:Choice>
          <mc:Fallback>
            <w:pict>
              <v:rect w14:anchorId="2B40FA74" id="Прямоугольник 2144251948" o:spid="_x0000_s1026" style="position:absolute;left:0;text-align:left;margin-left:-2pt;margin-top:4pt;width:470.25pt;height:60.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" fillcolor="#dafea4" strokecolor="#97b853">
                <v:fill color2="#f4fee6" angle="180" colors="0 #dafea4;22938f #e3febf;1 #f4fee6" focus="100%" type="gradient">
                  <o:fill v:ext="view" type="gradientUnscaled"/>
                </v:fill>
                <v:stroke startarrowwidth="narrow" startarrowlength="short" endarrowwidth="narrow" endarrowlength="short" joinstyle="round"/>
                <v:textbox inset="2.53958mm,1.2694mm,2.53958mm,1.2694mm">
                  <w:txbxContent>
                    <w:p w14:paraId="0C96F0BE" w14:textId="77777777" w:rsidR="00BD7402" w:rsidRDefault="00BD7402">
                      <w:pPr>
                        <w:spacing w:after="0" w:line="275" w:lineRule="auto"/>
                        <w:ind w:firstLine="425"/>
                        <w:jc w:val="both"/>
                        <w:textDirection w:val="btLr"/>
                      </w:pPr>
                      <w:r>
                        <w:rPr>
                          <w:rFonts w:ascii="Times New Roman" w:eastAsia="Times New Roman" w:hAnsi="Times New Roman" w:cs="Times New Roman"/>
                          <w:b/>
                          <w:color w:val="000000"/>
                          <w:sz w:val="24"/>
                        </w:rPr>
                        <w:t>«Житомирська МТГ – кліматично нейтральна громада, адаптована до кліматичних загроз, що використовує доступну, безпечну та сталу енергію»</w:t>
                      </w:r>
                      <w:r>
                        <w:rPr>
                          <w:rFonts w:ascii="Times New Roman" w:eastAsia="Times New Roman" w:hAnsi="Times New Roman" w:cs="Times New Roman"/>
                          <w:color w:val="000000"/>
                          <w:sz w:val="24"/>
                        </w:rPr>
                        <w:t>.</w:t>
                      </w:r>
                    </w:p>
                  </w:txbxContent>
                </v:textbox>
              </v:rect>
            </w:pict>
          </mc:Fallback>
        </mc:AlternateContent>
      </w:r>
    </w:p>
    <w:p w14:paraId="21EA9DE5" w14:textId="77777777" w:rsidR="00C82386" w:rsidRDefault="00C82386">
      <w:pPr>
        <w:spacing w:after="0"/>
        <w:ind w:firstLine="426"/>
        <w:jc w:val="both"/>
        <w:rPr>
          <w:rFonts w:ascii="Times New Roman" w:eastAsia="Times New Roman" w:hAnsi="Times New Roman" w:cs="Times New Roman"/>
          <w:sz w:val="24"/>
          <w:szCs w:val="24"/>
        </w:rPr>
      </w:pPr>
    </w:p>
    <w:p w14:paraId="40B82D83" w14:textId="77777777" w:rsidR="00C82386" w:rsidRDefault="00C82386">
      <w:pPr>
        <w:spacing w:after="0"/>
        <w:ind w:firstLine="426"/>
        <w:jc w:val="both"/>
        <w:rPr>
          <w:rFonts w:ascii="Times New Roman" w:eastAsia="Times New Roman" w:hAnsi="Times New Roman" w:cs="Times New Roman"/>
          <w:sz w:val="24"/>
          <w:szCs w:val="24"/>
        </w:rPr>
      </w:pPr>
    </w:p>
    <w:p w14:paraId="74B6D3D4" w14:textId="77777777" w:rsidR="00C82386" w:rsidRDefault="00C82386">
      <w:pPr>
        <w:spacing w:before="240" w:after="0"/>
        <w:ind w:firstLine="709"/>
        <w:jc w:val="both"/>
        <w:rPr>
          <w:rFonts w:ascii="Times New Roman" w:eastAsia="Times New Roman" w:hAnsi="Times New Roman" w:cs="Times New Roman"/>
          <w:sz w:val="24"/>
          <w:szCs w:val="24"/>
          <w:highlight w:val="yellow"/>
        </w:rPr>
      </w:pPr>
    </w:p>
    <w:p w14:paraId="24E952AB"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Досягнення громадою кліматичної нейтральності також відповідає цілям, встановленим Європейським зеленим курсом (European Green Deal)</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та цілям декарбонізації, що декларуються Україною в національних стратегічних документах</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w:t>
      </w:r>
    </w:p>
    <w:p w14:paraId="26153E44" w14:textId="77777777" w:rsidR="00C82386" w:rsidRDefault="00E66F64">
      <w:pPr>
        <w:spacing w:before="240"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1.1.</w:t>
      </w:r>
    </w:p>
    <w:tbl>
      <w:tblPr>
        <w:tblStyle w:val="affa"/>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701"/>
        <w:gridCol w:w="1683"/>
        <w:gridCol w:w="1683"/>
      </w:tblGrid>
      <w:tr w:rsidR="00C82386" w14:paraId="35561755" w14:textId="77777777">
        <w:tc>
          <w:tcPr>
            <w:tcW w:w="9570" w:type="dxa"/>
            <w:gridSpan w:val="4"/>
            <w:shd w:val="clear" w:color="auto" w:fill="F2F2F2"/>
          </w:tcPr>
          <w:p w14:paraId="18028FDF" w14:textId="77777777" w:rsidR="00C82386" w:rsidRDefault="00E66F64">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Цілі з пом’якшення клімату Житомирської МТГ до 2050 року</w:t>
            </w:r>
          </w:p>
        </w:tc>
      </w:tr>
      <w:tr w:rsidR="00C82386" w14:paraId="2200546F" w14:textId="77777777">
        <w:tc>
          <w:tcPr>
            <w:tcW w:w="4503" w:type="dxa"/>
          </w:tcPr>
          <w:p w14:paraId="42C9EFFF"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w:t>
            </w:r>
          </w:p>
        </w:tc>
        <w:tc>
          <w:tcPr>
            <w:tcW w:w="1701" w:type="dxa"/>
          </w:tcPr>
          <w:p w14:paraId="5808D47D"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w:t>
            </w:r>
          </w:p>
        </w:tc>
        <w:tc>
          <w:tcPr>
            <w:tcW w:w="1683" w:type="dxa"/>
          </w:tcPr>
          <w:p w14:paraId="65CCAADB"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Цільовий рік</w:t>
            </w:r>
          </w:p>
        </w:tc>
        <w:tc>
          <w:tcPr>
            <w:tcW w:w="1683" w:type="dxa"/>
          </w:tcPr>
          <w:p w14:paraId="77C37F87"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Базовий рік</w:t>
            </w:r>
          </w:p>
        </w:tc>
      </w:tr>
      <w:tr w:rsidR="00C82386" w14:paraId="21D9B4E2" w14:textId="77777777" w:rsidTr="002D3B63">
        <w:tc>
          <w:tcPr>
            <w:tcW w:w="4503" w:type="dxa"/>
          </w:tcPr>
          <w:p w14:paraId="01B3D981" w14:textId="77777777" w:rsidR="00C82386" w:rsidRDefault="00E66F64" w:rsidP="002D3B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Скоротити викиди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у визначених секторах не менш ніж на</w:t>
            </w:r>
          </w:p>
        </w:tc>
        <w:tc>
          <w:tcPr>
            <w:tcW w:w="1701" w:type="dxa"/>
            <w:vAlign w:val="center"/>
          </w:tcPr>
          <w:p w14:paraId="6BABDFA9" w14:textId="77777777" w:rsidR="00C82386" w:rsidRDefault="00E66F64">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80%</w:t>
            </w:r>
          </w:p>
        </w:tc>
        <w:tc>
          <w:tcPr>
            <w:tcW w:w="1683" w:type="dxa"/>
            <w:vAlign w:val="center"/>
          </w:tcPr>
          <w:p w14:paraId="3BB04045"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683" w:type="dxa"/>
            <w:vAlign w:val="center"/>
          </w:tcPr>
          <w:p w14:paraId="739E7ACB"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2010</w:t>
            </w:r>
          </w:p>
        </w:tc>
      </w:tr>
      <w:tr w:rsidR="00C82386" w14:paraId="3E856908" w14:textId="77777777" w:rsidTr="002D3B63">
        <w:tc>
          <w:tcPr>
            <w:tcW w:w="4503" w:type="dxa"/>
          </w:tcPr>
          <w:p w14:paraId="37FD14C0" w14:textId="77777777" w:rsidR="00C82386" w:rsidRDefault="00E66F64" w:rsidP="002D3B6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Збільшення генерації відновлюваної енергії не менш ніж на</w:t>
            </w:r>
          </w:p>
        </w:tc>
        <w:tc>
          <w:tcPr>
            <w:tcW w:w="1701" w:type="dxa"/>
            <w:vAlign w:val="center"/>
          </w:tcPr>
          <w:p w14:paraId="0311CAA4" w14:textId="77777777" w:rsidR="00C82386" w:rsidRDefault="00E27287" w:rsidP="00161A2D">
            <w:pPr>
              <w:jc w:val="center"/>
              <w:rPr>
                <w:rFonts w:ascii="Times New Roman" w:eastAsia="Times New Roman" w:hAnsi="Times New Roman" w:cs="Times New Roman"/>
                <w:b/>
                <w:sz w:val="24"/>
                <w:szCs w:val="24"/>
              </w:rPr>
            </w:pPr>
            <w:r w:rsidRPr="00161A2D">
              <w:rPr>
                <w:rFonts w:ascii="Times New Roman" w:eastAsia="Times New Roman" w:hAnsi="Times New Roman" w:cs="Times New Roman"/>
                <w:b/>
                <w:color w:val="000000"/>
                <w:sz w:val="24"/>
                <w:szCs w:val="24"/>
              </w:rPr>
              <w:t>98</w:t>
            </w:r>
            <w:r w:rsidR="00161A2D" w:rsidRPr="00161A2D">
              <w:rPr>
                <w:rFonts w:ascii="Times New Roman" w:eastAsia="Times New Roman" w:hAnsi="Times New Roman" w:cs="Times New Roman"/>
                <w:b/>
                <w:color w:val="000000"/>
                <w:sz w:val="24"/>
                <w:szCs w:val="24"/>
              </w:rPr>
              <w:t>6</w:t>
            </w:r>
            <w:sdt>
              <w:sdtPr>
                <w:tag w:val="goog_rdk_3"/>
                <w:id w:val="1800717774"/>
              </w:sdtPr>
              <w:sdtEndPr/>
              <w:sdtContent>
                <w:r w:rsidR="00E66F64" w:rsidRPr="00161A2D">
                  <w:rPr>
                    <w:rFonts w:ascii="Gungsuh" w:eastAsia="Gungsuh" w:hAnsi="Gungsuh" w:cs="Gungsuh"/>
                    <w:color w:val="000000"/>
                    <w:sz w:val="24"/>
                    <w:szCs w:val="24"/>
                  </w:rPr>
                  <w:t xml:space="preserve"> тис МВт∙год</w:t>
                </w:r>
              </w:sdtContent>
            </w:sdt>
          </w:p>
        </w:tc>
        <w:tc>
          <w:tcPr>
            <w:tcW w:w="1683" w:type="dxa"/>
            <w:vAlign w:val="center"/>
          </w:tcPr>
          <w:p w14:paraId="5C97B497"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2050</w:t>
            </w:r>
          </w:p>
        </w:tc>
        <w:tc>
          <w:tcPr>
            <w:tcW w:w="1683" w:type="dxa"/>
            <w:vAlign w:val="center"/>
          </w:tcPr>
          <w:p w14:paraId="42F7FBD8"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2010</w:t>
            </w:r>
          </w:p>
        </w:tc>
      </w:tr>
    </w:tbl>
    <w:p w14:paraId="1F1B3066" w14:textId="77777777" w:rsidR="00C82386" w:rsidRDefault="00C82386">
      <w:pPr>
        <w:spacing w:after="0"/>
        <w:jc w:val="center"/>
        <w:rPr>
          <w:rFonts w:ascii="Times New Roman" w:eastAsia="Times New Roman" w:hAnsi="Times New Roman" w:cs="Times New Roman"/>
          <w:sz w:val="24"/>
          <w:szCs w:val="24"/>
        </w:rPr>
      </w:pPr>
    </w:p>
    <w:p w14:paraId="711C806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Основний спосіб пом’якшення наслідків зміни клімату полягає в скороченні викидів парникових газів в атмосферу, що може бути досягнуто через зменшення енергоспоживання, збільшенням використання відновлюваних джерел енергії, які не мають, або мають мінімальні викиди парникових газів, та використанням технологій поглинання парникових газів з атмосфери (наприклад</w:t>
      </w:r>
      <w:r w:rsidR="002D3B63">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через збільшення територій зелених насаджень). </w:t>
      </w:r>
    </w:p>
    <w:p w14:paraId="6D762CCE" w14:textId="77777777" w:rsidR="00C82386" w:rsidRPr="00167D6B" w:rsidRDefault="00E66F64">
      <w:pPr>
        <w:spacing w:before="240"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Основні напрямки досягнення встановлених цілей з пом’якшення наслідків зміни клімату</w:t>
      </w:r>
      <w:r w:rsidRPr="00167D6B">
        <w:rPr>
          <w:rFonts w:ascii="Times New Roman" w:eastAsia="Times New Roman" w:hAnsi="Times New Roman" w:cs="Times New Roman"/>
          <w:b/>
          <w:sz w:val="24"/>
          <w:szCs w:val="24"/>
        </w:rPr>
        <w:t xml:space="preserve"> Житомирської міської територіальної громади до 2050 року:</w:t>
      </w:r>
    </w:p>
    <w:p w14:paraId="69A1C8C1" w14:textId="77777777" w:rsidR="00C82386" w:rsidRDefault="00E66F64" w:rsidP="00167D6B">
      <w:pPr>
        <w:numPr>
          <w:ilvl w:val="0"/>
          <w:numId w:val="41"/>
        </w:numPr>
        <w:pBdr>
          <w:top w:val="nil"/>
          <w:left w:val="nil"/>
          <w:bottom w:val="nil"/>
          <w:right w:val="nil"/>
          <w:between w:val="nil"/>
        </w:pBdr>
        <w:spacing w:after="0" w:line="274"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Термомодернізація будівель:</w:t>
      </w:r>
    </w:p>
    <w:p w14:paraId="7E9F7FEE"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Виконання термомодернізації 100% муніципальних будівель;</w:t>
      </w:r>
    </w:p>
    <w:p w14:paraId="47FBDC46"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Виконання термомодернізації 80% багатоквартирних житлових будівель;</w:t>
      </w:r>
    </w:p>
    <w:p w14:paraId="243E4B5D"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Сприяння у термомодернізації 50% приватних житлових будівель та будівель третинного сектору;</w:t>
      </w:r>
    </w:p>
    <w:p w14:paraId="04DDF1C6" w14:textId="77777777" w:rsidR="00C82386" w:rsidRDefault="00E66F64" w:rsidP="00167D6B">
      <w:pPr>
        <w:numPr>
          <w:ilvl w:val="0"/>
          <w:numId w:val="49"/>
        </w:numPr>
        <w:pBdr>
          <w:top w:val="nil"/>
          <w:left w:val="nil"/>
          <w:bottom w:val="nil"/>
          <w:right w:val="nil"/>
          <w:between w:val="nil"/>
        </w:pBdr>
        <w:spacing w:after="0" w:line="274"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100% реконструкції системи зовнішнього освітлення та подальше використання тільки LED світильників;</w:t>
      </w:r>
    </w:p>
    <w:p w14:paraId="5190FB3E" w14:textId="77777777" w:rsidR="00C82386" w:rsidRDefault="00E66F64" w:rsidP="00167D6B">
      <w:pPr>
        <w:numPr>
          <w:ilvl w:val="0"/>
          <w:numId w:val="49"/>
        </w:numPr>
        <w:pBdr>
          <w:top w:val="nil"/>
          <w:left w:val="nil"/>
          <w:bottom w:val="nil"/>
          <w:right w:val="nil"/>
          <w:between w:val="nil"/>
        </w:pBdr>
        <w:spacing w:after="0" w:line="274"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Модернізація 100% системи централізованого теплопостачання для зменшення втрат при генерації та транспортуванні тепла;</w:t>
      </w:r>
    </w:p>
    <w:p w14:paraId="420349D9" w14:textId="77777777" w:rsidR="00C82386" w:rsidRDefault="00E66F64" w:rsidP="00167D6B">
      <w:pPr>
        <w:numPr>
          <w:ilvl w:val="0"/>
          <w:numId w:val="50"/>
        </w:numPr>
        <w:pBdr>
          <w:top w:val="nil"/>
          <w:left w:val="nil"/>
          <w:bottom w:val="nil"/>
          <w:right w:val="nil"/>
          <w:between w:val="nil"/>
        </w:pBdr>
        <w:spacing w:after="0" w:line="274"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частини споживання ВДЕ в загальному балансі енергоспоживання громади:</w:t>
      </w:r>
    </w:p>
    <w:p w14:paraId="1334D8E2"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Локальна генерація 50% потрібної електроенергії локальними комерційними та приватними сонячними станціями,</w:t>
      </w:r>
    </w:p>
    <w:p w14:paraId="6D7121C7"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когенерації, теплових насосів та геліоколекторів для опалення та постачання гарячої води в обсязі 20% від необхідної потужності;</w:t>
      </w:r>
    </w:p>
    <w:p w14:paraId="2829BAAB"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Переведення 80% транспорту на споживання відновлюваної енергії;</w:t>
      </w:r>
    </w:p>
    <w:p w14:paraId="63EAF0D6" w14:textId="77777777" w:rsidR="00C82386" w:rsidRDefault="00E66F64" w:rsidP="00167D6B">
      <w:pPr>
        <w:numPr>
          <w:ilvl w:val="0"/>
          <w:numId w:val="46"/>
        </w:numPr>
        <w:pBdr>
          <w:top w:val="nil"/>
          <w:left w:val="nil"/>
          <w:bottom w:val="nil"/>
          <w:right w:val="nil"/>
          <w:between w:val="nil"/>
        </w:pBdr>
        <w:spacing w:after="0" w:line="274" w:lineRule="auto"/>
        <w:ind w:left="851"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генерації та використання біогазу (всі модифікації) в обсязі не</w:t>
      </w:r>
      <w:r w:rsidR="007D45CD">
        <w:rPr>
          <w:rFonts w:ascii="Times New Roman" w:eastAsia="Times New Roman" w:hAnsi="Times New Roman" w:cs="Times New Roman"/>
          <w:color w:val="000000"/>
          <w:sz w:val="24"/>
          <w:szCs w:val="24"/>
        </w:rPr>
        <w:t xml:space="preserve"> менше, ніж 10 000 МВт.год</w:t>
      </w:r>
      <w:r>
        <w:rPr>
          <w:rFonts w:ascii="Times New Roman" w:eastAsia="Times New Roman" w:hAnsi="Times New Roman" w:cs="Times New Roman"/>
          <w:color w:val="000000"/>
          <w:sz w:val="24"/>
          <w:szCs w:val="24"/>
        </w:rPr>
        <w:t>;</w:t>
      </w:r>
    </w:p>
    <w:p w14:paraId="47261CDB" w14:textId="77777777" w:rsidR="00C82386" w:rsidRDefault="00E66F64" w:rsidP="00167D6B">
      <w:pPr>
        <w:numPr>
          <w:ilvl w:val="0"/>
          <w:numId w:val="50"/>
        </w:numPr>
        <w:pBdr>
          <w:top w:val="nil"/>
          <w:left w:val="nil"/>
          <w:bottom w:val="nil"/>
          <w:right w:val="nil"/>
          <w:between w:val="nil"/>
        </w:pBdr>
        <w:spacing w:line="274"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Сталий розвиток та управління територіями громади</w:t>
      </w:r>
    </w:p>
    <w:p w14:paraId="1C2DD29B"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1.2.</w:t>
      </w:r>
    </w:p>
    <w:tbl>
      <w:tblPr>
        <w:tblStyle w:val="affb"/>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90"/>
        <w:gridCol w:w="1526"/>
        <w:gridCol w:w="1266"/>
        <w:gridCol w:w="1181"/>
        <w:gridCol w:w="1319"/>
        <w:gridCol w:w="1088"/>
      </w:tblGrid>
      <w:tr w:rsidR="00C82386" w14:paraId="6F5880F4" w14:textId="77777777" w:rsidTr="00205688">
        <w:tc>
          <w:tcPr>
            <w:tcW w:w="9570" w:type="dxa"/>
            <w:gridSpan w:val="6"/>
            <w:shd w:val="clear" w:color="auto" w:fill="F2F2F2"/>
            <w:vAlign w:val="center"/>
          </w:tcPr>
          <w:p w14:paraId="24F53E01" w14:textId="77777777" w:rsidR="00C82386" w:rsidRDefault="00E66F64">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Основні цілі з адаптації до змін клімату до 2050 року</w:t>
            </w:r>
          </w:p>
        </w:tc>
      </w:tr>
      <w:tr w:rsidR="00C82386" w14:paraId="3553F30E" w14:textId="77777777" w:rsidTr="00205688">
        <w:tc>
          <w:tcPr>
            <w:tcW w:w="3190" w:type="dxa"/>
            <w:vAlign w:val="center"/>
          </w:tcPr>
          <w:p w14:paraId="3158139E"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w:t>
            </w:r>
          </w:p>
        </w:tc>
        <w:tc>
          <w:tcPr>
            <w:tcW w:w="1526" w:type="dxa"/>
            <w:vAlign w:val="center"/>
          </w:tcPr>
          <w:p w14:paraId="1AF55B5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Одиниці виміру</w:t>
            </w:r>
          </w:p>
        </w:tc>
        <w:tc>
          <w:tcPr>
            <w:tcW w:w="1266" w:type="dxa"/>
            <w:vAlign w:val="center"/>
          </w:tcPr>
          <w:p w14:paraId="51BE8C6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 в цільовому році</w:t>
            </w:r>
          </w:p>
        </w:tc>
        <w:tc>
          <w:tcPr>
            <w:tcW w:w="1181" w:type="dxa"/>
            <w:vAlign w:val="center"/>
          </w:tcPr>
          <w:p w14:paraId="161DE753"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Цільовий рік</w:t>
            </w:r>
          </w:p>
        </w:tc>
        <w:tc>
          <w:tcPr>
            <w:tcW w:w="1319" w:type="dxa"/>
            <w:vAlign w:val="center"/>
          </w:tcPr>
          <w:p w14:paraId="144017B3"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 в базовому році</w:t>
            </w:r>
          </w:p>
        </w:tc>
        <w:tc>
          <w:tcPr>
            <w:tcW w:w="1088" w:type="dxa"/>
            <w:vAlign w:val="center"/>
          </w:tcPr>
          <w:p w14:paraId="79D9D882"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Базовий рік</w:t>
            </w:r>
          </w:p>
        </w:tc>
      </w:tr>
      <w:tr w:rsidR="007D45CD" w14:paraId="030EE5DD" w14:textId="77777777" w:rsidTr="00205688">
        <w:tc>
          <w:tcPr>
            <w:tcW w:w="3190" w:type="dxa"/>
            <w:vAlign w:val="center"/>
          </w:tcPr>
          <w:p w14:paraId="70A0356D" w14:textId="77777777" w:rsidR="007D45CD" w:rsidRDefault="004341E7" w:rsidP="007D45CD">
            <w:pPr>
              <w:rPr>
                <w:rFonts w:ascii="Times New Roman" w:eastAsia="Times New Roman" w:hAnsi="Times New Roman" w:cs="Times New Roman"/>
                <w:color w:val="000000"/>
                <w:sz w:val="24"/>
                <w:szCs w:val="24"/>
              </w:rPr>
            </w:pPr>
            <w:sdt>
              <w:sdtPr>
                <w:tag w:val="goog_rdk_7"/>
                <w:id w:val="1972162113"/>
              </w:sdtPr>
              <w:sdtEndPr/>
              <w:sdtContent/>
            </w:sdt>
            <w:r w:rsidR="007D45CD">
              <w:rPr>
                <w:rFonts w:ascii="Times New Roman" w:eastAsia="Times New Roman" w:hAnsi="Times New Roman" w:cs="Times New Roman"/>
                <w:color w:val="000000"/>
                <w:sz w:val="24"/>
                <w:szCs w:val="24"/>
              </w:rPr>
              <w:t xml:space="preserve">Розвиток велосипедної мережі </w:t>
            </w:r>
          </w:p>
        </w:tc>
        <w:tc>
          <w:tcPr>
            <w:tcW w:w="1526" w:type="dxa"/>
            <w:vAlign w:val="center"/>
          </w:tcPr>
          <w:p w14:paraId="4D2E9287" w14:textId="77777777" w:rsidR="007D45CD" w:rsidRDefault="007D45CD" w:rsidP="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км</w:t>
            </w:r>
          </w:p>
        </w:tc>
        <w:tc>
          <w:tcPr>
            <w:tcW w:w="1266" w:type="dxa"/>
            <w:vAlign w:val="center"/>
          </w:tcPr>
          <w:p w14:paraId="0EB82FAB" w14:textId="77777777" w:rsidR="007D45CD" w:rsidRDefault="007D45CD" w:rsidP="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329</w:t>
            </w:r>
          </w:p>
        </w:tc>
        <w:tc>
          <w:tcPr>
            <w:tcW w:w="1181" w:type="dxa"/>
            <w:vAlign w:val="center"/>
          </w:tcPr>
          <w:p w14:paraId="4B0978CE" w14:textId="77777777" w:rsidR="007D45CD" w:rsidRDefault="007D45CD" w:rsidP="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2044</w:t>
            </w:r>
          </w:p>
        </w:tc>
        <w:tc>
          <w:tcPr>
            <w:tcW w:w="1319" w:type="dxa"/>
            <w:vAlign w:val="center"/>
          </w:tcPr>
          <w:p w14:paraId="456C4DD4" w14:textId="77777777" w:rsidR="007D45CD" w:rsidRDefault="007D45CD" w:rsidP="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6,36</w:t>
            </w:r>
          </w:p>
        </w:tc>
        <w:tc>
          <w:tcPr>
            <w:tcW w:w="1088" w:type="dxa"/>
            <w:vAlign w:val="center"/>
          </w:tcPr>
          <w:p w14:paraId="66F2936F" w14:textId="77777777" w:rsidR="007D45CD" w:rsidRDefault="007D45CD" w:rsidP="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w:t>
            </w:r>
          </w:p>
        </w:tc>
      </w:tr>
      <w:tr w:rsidR="00C82386" w14:paraId="025C3D3D" w14:textId="77777777" w:rsidTr="00205688">
        <w:tc>
          <w:tcPr>
            <w:tcW w:w="3190" w:type="dxa"/>
            <w:vAlign w:val="center"/>
          </w:tcPr>
          <w:p w14:paraId="6D950F45"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дощових канав </w:t>
            </w:r>
          </w:p>
        </w:tc>
        <w:tc>
          <w:tcPr>
            <w:tcW w:w="1526" w:type="dxa"/>
            <w:vAlign w:val="center"/>
          </w:tcPr>
          <w:p w14:paraId="0A77CEE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шт</w:t>
            </w:r>
          </w:p>
        </w:tc>
        <w:tc>
          <w:tcPr>
            <w:tcW w:w="1266" w:type="dxa"/>
            <w:vAlign w:val="center"/>
          </w:tcPr>
          <w:p w14:paraId="3149D9B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181" w:type="dxa"/>
            <w:vAlign w:val="center"/>
          </w:tcPr>
          <w:p w14:paraId="79326B91"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319" w:type="dxa"/>
            <w:vAlign w:val="center"/>
          </w:tcPr>
          <w:p w14:paraId="1E557FF5"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c>
          <w:tcPr>
            <w:tcW w:w="1088" w:type="dxa"/>
            <w:vAlign w:val="center"/>
          </w:tcPr>
          <w:p w14:paraId="511A8B3B"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03DFDF22" w14:textId="77777777" w:rsidTr="00205688">
        <w:tc>
          <w:tcPr>
            <w:tcW w:w="3190" w:type="dxa"/>
            <w:vAlign w:val="center"/>
          </w:tcPr>
          <w:p w14:paraId="27A608BB"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Мінімізації герметизованого простору: зменшена площа асфальтованих та бетонних покриттів</w:t>
            </w:r>
          </w:p>
        </w:tc>
        <w:tc>
          <w:tcPr>
            <w:tcW w:w="1526" w:type="dxa"/>
            <w:vAlign w:val="center"/>
          </w:tcPr>
          <w:p w14:paraId="27A9B0E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266" w:type="dxa"/>
            <w:vAlign w:val="center"/>
          </w:tcPr>
          <w:p w14:paraId="33F5270D"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80</w:t>
            </w:r>
          </w:p>
        </w:tc>
        <w:tc>
          <w:tcPr>
            <w:tcW w:w="1181" w:type="dxa"/>
            <w:vAlign w:val="center"/>
          </w:tcPr>
          <w:p w14:paraId="5EE7E4FA"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319" w:type="dxa"/>
            <w:vAlign w:val="center"/>
          </w:tcPr>
          <w:p w14:paraId="0148411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c>
          <w:tcPr>
            <w:tcW w:w="1088" w:type="dxa"/>
            <w:vAlign w:val="center"/>
          </w:tcPr>
          <w:p w14:paraId="4BF4A80D"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5A0E2DEB" w14:textId="77777777" w:rsidTr="00205688">
        <w:tc>
          <w:tcPr>
            <w:tcW w:w="3190" w:type="dxa"/>
            <w:vAlign w:val="center"/>
          </w:tcPr>
          <w:p w14:paraId="3E7FC337"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Покращення стану водних ресурсів та забезпечення населення чистою питною водою: </w:t>
            </w:r>
          </w:p>
          <w:p w14:paraId="4670E0BC"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протяжність зливової мережі в м. Житомир</w:t>
            </w:r>
            <w:r>
              <w:rPr>
                <w:rFonts w:ascii="Times New Roman" w:eastAsia="Times New Roman" w:hAnsi="Times New Roman" w:cs="Times New Roman"/>
                <w:color w:val="000000"/>
              </w:rPr>
              <w:t xml:space="preserve"> </w:t>
            </w:r>
          </w:p>
        </w:tc>
        <w:tc>
          <w:tcPr>
            <w:tcW w:w="1526" w:type="dxa"/>
            <w:vAlign w:val="center"/>
          </w:tcPr>
          <w:p w14:paraId="736A5845"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км</w:t>
            </w:r>
          </w:p>
        </w:tc>
        <w:tc>
          <w:tcPr>
            <w:tcW w:w="1266" w:type="dxa"/>
            <w:vAlign w:val="center"/>
          </w:tcPr>
          <w:p w14:paraId="51C9565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w:t>
            </w:r>
          </w:p>
        </w:tc>
        <w:tc>
          <w:tcPr>
            <w:tcW w:w="1181" w:type="dxa"/>
            <w:vAlign w:val="center"/>
          </w:tcPr>
          <w:p w14:paraId="34010FA8"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319" w:type="dxa"/>
            <w:vAlign w:val="center"/>
          </w:tcPr>
          <w:p w14:paraId="27C27CA5"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160</w:t>
            </w:r>
          </w:p>
        </w:tc>
        <w:tc>
          <w:tcPr>
            <w:tcW w:w="1088" w:type="dxa"/>
            <w:vAlign w:val="center"/>
          </w:tcPr>
          <w:p w14:paraId="6B348CE5" w14:textId="77777777" w:rsidR="00C82386" w:rsidRDefault="004341E7">
            <w:pPr>
              <w:jc w:val="center"/>
              <w:rPr>
                <w:rFonts w:ascii="Times New Roman" w:eastAsia="Times New Roman" w:hAnsi="Times New Roman" w:cs="Times New Roman"/>
                <w:color w:val="000000"/>
                <w:sz w:val="24"/>
                <w:szCs w:val="24"/>
              </w:rPr>
            </w:pPr>
            <w:sdt>
              <w:sdtPr>
                <w:tag w:val="goog_rdk_4"/>
                <w:id w:val="-1854713189"/>
              </w:sdtPr>
              <w:sdtEndPr/>
              <w:sdtContent/>
            </w:sdt>
            <w:r w:rsidR="00E66F64">
              <w:rPr>
                <w:rFonts w:ascii="Times New Roman" w:eastAsia="Times New Roman" w:hAnsi="Times New Roman" w:cs="Times New Roman"/>
                <w:color w:val="000000"/>
                <w:sz w:val="24"/>
                <w:szCs w:val="24"/>
              </w:rPr>
              <w:t>2020</w:t>
            </w:r>
          </w:p>
        </w:tc>
      </w:tr>
      <w:tr w:rsidR="00C82386" w14:paraId="0D74FB34" w14:textId="77777777" w:rsidTr="00205688">
        <w:tc>
          <w:tcPr>
            <w:tcW w:w="3190" w:type="dxa"/>
            <w:vAlign w:val="center"/>
          </w:tcPr>
          <w:p w14:paraId="6D046C9B"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Безпечне та стале управління побутовими відходами: частка відходів, що підлягають захороненню на полігоні</w:t>
            </w:r>
          </w:p>
        </w:tc>
        <w:tc>
          <w:tcPr>
            <w:tcW w:w="1526" w:type="dxa"/>
            <w:vAlign w:val="center"/>
          </w:tcPr>
          <w:p w14:paraId="5DC7672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266" w:type="dxa"/>
            <w:vAlign w:val="center"/>
          </w:tcPr>
          <w:p w14:paraId="45CD0BE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p>
        </w:tc>
        <w:tc>
          <w:tcPr>
            <w:tcW w:w="1181" w:type="dxa"/>
            <w:vAlign w:val="center"/>
          </w:tcPr>
          <w:p w14:paraId="664F44E2"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319" w:type="dxa"/>
            <w:vAlign w:val="center"/>
          </w:tcPr>
          <w:p w14:paraId="0A127E6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c>
          <w:tcPr>
            <w:tcW w:w="1088" w:type="dxa"/>
            <w:vAlign w:val="center"/>
          </w:tcPr>
          <w:p w14:paraId="0286EE6A"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1DF94A9E" w14:textId="77777777" w:rsidTr="00205688">
        <w:tc>
          <w:tcPr>
            <w:tcW w:w="3190" w:type="dxa"/>
            <w:vAlign w:val="center"/>
          </w:tcPr>
          <w:p w14:paraId="5BD5B130"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Стан зелених насаджень: </w:t>
            </w:r>
          </w:p>
          <w:p w14:paraId="2FFB713B" w14:textId="77777777" w:rsidR="00C82386" w:rsidRDefault="00E66F64">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зелених насаджень на 1 мешканця Житомира (норматив 16 м2)</w:t>
            </w:r>
          </w:p>
        </w:tc>
        <w:tc>
          <w:tcPr>
            <w:tcW w:w="1526" w:type="dxa"/>
            <w:vAlign w:val="center"/>
          </w:tcPr>
          <w:p w14:paraId="5C33A26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на 1 мешканця</w:t>
            </w:r>
          </w:p>
        </w:tc>
        <w:tc>
          <w:tcPr>
            <w:tcW w:w="1266" w:type="dxa"/>
            <w:vAlign w:val="center"/>
          </w:tcPr>
          <w:p w14:paraId="43EA053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p>
        </w:tc>
        <w:tc>
          <w:tcPr>
            <w:tcW w:w="1181" w:type="dxa"/>
            <w:vAlign w:val="center"/>
          </w:tcPr>
          <w:p w14:paraId="03D6C083"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c>
          <w:tcPr>
            <w:tcW w:w="1319" w:type="dxa"/>
            <w:vAlign w:val="center"/>
          </w:tcPr>
          <w:p w14:paraId="60A4178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12,4</w:t>
            </w:r>
          </w:p>
        </w:tc>
        <w:tc>
          <w:tcPr>
            <w:tcW w:w="1088" w:type="dxa"/>
            <w:vAlign w:val="center"/>
          </w:tcPr>
          <w:p w14:paraId="1227DA95" w14:textId="77777777" w:rsidR="00C82386" w:rsidRDefault="004341E7">
            <w:pPr>
              <w:jc w:val="center"/>
              <w:rPr>
                <w:rFonts w:ascii="Times New Roman" w:eastAsia="Times New Roman" w:hAnsi="Times New Roman" w:cs="Times New Roman"/>
                <w:color w:val="000000"/>
                <w:sz w:val="24"/>
                <w:szCs w:val="24"/>
                <w:shd w:val="clear" w:color="auto" w:fill="F2F2F2"/>
              </w:rPr>
            </w:pPr>
            <w:sdt>
              <w:sdtPr>
                <w:tag w:val="goog_rdk_5"/>
                <w:id w:val="-1606107601"/>
              </w:sdtPr>
              <w:sdtEndPr/>
              <w:sdtContent/>
            </w:sdt>
            <w:r w:rsidR="00E66F64">
              <w:rPr>
                <w:rFonts w:ascii="Times New Roman" w:eastAsia="Times New Roman" w:hAnsi="Times New Roman" w:cs="Times New Roman"/>
                <w:color w:val="000000"/>
                <w:sz w:val="24"/>
                <w:szCs w:val="24"/>
                <w:shd w:val="clear" w:color="auto" w:fill="F2F2F2"/>
              </w:rPr>
              <w:t>2020</w:t>
            </w:r>
          </w:p>
        </w:tc>
      </w:tr>
    </w:tbl>
    <w:p w14:paraId="7FB0439F" w14:textId="77777777" w:rsidR="00C82386" w:rsidRDefault="00C82386">
      <w:pPr>
        <w:spacing w:after="0"/>
        <w:jc w:val="right"/>
        <w:rPr>
          <w:rFonts w:ascii="Times New Roman" w:eastAsia="Times New Roman" w:hAnsi="Times New Roman" w:cs="Times New Roman"/>
          <w:sz w:val="24"/>
          <w:szCs w:val="24"/>
        </w:rPr>
      </w:pPr>
    </w:p>
    <w:p w14:paraId="281F1BC1"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1.3.</w:t>
      </w:r>
    </w:p>
    <w:tbl>
      <w:tblPr>
        <w:tblStyle w:val="affc"/>
        <w:tblW w:w="964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40"/>
      </w:tblGrid>
      <w:tr w:rsidR="00C82386" w14:paraId="4878AC01" w14:textId="77777777" w:rsidTr="00205688">
        <w:tc>
          <w:tcPr>
            <w:tcW w:w="9640" w:type="dxa"/>
            <w:shd w:val="clear" w:color="auto" w:fill="F2F2F2"/>
            <w:vAlign w:val="center"/>
          </w:tcPr>
          <w:p w14:paraId="4C7891A8" w14:textId="77777777" w:rsidR="00C82386" w:rsidRDefault="00E66F64">
            <w:pPr>
              <w:pBdr>
                <w:top w:val="nil"/>
                <w:left w:val="nil"/>
                <w:bottom w:val="nil"/>
                <w:right w:val="nil"/>
                <w:between w:val="nil"/>
              </w:pBdr>
              <w:spacing w:after="200" w:line="276" w:lineRule="auto"/>
              <w:jc w:val="center"/>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Цілі подолання енергетичної бідності</w:t>
            </w:r>
          </w:p>
        </w:tc>
      </w:tr>
      <w:tr w:rsidR="00C82386" w14:paraId="2CE4FB72" w14:textId="77777777" w:rsidTr="00205688">
        <w:tc>
          <w:tcPr>
            <w:tcW w:w="9640" w:type="dxa"/>
            <w:vAlign w:val="center"/>
          </w:tcPr>
          <w:p w14:paraId="586B7143" w14:textId="77777777" w:rsidR="00C82386" w:rsidRDefault="00E66F64" w:rsidP="00597CAF">
            <w:pPr>
              <w:pBdr>
                <w:top w:val="nil"/>
                <w:left w:val="nil"/>
                <w:bottom w:val="nil"/>
                <w:right w:val="nil"/>
                <w:between w:val="nil"/>
              </w:pBdr>
              <w:spacing w:after="200" w:line="276"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 xml:space="preserve">Подолання енергетичної бідності до 2050 року відносно ситуації у </w:t>
            </w:r>
            <w:r w:rsidRPr="00BA7593">
              <w:rPr>
                <w:rFonts w:ascii="Times New Roman" w:eastAsia="Times New Roman" w:hAnsi="Times New Roman" w:cs="Times New Roman"/>
                <w:color w:val="000000"/>
                <w:sz w:val="24"/>
                <w:szCs w:val="24"/>
              </w:rPr>
              <w:t>базовому 202</w:t>
            </w:r>
            <w:r w:rsidR="00BA7593">
              <w:rPr>
                <w:rFonts w:ascii="Times New Roman" w:eastAsia="Times New Roman" w:hAnsi="Times New Roman" w:cs="Times New Roman"/>
                <w:color w:val="000000"/>
                <w:sz w:val="24"/>
                <w:szCs w:val="24"/>
              </w:rPr>
              <w:t>3</w:t>
            </w:r>
            <w:r w:rsidRPr="00BA7593">
              <w:rPr>
                <w:rFonts w:ascii="Times New Roman" w:eastAsia="Times New Roman" w:hAnsi="Times New Roman" w:cs="Times New Roman"/>
                <w:color w:val="000000"/>
                <w:sz w:val="24"/>
                <w:szCs w:val="24"/>
              </w:rPr>
              <w:t xml:space="preserve"> році</w:t>
            </w:r>
          </w:p>
        </w:tc>
      </w:tr>
    </w:tbl>
    <w:p w14:paraId="678F11AA" w14:textId="77777777" w:rsidR="00C82386" w:rsidRDefault="00C82386">
      <w:pPr>
        <w:pBdr>
          <w:top w:val="nil"/>
          <w:left w:val="nil"/>
          <w:bottom w:val="nil"/>
          <w:right w:val="nil"/>
          <w:between w:val="nil"/>
        </w:pBdr>
        <w:spacing w:after="0"/>
        <w:ind w:left="1069"/>
        <w:jc w:val="both"/>
        <w:rPr>
          <w:rFonts w:ascii="Times New Roman" w:eastAsia="Times New Roman" w:hAnsi="Times New Roman" w:cs="Times New Roman"/>
          <w:color w:val="000000"/>
          <w:sz w:val="24"/>
          <w:szCs w:val="24"/>
          <w:highlight w:val="yellow"/>
        </w:rPr>
      </w:pPr>
    </w:p>
    <w:p w14:paraId="76A58B02"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Забезпечення доступу мешканцям до безпечних, стійких та доступних енергетичних послуг</w:t>
      </w:r>
      <w:r>
        <w:rPr>
          <w:rFonts w:ascii="Times New Roman" w:eastAsia="Times New Roman" w:hAnsi="Times New Roman" w:cs="Times New Roman"/>
          <w:sz w:val="24"/>
          <w:szCs w:val="24"/>
        </w:rPr>
        <w:t xml:space="preserve"> (подолання енергетичної бідності).</w:t>
      </w:r>
    </w:p>
    <w:p w14:paraId="47D2CD47"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Ціль реалізується через зменшення фінансового навантаження на вразливі групи населення через наступні заходи:</w:t>
      </w:r>
    </w:p>
    <w:p w14:paraId="7D19F8E0" w14:textId="77777777" w:rsidR="00C82386" w:rsidRDefault="00E66F64">
      <w:pPr>
        <w:numPr>
          <w:ilvl w:val="0"/>
          <w:numId w:val="47"/>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термомодернізації муніципальних, житлових будівель та третинних будівель, що призводить до зменшення енергетичної потреби для повноцінного опалення і підготовки гарячої води;</w:t>
      </w:r>
    </w:p>
    <w:p w14:paraId="686DB2A4" w14:textId="77777777" w:rsidR="00C82386" w:rsidRDefault="00E66F64">
      <w:pPr>
        <w:numPr>
          <w:ilvl w:val="0"/>
          <w:numId w:val="47"/>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території населених пунктів, що облаштована зовнішнім освітленням;</w:t>
      </w:r>
    </w:p>
    <w:p w14:paraId="536B34CA" w14:textId="77777777" w:rsidR="00C82386" w:rsidRDefault="00E66F64">
      <w:pPr>
        <w:numPr>
          <w:ilvl w:val="0"/>
          <w:numId w:val="47"/>
        </w:numPr>
        <w:pBdr>
          <w:top w:val="nil"/>
          <w:left w:val="nil"/>
          <w:bottom w:val="nil"/>
          <w:right w:val="nil"/>
          <w:between w:val="nil"/>
        </w:pBdr>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умов для користування доступним громадським транспортом та розвинутою веломережею.</w:t>
      </w:r>
    </w:p>
    <w:p w14:paraId="52D502D9" w14:textId="77777777" w:rsidR="00C82386" w:rsidRDefault="00E66F64">
      <w:pPr>
        <w:keepNext/>
        <w:keepLines/>
        <w:numPr>
          <w:ilvl w:val="1"/>
          <w:numId w:val="45"/>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1" w:name="_heading=h.3rdcrjn" w:colFirst="0" w:colLast="0"/>
      <w:bookmarkEnd w:id="11"/>
      <w:r>
        <w:rPr>
          <w:rFonts w:ascii="Times New Roman" w:eastAsia="Times New Roman" w:hAnsi="Times New Roman" w:cs="Times New Roman"/>
          <w:b/>
          <w:color w:val="000000"/>
          <w:sz w:val="24"/>
          <w:szCs w:val="24"/>
        </w:rPr>
        <w:t>Зобов’язання, цілі та стратегії до 2030 р.</w:t>
      </w:r>
    </w:p>
    <w:p w14:paraId="50DB140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Цілі цього Плану узгоджуються із стратегічною візією громади, яка визначена у Концепції інтегрованого розвитку Житомиру до 2030 року та відповідають напрямам:</w:t>
      </w:r>
    </w:p>
    <w:p w14:paraId="7F9C182C" w14:textId="77777777" w:rsidR="00C82386" w:rsidRDefault="00E66F64">
      <w:pPr>
        <w:numPr>
          <w:ilvl w:val="0"/>
          <w:numId w:val="1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Ефективне місто;</w:t>
      </w:r>
    </w:p>
    <w:p w14:paraId="225842B4" w14:textId="77777777" w:rsidR="00C82386" w:rsidRDefault="00E66F64">
      <w:pPr>
        <w:numPr>
          <w:ilvl w:val="0"/>
          <w:numId w:val="1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Інноваційне місто;</w:t>
      </w:r>
    </w:p>
    <w:p w14:paraId="2F03AA77" w14:textId="77777777" w:rsidR="00C82386" w:rsidRDefault="00E66F64">
      <w:pPr>
        <w:numPr>
          <w:ilvl w:val="0"/>
          <w:numId w:val="1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Активне місто;</w:t>
      </w:r>
    </w:p>
    <w:p w14:paraId="3AAF5E1D" w14:textId="77777777" w:rsidR="00C82386" w:rsidRDefault="00E66F64">
      <w:pPr>
        <w:numPr>
          <w:ilvl w:val="0"/>
          <w:numId w:val="1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Комфортне місто;</w:t>
      </w:r>
    </w:p>
    <w:p w14:paraId="74BA51ED" w14:textId="77777777" w:rsidR="00C82386" w:rsidRDefault="00E66F64">
      <w:pPr>
        <w:numPr>
          <w:ilvl w:val="0"/>
          <w:numId w:val="1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Зелене місто.</w:t>
      </w:r>
    </w:p>
    <w:p w14:paraId="2AE5F7AC"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1.4.</w:t>
      </w:r>
    </w:p>
    <w:p w14:paraId="535B3DA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Конкретні цілі ПДСЕРК Житомирської МТГ до 2030 року</w:t>
      </w:r>
    </w:p>
    <w:tbl>
      <w:tblPr>
        <w:tblStyle w:val="affd"/>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701"/>
        <w:gridCol w:w="1683"/>
        <w:gridCol w:w="1683"/>
      </w:tblGrid>
      <w:tr w:rsidR="00C82386" w14:paraId="67FCBB56" w14:textId="77777777">
        <w:tc>
          <w:tcPr>
            <w:tcW w:w="9570" w:type="dxa"/>
            <w:gridSpan w:val="4"/>
            <w:shd w:val="clear" w:color="auto" w:fill="F2F2F2"/>
          </w:tcPr>
          <w:p w14:paraId="6E590409" w14:textId="77777777" w:rsidR="00C82386" w:rsidRDefault="00E66F64">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Цілі з пом’якшення клімату</w:t>
            </w:r>
          </w:p>
        </w:tc>
      </w:tr>
      <w:tr w:rsidR="00C82386" w14:paraId="407EA209" w14:textId="77777777">
        <w:tc>
          <w:tcPr>
            <w:tcW w:w="4503" w:type="dxa"/>
          </w:tcPr>
          <w:p w14:paraId="65ABCC0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w:t>
            </w:r>
          </w:p>
        </w:tc>
        <w:tc>
          <w:tcPr>
            <w:tcW w:w="1701" w:type="dxa"/>
          </w:tcPr>
          <w:p w14:paraId="0ABDFC3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w:t>
            </w:r>
          </w:p>
        </w:tc>
        <w:tc>
          <w:tcPr>
            <w:tcW w:w="1683" w:type="dxa"/>
          </w:tcPr>
          <w:p w14:paraId="35815FC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Цільовий рік</w:t>
            </w:r>
          </w:p>
        </w:tc>
        <w:tc>
          <w:tcPr>
            <w:tcW w:w="1683" w:type="dxa"/>
          </w:tcPr>
          <w:p w14:paraId="3F447664"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Базовий рік</w:t>
            </w:r>
          </w:p>
        </w:tc>
      </w:tr>
      <w:tr w:rsidR="00C82386" w14:paraId="0E871588" w14:textId="77777777" w:rsidTr="008827BB">
        <w:tc>
          <w:tcPr>
            <w:tcW w:w="4503" w:type="dxa"/>
          </w:tcPr>
          <w:p w14:paraId="551B0697" w14:textId="77777777" w:rsidR="00C82386" w:rsidRDefault="00E66F64" w:rsidP="008827BB">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Скоротити викиди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у визначених секторах не менш ніж на</w:t>
            </w:r>
          </w:p>
        </w:tc>
        <w:tc>
          <w:tcPr>
            <w:tcW w:w="1701" w:type="dxa"/>
            <w:vAlign w:val="center"/>
          </w:tcPr>
          <w:p w14:paraId="08D8A819" w14:textId="77777777" w:rsidR="00C82386" w:rsidRPr="00AC3F5E" w:rsidRDefault="00E66F64">
            <w:pPr>
              <w:jc w:val="center"/>
              <w:rPr>
                <w:rFonts w:ascii="Times New Roman" w:eastAsia="Times New Roman" w:hAnsi="Times New Roman" w:cs="Times New Roman"/>
                <w:b/>
                <w:color w:val="000000"/>
                <w:sz w:val="24"/>
                <w:szCs w:val="24"/>
              </w:rPr>
            </w:pPr>
            <w:r w:rsidRPr="00AC3F5E">
              <w:rPr>
                <w:rFonts w:ascii="Times New Roman" w:eastAsia="Times New Roman" w:hAnsi="Times New Roman" w:cs="Times New Roman"/>
                <w:b/>
                <w:color w:val="000000"/>
                <w:sz w:val="24"/>
                <w:szCs w:val="24"/>
              </w:rPr>
              <w:t>3</w:t>
            </w:r>
            <w:r w:rsidR="00AC3F5E" w:rsidRPr="00AC3F5E">
              <w:rPr>
                <w:rFonts w:ascii="Times New Roman" w:eastAsia="Times New Roman" w:hAnsi="Times New Roman" w:cs="Times New Roman"/>
                <w:b/>
                <w:color w:val="000000"/>
                <w:sz w:val="24"/>
                <w:szCs w:val="24"/>
              </w:rPr>
              <w:t>8,</w:t>
            </w:r>
            <w:r w:rsidRPr="00AC3F5E">
              <w:rPr>
                <w:rFonts w:ascii="Times New Roman" w:eastAsia="Times New Roman" w:hAnsi="Times New Roman" w:cs="Times New Roman"/>
                <w:b/>
                <w:color w:val="000000"/>
                <w:sz w:val="24"/>
                <w:szCs w:val="24"/>
              </w:rPr>
              <w:t>7%</w:t>
            </w:r>
          </w:p>
        </w:tc>
        <w:tc>
          <w:tcPr>
            <w:tcW w:w="1683" w:type="dxa"/>
            <w:vAlign w:val="center"/>
          </w:tcPr>
          <w:p w14:paraId="7AB5875E"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683" w:type="dxa"/>
            <w:vAlign w:val="center"/>
          </w:tcPr>
          <w:p w14:paraId="21171B82"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2010</w:t>
            </w:r>
          </w:p>
        </w:tc>
      </w:tr>
      <w:tr w:rsidR="00C82386" w14:paraId="744A8AC8" w14:textId="77777777" w:rsidTr="008827BB">
        <w:tc>
          <w:tcPr>
            <w:tcW w:w="4503" w:type="dxa"/>
          </w:tcPr>
          <w:p w14:paraId="6F51CAEF" w14:textId="77777777" w:rsidR="00C82386" w:rsidRDefault="00E66F64" w:rsidP="008827BB">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генерації відновлюваної енергії не менш ніж на</w:t>
            </w:r>
          </w:p>
        </w:tc>
        <w:tc>
          <w:tcPr>
            <w:tcW w:w="1701" w:type="dxa"/>
            <w:vAlign w:val="center"/>
          </w:tcPr>
          <w:p w14:paraId="2FE32C6F" w14:textId="77777777" w:rsidR="00C82386" w:rsidRPr="00AC3F5E" w:rsidRDefault="00AC3F5E" w:rsidP="00AC3F5E">
            <w:pPr>
              <w:jc w:val="center"/>
              <w:rPr>
                <w:rFonts w:ascii="Times New Roman" w:eastAsia="Times New Roman" w:hAnsi="Times New Roman" w:cs="Times New Roman"/>
                <w:color w:val="000000"/>
                <w:sz w:val="24"/>
                <w:szCs w:val="24"/>
              </w:rPr>
            </w:pPr>
            <w:r w:rsidRPr="00AC3F5E">
              <w:rPr>
                <w:rFonts w:ascii="Times New Roman" w:eastAsia="Times New Roman" w:hAnsi="Times New Roman" w:cs="Times New Roman"/>
                <w:b/>
                <w:color w:val="000000"/>
                <w:sz w:val="24"/>
                <w:szCs w:val="24"/>
              </w:rPr>
              <w:t>124 593,0</w:t>
            </w:r>
            <w:sdt>
              <w:sdtPr>
                <w:tag w:val="goog_rdk_6"/>
                <w:id w:val="-1270622528"/>
              </w:sdtPr>
              <w:sdtEndPr/>
              <w:sdtContent>
                <w:r w:rsidR="00E66F64" w:rsidRPr="00AC3F5E">
                  <w:rPr>
                    <w:rFonts w:ascii="Gungsuh" w:eastAsia="Gungsuh" w:hAnsi="Gungsuh" w:cs="Gungsuh"/>
                    <w:color w:val="000000"/>
                    <w:sz w:val="24"/>
                    <w:szCs w:val="24"/>
                  </w:rPr>
                  <w:t xml:space="preserve"> МВт∙год</w:t>
                </w:r>
              </w:sdtContent>
            </w:sdt>
          </w:p>
        </w:tc>
        <w:tc>
          <w:tcPr>
            <w:tcW w:w="1683" w:type="dxa"/>
            <w:vAlign w:val="center"/>
          </w:tcPr>
          <w:p w14:paraId="392C70A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683" w:type="dxa"/>
            <w:vAlign w:val="center"/>
          </w:tcPr>
          <w:p w14:paraId="78EB41D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2010</w:t>
            </w:r>
          </w:p>
        </w:tc>
      </w:tr>
    </w:tbl>
    <w:p w14:paraId="6ABB1037" w14:textId="77777777" w:rsidR="00C82386" w:rsidRDefault="00C82386">
      <w:pPr>
        <w:spacing w:after="0"/>
        <w:jc w:val="center"/>
        <w:rPr>
          <w:rFonts w:ascii="Times New Roman" w:eastAsia="Times New Roman" w:hAnsi="Times New Roman" w:cs="Times New Roman"/>
          <w:sz w:val="24"/>
          <w:szCs w:val="24"/>
        </w:rPr>
      </w:pPr>
    </w:p>
    <w:tbl>
      <w:tblPr>
        <w:tblStyle w:val="affe"/>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21"/>
        <w:gridCol w:w="1533"/>
        <w:gridCol w:w="1266"/>
        <w:gridCol w:w="1181"/>
        <w:gridCol w:w="1323"/>
        <w:gridCol w:w="1046"/>
      </w:tblGrid>
      <w:tr w:rsidR="00C82386" w14:paraId="70A93301" w14:textId="77777777" w:rsidTr="00205688">
        <w:tc>
          <w:tcPr>
            <w:tcW w:w="9570" w:type="dxa"/>
            <w:gridSpan w:val="6"/>
            <w:shd w:val="clear" w:color="auto" w:fill="F2F2F2"/>
            <w:vAlign w:val="center"/>
          </w:tcPr>
          <w:p w14:paraId="256A0E09" w14:textId="77777777" w:rsidR="00C82386" w:rsidRDefault="00E66F64">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Основні цілі з адаптації до змін клімату</w:t>
            </w:r>
          </w:p>
        </w:tc>
      </w:tr>
      <w:tr w:rsidR="00C82386" w14:paraId="28B8CF4C" w14:textId="77777777" w:rsidTr="00205688">
        <w:tc>
          <w:tcPr>
            <w:tcW w:w="3221" w:type="dxa"/>
            <w:vAlign w:val="center"/>
          </w:tcPr>
          <w:p w14:paraId="26168EFF"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Ціль</w:t>
            </w:r>
          </w:p>
        </w:tc>
        <w:tc>
          <w:tcPr>
            <w:tcW w:w="1533" w:type="dxa"/>
            <w:vAlign w:val="center"/>
          </w:tcPr>
          <w:p w14:paraId="4A789A3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Одиниці виміру</w:t>
            </w:r>
          </w:p>
        </w:tc>
        <w:tc>
          <w:tcPr>
            <w:tcW w:w="1266" w:type="dxa"/>
            <w:vAlign w:val="center"/>
          </w:tcPr>
          <w:p w14:paraId="0FBFFD34"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 в цільовому році</w:t>
            </w:r>
          </w:p>
        </w:tc>
        <w:tc>
          <w:tcPr>
            <w:tcW w:w="1181" w:type="dxa"/>
            <w:vAlign w:val="center"/>
          </w:tcPr>
          <w:p w14:paraId="53617E98"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Цільовий рік</w:t>
            </w:r>
          </w:p>
        </w:tc>
        <w:tc>
          <w:tcPr>
            <w:tcW w:w="1323" w:type="dxa"/>
            <w:vAlign w:val="center"/>
          </w:tcPr>
          <w:p w14:paraId="5E426ABA"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 в базовому році</w:t>
            </w:r>
          </w:p>
        </w:tc>
        <w:tc>
          <w:tcPr>
            <w:tcW w:w="1046" w:type="dxa"/>
            <w:vAlign w:val="center"/>
          </w:tcPr>
          <w:p w14:paraId="350555C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Базовий рік</w:t>
            </w:r>
          </w:p>
        </w:tc>
      </w:tr>
      <w:tr w:rsidR="00C82386" w14:paraId="0EB2B24C" w14:textId="77777777" w:rsidTr="00205688">
        <w:tc>
          <w:tcPr>
            <w:tcW w:w="3221" w:type="dxa"/>
            <w:vAlign w:val="center"/>
          </w:tcPr>
          <w:p w14:paraId="54F550D4" w14:textId="77777777" w:rsidR="00C82386" w:rsidRDefault="004341E7" w:rsidP="006E0D22">
            <w:pPr>
              <w:jc w:val="both"/>
              <w:rPr>
                <w:rFonts w:ascii="Times New Roman" w:eastAsia="Times New Roman" w:hAnsi="Times New Roman" w:cs="Times New Roman"/>
                <w:color w:val="000000"/>
                <w:sz w:val="24"/>
                <w:szCs w:val="24"/>
              </w:rPr>
            </w:pPr>
            <w:sdt>
              <w:sdtPr>
                <w:tag w:val="goog_rdk_7"/>
                <w:id w:val="-988469010"/>
              </w:sdtPr>
              <w:sdtEndPr/>
              <w:sdtContent/>
            </w:sdt>
            <w:r w:rsidR="00E66F64">
              <w:rPr>
                <w:rFonts w:ascii="Times New Roman" w:eastAsia="Times New Roman" w:hAnsi="Times New Roman" w:cs="Times New Roman"/>
                <w:color w:val="000000"/>
                <w:sz w:val="24"/>
                <w:szCs w:val="24"/>
              </w:rPr>
              <w:t xml:space="preserve">Розвиток велосипедної мережі </w:t>
            </w:r>
          </w:p>
        </w:tc>
        <w:tc>
          <w:tcPr>
            <w:tcW w:w="1533" w:type="dxa"/>
            <w:vAlign w:val="center"/>
          </w:tcPr>
          <w:p w14:paraId="622AB40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км</w:t>
            </w:r>
          </w:p>
        </w:tc>
        <w:tc>
          <w:tcPr>
            <w:tcW w:w="1266" w:type="dxa"/>
            <w:vAlign w:val="center"/>
          </w:tcPr>
          <w:p w14:paraId="1B49304F" w14:textId="77777777" w:rsidR="00C82386" w:rsidRDefault="007D45C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98,8</w:t>
            </w:r>
          </w:p>
        </w:tc>
        <w:tc>
          <w:tcPr>
            <w:tcW w:w="1181" w:type="dxa"/>
            <w:vAlign w:val="center"/>
          </w:tcPr>
          <w:p w14:paraId="61CF1047"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323" w:type="dxa"/>
            <w:vAlign w:val="center"/>
          </w:tcPr>
          <w:p w14:paraId="5FB05BDE"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6,36</w:t>
            </w:r>
          </w:p>
        </w:tc>
        <w:tc>
          <w:tcPr>
            <w:tcW w:w="1046" w:type="dxa"/>
            <w:vAlign w:val="center"/>
          </w:tcPr>
          <w:p w14:paraId="0BC138F4"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w:t>
            </w:r>
          </w:p>
        </w:tc>
      </w:tr>
      <w:tr w:rsidR="00C82386" w14:paraId="5A85067A" w14:textId="77777777" w:rsidTr="00205688">
        <w:tc>
          <w:tcPr>
            <w:tcW w:w="3221" w:type="dxa"/>
            <w:vAlign w:val="center"/>
          </w:tcPr>
          <w:p w14:paraId="786ED649" w14:textId="77777777" w:rsidR="00C82386" w:rsidRDefault="00E66F64" w:rsidP="006E0D22">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дощових канав </w:t>
            </w:r>
          </w:p>
        </w:tc>
        <w:tc>
          <w:tcPr>
            <w:tcW w:w="1533" w:type="dxa"/>
            <w:vAlign w:val="center"/>
          </w:tcPr>
          <w:p w14:paraId="4F1FB61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шт</w:t>
            </w:r>
          </w:p>
        </w:tc>
        <w:tc>
          <w:tcPr>
            <w:tcW w:w="1266" w:type="dxa"/>
            <w:vAlign w:val="center"/>
          </w:tcPr>
          <w:p w14:paraId="0E98744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181" w:type="dxa"/>
            <w:vAlign w:val="center"/>
          </w:tcPr>
          <w:p w14:paraId="09B1BA49"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323" w:type="dxa"/>
            <w:vAlign w:val="center"/>
          </w:tcPr>
          <w:p w14:paraId="02444AFB"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c>
          <w:tcPr>
            <w:tcW w:w="1046" w:type="dxa"/>
            <w:vAlign w:val="center"/>
          </w:tcPr>
          <w:p w14:paraId="10FD251A"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4641F648" w14:textId="77777777" w:rsidTr="00205688">
        <w:tc>
          <w:tcPr>
            <w:tcW w:w="3221" w:type="dxa"/>
            <w:vAlign w:val="center"/>
          </w:tcPr>
          <w:p w14:paraId="3C56515C" w14:textId="77777777" w:rsidR="00C82386" w:rsidRDefault="00E66F64" w:rsidP="006E0D22">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Мінімізації герметизованого простору:  </w:t>
            </w:r>
          </w:p>
          <w:p w14:paraId="567C047F" w14:textId="77777777" w:rsidR="00C82386" w:rsidRDefault="00E66F64" w:rsidP="006E0D22">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зменшена площа асфальтованих та бетонних покриттів</w:t>
            </w:r>
          </w:p>
        </w:tc>
        <w:tc>
          <w:tcPr>
            <w:tcW w:w="1533" w:type="dxa"/>
            <w:vAlign w:val="center"/>
          </w:tcPr>
          <w:p w14:paraId="6EC5605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266" w:type="dxa"/>
            <w:vAlign w:val="center"/>
          </w:tcPr>
          <w:p w14:paraId="250CD7A6"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95</w:t>
            </w:r>
          </w:p>
        </w:tc>
        <w:tc>
          <w:tcPr>
            <w:tcW w:w="1181" w:type="dxa"/>
            <w:vAlign w:val="center"/>
          </w:tcPr>
          <w:p w14:paraId="78B9B512"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323" w:type="dxa"/>
            <w:vAlign w:val="center"/>
          </w:tcPr>
          <w:p w14:paraId="07647578"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c>
          <w:tcPr>
            <w:tcW w:w="1046" w:type="dxa"/>
            <w:vAlign w:val="center"/>
          </w:tcPr>
          <w:p w14:paraId="33FB2EDF"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4A93A6E9" w14:textId="77777777" w:rsidTr="00205688">
        <w:tc>
          <w:tcPr>
            <w:tcW w:w="3221" w:type="dxa"/>
            <w:vAlign w:val="center"/>
          </w:tcPr>
          <w:p w14:paraId="6B91F6C1" w14:textId="77777777" w:rsidR="00C82386" w:rsidRDefault="00E66F64" w:rsidP="006E0D22">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Безпечне та стале управління побутовими відходами:  частка відходів, що підлягають захороненню на полігоні</w:t>
            </w:r>
          </w:p>
        </w:tc>
        <w:tc>
          <w:tcPr>
            <w:tcW w:w="1533" w:type="dxa"/>
            <w:vAlign w:val="center"/>
          </w:tcPr>
          <w:p w14:paraId="59B438B5"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t>
            </w:r>
          </w:p>
        </w:tc>
        <w:tc>
          <w:tcPr>
            <w:tcW w:w="1266" w:type="dxa"/>
            <w:vAlign w:val="center"/>
          </w:tcPr>
          <w:p w14:paraId="71F0557D"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30</w:t>
            </w:r>
          </w:p>
        </w:tc>
        <w:tc>
          <w:tcPr>
            <w:tcW w:w="1181" w:type="dxa"/>
            <w:vAlign w:val="center"/>
          </w:tcPr>
          <w:p w14:paraId="2C0C7F2B"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2030</w:t>
            </w:r>
          </w:p>
        </w:tc>
        <w:tc>
          <w:tcPr>
            <w:tcW w:w="1323" w:type="dxa"/>
            <w:vAlign w:val="center"/>
          </w:tcPr>
          <w:p w14:paraId="767757AE" w14:textId="77777777" w:rsidR="00C82386" w:rsidRPr="0030603B" w:rsidRDefault="00E66F64">
            <w:pPr>
              <w:jc w:val="center"/>
              <w:rPr>
                <w:rFonts w:ascii="Times New Roman" w:eastAsia="Times New Roman" w:hAnsi="Times New Roman" w:cs="Times New Roman"/>
                <w:sz w:val="24"/>
                <w:szCs w:val="24"/>
              </w:rPr>
            </w:pPr>
            <w:r w:rsidRPr="0030603B">
              <w:rPr>
                <w:rFonts w:ascii="Times New Roman" w:eastAsia="Times New Roman" w:hAnsi="Times New Roman" w:cs="Times New Roman"/>
                <w:color w:val="000000"/>
                <w:sz w:val="24"/>
                <w:szCs w:val="24"/>
              </w:rPr>
              <w:t>100</w:t>
            </w:r>
          </w:p>
        </w:tc>
        <w:tc>
          <w:tcPr>
            <w:tcW w:w="1046" w:type="dxa"/>
            <w:vAlign w:val="center"/>
          </w:tcPr>
          <w:p w14:paraId="5B6B9DDA" w14:textId="77777777" w:rsidR="00C82386" w:rsidRPr="0030603B" w:rsidRDefault="00E66F64">
            <w:pPr>
              <w:jc w:val="center"/>
              <w:rPr>
                <w:rFonts w:ascii="Times New Roman" w:eastAsia="Times New Roman" w:hAnsi="Times New Roman" w:cs="Times New Roman"/>
                <w:sz w:val="24"/>
                <w:szCs w:val="24"/>
              </w:rPr>
            </w:pPr>
            <w:r w:rsidRPr="0030603B">
              <w:rPr>
                <w:rFonts w:ascii="Times New Roman" w:eastAsia="Times New Roman" w:hAnsi="Times New Roman" w:cs="Times New Roman"/>
                <w:color w:val="000000"/>
                <w:sz w:val="24"/>
                <w:szCs w:val="24"/>
              </w:rPr>
              <w:t>202</w:t>
            </w:r>
            <w:sdt>
              <w:sdtPr>
                <w:tag w:val="goog_rdk_8"/>
                <w:id w:val="2045715771"/>
              </w:sdtPr>
              <w:sdtEndPr/>
              <w:sdtContent/>
            </w:sdt>
            <w:r w:rsidRPr="0030603B">
              <w:rPr>
                <w:rFonts w:ascii="Times New Roman" w:eastAsia="Times New Roman" w:hAnsi="Times New Roman" w:cs="Times New Roman"/>
                <w:color w:val="000000"/>
                <w:sz w:val="24"/>
                <w:szCs w:val="24"/>
              </w:rPr>
              <w:t>0</w:t>
            </w:r>
          </w:p>
        </w:tc>
      </w:tr>
      <w:tr w:rsidR="00C82386" w14:paraId="654C94E8" w14:textId="77777777" w:rsidTr="00205688">
        <w:tc>
          <w:tcPr>
            <w:tcW w:w="3221" w:type="dxa"/>
            <w:vAlign w:val="center"/>
          </w:tcPr>
          <w:p w14:paraId="1D771602" w14:textId="77777777" w:rsidR="00C82386" w:rsidRDefault="00E66F64" w:rsidP="006E0D22">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Стан зелених насаджень: </w:t>
            </w:r>
          </w:p>
          <w:p w14:paraId="7C940AA3" w14:textId="77777777" w:rsidR="00C82386" w:rsidRDefault="00E66F64" w:rsidP="006E0D22">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Кількість зелених насаджень на 1 мешканця Житомира (норматив 16 м2)</w:t>
            </w:r>
          </w:p>
        </w:tc>
        <w:tc>
          <w:tcPr>
            <w:tcW w:w="1533" w:type="dxa"/>
            <w:vAlign w:val="center"/>
          </w:tcPr>
          <w:p w14:paraId="56690D18"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на 1 мешканця</w:t>
            </w:r>
          </w:p>
        </w:tc>
        <w:tc>
          <w:tcPr>
            <w:tcW w:w="1266" w:type="dxa"/>
            <w:vAlign w:val="center"/>
          </w:tcPr>
          <w:p w14:paraId="1728318E"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16</w:t>
            </w:r>
          </w:p>
        </w:tc>
        <w:tc>
          <w:tcPr>
            <w:tcW w:w="1181" w:type="dxa"/>
            <w:vAlign w:val="center"/>
          </w:tcPr>
          <w:p w14:paraId="7C01D446"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2030</w:t>
            </w:r>
          </w:p>
        </w:tc>
        <w:tc>
          <w:tcPr>
            <w:tcW w:w="1323" w:type="dxa"/>
            <w:vAlign w:val="center"/>
          </w:tcPr>
          <w:p w14:paraId="6D396A67" w14:textId="77777777" w:rsidR="00C82386" w:rsidRPr="0030603B" w:rsidRDefault="00E66F64">
            <w:pPr>
              <w:jc w:val="center"/>
              <w:rPr>
                <w:rFonts w:ascii="Times New Roman" w:eastAsia="Times New Roman" w:hAnsi="Times New Roman" w:cs="Times New Roman"/>
                <w:sz w:val="24"/>
                <w:szCs w:val="24"/>
              </w:rPr>
            </w:pPr>
            <w:r w:rsidRPr="0030603B">
              <w:rPr>
                <w:rFonts w:ascii="Times New Roman" w:eastAsia="Times New Roman" w:hAnsi="Times New Roman" w:cs="Times New Roman"/>
                <w:color w:val="000000"/>
                <w:sz w:val="24"/>
                <w:szCs w:val="24"/>
              </w:rPr>
              <w:t>12,4</w:t>
            </w:r>
          </w:p>
        </w:tc>
        <w:tc>
          <w:tcPr>
            <w:tcW w:w="1046" w:type="dxa"/>
            <w:vAlign w:val="center"/>
          </w:tcPr>
          <w:p w14:paraId="4EB3DDB0" w14:textId="77777777" w:rsidR="00C82386" w:rsidRPr="0030603B" w:rsidRDefault="004341E7">
            <w:pPr>
              <w:jc w:val="center"/>
              <w:rPr>
                <w:rFonts w:ascii="Times New Roman" w:eastAsia="Times New Roman" w:hAnsi="Times New Roman" w:cs="Times New Roman"/>
                <w:sz w:val="24"/>
                <w:szCs w:val="24"/>
              </w:rPr>
            </w:pPr>
            <w:sdt>
              <w:sdtPr>
                <w:tag w:val="goog_rdk_9"/>
                <w:id w:val="1761329155"/>
              </w:sdtPr>
              <w:sdtEndPr/>
              <w:sdtContent/>
            </w:sdt>
            <w:r w:rsidR="00E66F64" w:rsidRPr="0030603B">
              <w:rPr>
                <w:rFonts w:ascii="Times New Roman" w:eastAsia="Times New Roman" w:hAnsi="Times New Roman" w:cs="Times New Roman"/>
                <w:color w:val="000000"/>
                <w:sz w:val="24"/>
                <w:szCs w:val="24"/>
              </w:rPr>
              <w:t>2020</w:t>
            </w:r>
          </w:p>
        </w:tc>
      </w:tr>
    </w:tbl>
    <w:p w14:paraId="45F97EAB" w14:textId="77777777" w:rsidR="00C82386" w:rsidRDefault="00C82386">
      <w:pPr>
        <w:spacing w:after="0"/>
        <w:jc w:val="both"/>
        <w:rPr>
          <w:rFonts w:ascii="Times New Roman" w:eastAsia="Times New Roman" w:hAnsi="Times New Roman" w:cs="Times New Roman"/>
          <w:sz w:val="24"/>
          <w:szCs w:val="24"/>
        </w:rPr>
      </w:pPr>
    </w:p>
    <w:tbl>
      <w:tblPr>
        <w:tblStyle w:val="afff"/>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70"/>
      </w:tblGrid>
      <w:tr w:rsidR="00C82386" w14:paraId="5300128E" w14:textId="77777777">
        <w:tc>
          <w:tcPr>
            <w:tcW w:w="9570" w:type="dxa"/>
            <w:shd w:val="clear" w:color="auto" w:fill="F2F2F2"/>
          </w:tcPr>
          <w:p w14:paraId="0F7D3FAA"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Цілі з подолання енергетичної бідності</w:t>
            </w:r>
          </w:p>
        </w:tc>
      </w:tr>
      <w:tr w:rsidR="00C82386" w14:paraId="30286A98" w14:textId="77777777">
        <w:tc>
          <w:tcPr>
            <w:tcW w:w="9570" w:type="dxa"/>
          </w:tcPr>
          <w:p w14:paraId="44D4BB76"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забезпечити доступність, безпечність та сталість енергії для всіх жителів громади</w:t>
            </w:r>
          </w:p>
        </w:tc>
      </w:tr>
      <w:tr w:rsidR="00C82386" w14:paraId="7CE3C81E" w14:textId="77777777">
        <w:tc>
          <w:tcPr>
            <w:tcW w:w="9570" w:type="dxa"/>
            <w:shd w:val="clear" w:color="auto" w:fill="F2F2F2"/>
          </w:tcPr>
          <w:p w14:paraId="198E230F" w14:textId="77777777" w:rsidR="00C82386" w:rsidRDefault="00E66F64">
            <w:pPr>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Інші енергетичні та соціальні цілі</w:t>
            </w:r>
          </w:p>
        </w:tc>
      </w:tr>
      <w:tr w:rsidR="00C82386" w14:paraId="7AB4A2F7" w14:textId="77777777">
        <w:tc>
          <w:tcPr>
            <w:tcW w:w="9570" w:type="dxa"/>
          </w:tcPr>
          <w:p w14:paraId="498126A7"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комфортності проживання мешканців</w:t>
            </w:r>
          </w:p>
        </w:tc>
      </w:tr>
      <w:tr w:rsidR="00C82386" w14:paraId="7929D7C7" w14:textId="77777777">
        <w:tc>
          <w:tcPr>
            <w:tcW w:w="9570" w:type="dxa"/>
          </w:tcPr>
          <w:p w14:paraId="7EDCD6D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якості комунальних послуг</w:t>
            </w:r>
          </w:p>
        </w:tc>
      </w:tr>
      <w:tr w:rsidR="00C82386" w14:paraId="448E65F3" w14:textId="77777777">
        <w:tc>
          <w:tcPr>
            <w:tcW w:w="9570" w:type="dxa"/>
          </w:tcPr>
          <w:p w14:paraId="5547F4FD"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раціональності використання енергетичних ресурсів</w:t>
            </w:r>
          </w:p>
        </w:tc>
      </w:tr>
      <w:tr w:rsidR="00C82386" w14:paraId="1DE2D540" w14:textId="77777777">
        <w:tc>
          <w:tcPr>
            <w:tcW w:w="9570" w:type="dxa"/>
          </w:tcPr>
          <w:p w14:paraId="25EA0587"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зменшення втрат теплової енергії при транспортуванні теплоносія</w:t>
            </w:r>
          </w:p>
        </w:tc>
      </w:tr>
      <w:tr w:rsidR="00C82386" w14:paraId="1D411198" w14:textId="77777777">
        <w:tc>
          <w:tcPr>
            <w:tcW w:w="9570" w:type="dxa"/>
          </w:tcPr>
          <w:p w14:paraId="221BBD7C"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сприяння залученню інвестицій у проекти з енергоефективності</w:t>
            </w:r>
          </w:p>
        </w:tc>
      </w:tr>
      <w:tr w:rsidR="00C82386" w14:paraId="6ED52649" w14:textId="77777777">
        <w:tc>
          <w:tcPr>
            <w:tcW w:w="9570" w:type="dxa"/>
          </w:tcPr>
          <w:p w14:paraId="644CBC00" w14:textId="77777777" w:rsidR="00C82386" w:rsidRDefault="00E66F6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енергетичної свідомості мешканців</w:t>
            </w:r>
          </w:p>
        </w:tc>
      </w:tr>
    </w:tbl>
    <w:p w14:paraId="022ABA01"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мети та конкретних цілей, що передбачені ПДСЕРК до проміжного 2030 року, здійснюється шляхом впровадження енергоефективних заходів, які зменшують вплив зміни клімату, долають вплив енергетичної бідності, та заходів з адаптації простору громади до зміни клімату.</w:t>
      </w:r>
    </w:p>
    <w:p w14:paraId="3C2E790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таблиці </w:t>
      </w:r>
      <w:r w:rsidR="00597CAF">
        <w:rPr>
          <w:rFonts w:ascii="Times New Roman" w:eastAsia="Times New Roman" w:hAnsi="Times New Roman" w:cs="Times New Roman"/>
          <w:sz w:val="24"/>
          <w:szCs w:val="24"/>
        </w:rPr>
        <w:t>1</w:t>
      </w:r>
      <w:r>
        <w:rPr>
          <w:rFonts w:ascii="Times New Roman" w:eastAsia="Times New Roman" w:hAnsi="Times New Roman" w:cs="Times New Roman"/>
          <w:sz w:val="24"/>
          <w:szCs w:val="24"/>
        </w:rPr>
        <w:t>.</w:t>
      </w:r>
      <w:r w:rsidR="00597CAF">
        <w:rPr>
          <w:rFonts w:ascii="Times New Roman" w:eastAsia="Times New Roman" w:hAnsi="Times New Roman" w:cs="Times New Roman"/>
          <w:sz w:val="24"/>
          <w:szCs w:val="24"/>
        </w:rPr>
        <w:t>5</w:t>
      </w:r>
      <w:r>
        <w:rPr>
          <w:rFonts w:ascii="Times New Roman" w:eastAsia="Times New Roman" w:hAnsi="Times New Roman" w:cs="Times New Roman"/>
          <w:sz w:val="24"/>
          <w:szCs w:val="24"/>
        </w:rPr>
        <w:t>. приведений орієнтовний розподіл зменшення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за секторами кінцевих споживачів та в секторах місцевого виробництва електроенергії та місцевого виробництва тепла/холоду за рахунок впровадження заходів з пом’якшення впливу зміни клімату (см. Розділ 6).</w:t>
      </w:r>
    </w:p>
    <w:p w14:paraId="5DE5D204" w14:textId="77777777" w:rsidR="00C82386" w:rsidRDefault="00E66F64">
      <w:pPr>
        <w:spacing w:after="0"/>
        <w:ind w:firstLine="708"/>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Таблиця 1.5. </w:t>
      </w:r>
    </w:p>
    <w:p w14:paraId="54B6D77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Зменшення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до 2030 року за секторами від впровадження заходів</w:t>
      </w:r>
    </w:p>
    <w:tbl>
      <w:tblPr>
        <w:tblStyle w:val="afff0"/>
        <w:tblW w:w="98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
        <w:gridCol w:w="3423"/>
        <w:gridCol w:w="2126"/>
        <w:gridCol w:w="2126"/>
        <w:gridCol w:w="18"/>
        <w:gridCol w:w="1683"/>
      </w:tblGrid>
      <w:tr w:rsidR="00C82386" w:rsidRPr="00AF672F" w14:paraId="52B96A79" w14:textId="77777777">
        <w:trPr>
          <w:trHeight w:val="255"/>
          <w:jc w:val="center"/>
        </w:trPr>
        <w:tc>
          <w:tcPr>
            <w:tcW w:w="513" w:type="dxa"/>
            <w:vAlign w:val="center"/>
          </w:tcPr>
          <w:p w14:paraId="0573EAC9"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 п/п</w:t>
            </w:r>
          </w:p>
        </w:tc>
        <w:tc>
          <w:tcPr>
            <w:tcW w:w="3423" w:type="dxa"/>
            <w:vAlign w:val="center"/>
          </w:tcPr>
          <w:p w14:paraId="4B02E79A"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Сектори, що включені в БКВ</w:t>
            </w:r>
            <w:r w:rsidRPr="00AF672F">
              <w:rPr>
                <w:rFonts w:ascii="Times New Roman" w:eastAsia="Times New Roman" w:hAnsi="Times New Roman" w:cs="Times New Roman"/>
              </w:rPr>
              <w:br/>
              <w:t>та Виробництво тепла</w:t>
            </w:r>
          </w:p>
        </w:tc>
        <w:tc>
          <w:tcPr>
            <w:tcW w:w="2126" w:type="dxa"/>
            <w:vAlign w:val="center"/>
          </w:tcPr>
          <w:p w14:paraId="497BDCD5"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Всього викидів у базовому 2010 р., тонн/рік</w:t>
            </w:r>
          </w:p>
        </w:tc>
        <w:tc>
          <w:tcPr>
            <w:tcW w:w="2126" w:type="dxa"/>
            <w:vAlign w:val="center"/>
          </w:tcPr>
          <w:p w14:paraId="2FD3A1B6"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Заплановане скорочення викидів СО</w:t>
            </w:r>
            <w:r w:rsidRPr="00AF672F">
              <w:rPr>
                <w:rFonts w:ascii="Times New Roman" w:eastAsia="Times New Roman" w:hAnsi="Times New Roman" w:cs="Times New Roman"/>
                <w:vertAlign w:val="subscript"/>
              </w:rPr>
              <w:t>2</w:t>
            </w:r>
            <w:r w:rsidRPr="00AF672F">
              <w:rPr>
                <w:rFonts w:ascii="Times New Roman" w:eastAsia="Times New Roman" w:hAnsi="Times New Roman" w:cs="Times New Roman"/>
              </w:rPr>
              <w:t>, тонн/рік</w:t>
            </w:r>
          </w:p>
        </w:tc>
        <w:tc>
          <w:tcPr>
            <w:tcW w:w="1701" w:type="dxa"/>
            <w:gridSpan w:val="2"/>
            <w:vAlign w:val="center"/>
          </w:tcPr>
          <w:p w14:paraId="64EF7DC9"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Відсоток зменшення викидів СО</w:t>
            </w:r>
            <w:r w:rsidRPr="00AF672F">
              <w:rPr>
                <w:rFonts w:ascii="Times New Roman" w:eastAsia="Times New Roman" w:hAnsi="Times New Roman" w:cs="Times New Roman"/>
                <w:vertAlign w:val="subscript"/>
              </w:rPr>
              <w:t xml:space="preserve">2 </w:t>
            </w:r>
            <w:r w:rsidRPr="00AF672F">
              <w:rPr>
                <w:rFonts w:ascii="Times New Roman" w:eastAsia="Times New Roman" w:hAnsi="Times New Roman" w:cs="Times New Roman"/>
              </w:rPr>
              <w:t>, %</w:t>
            </w:r>
          </w:p>
        </w:tc>
      </w:tr>
      <w:tr w:rsidR="00C82386" w:rsidRPr="00AF672F" w14:paraId="7F676008" w14:textId="77777777">
        <w:trPr>
          <w:trHeight w:val="255"/>
          <w:jc w:val="center"/>
        </w:trPr>
        <w:tc>
          <w:tcPr>
            <w:tcW w:w="9889" w:type="dxa"/>
            <w:gridSpan w:val="6"/>
            <w:shd w:val="clear" w:color="auto" w:fill="F2F2F2"/>
            <w:vAlign w:val="center"/>
          </w:tcPr>
          <w:p w14:paraId="2E3697B9" w14:textId="77777777" w:rsidR="00C82386" w:rsidRPr="00AF672F" w:rsidRDefault="00E66F64">
            <w:pPr>
              <w:spacing w:after="0" w:line="240" w:lineRule="auto"/>
              <w:ind w:firstLine="160"/>
              <w:rPr>
                <w:rFonts w:ascii="Times New Roman" w:eastAsia="Times New Roman" w:hAnsi="Times New Roman" w:cs="Times New Roman"/>
                <w:color w:val="000000"/>
              </w:rPr>
            </w:pPr>
            <w:r w:rsidRPr="00AF672F">
              <w:rPr>
                <w:rFonts w:ascii="Times New Roman" w:eastAsia="Times New Roman" w:hAnsi="Times New Roman" w:cs="Times New Roman"/>
              </w:rPr>
              <w:t>Муніципальні будівлі, об’єкти/ обладнання</w:t>
            </w:r>
          </w:p>
        </w:tc>
      </w:tr>
      <w:tr w:rsidR="00C82386" w:rsidRPr="00AF672F" w14:paraId="010DE1C7" w14:textId="77777777" w:rsidTr="00554CD6">
        <w:trPr>
          <w:trHeight w:val="255"/>
          <w:jc w:val="center"/>
        </w:trPr>
        <w:tc>
          <w:tcPr>
            <w:tcW w:w="513" w:type="dxa"/>
            <w:vAlign w:val="center"/>
          </w:tcPr>
          <w:p w14:paraId="3BDC0C37"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t>1.</w:t>
            </w:r>
          </w:p>
        </w:tc>
        <w:tc>
          <w:tcPr>
            <w:tcW w:w="3423" w:type="dxa"/>
            <w:vAlign w:val="center"/>
          </w:tcPr>
          <w:p w14:paraId="03CD76D2" w14:textId="77777777" w:rsidR="00C82386" w:rsidRPr="00AF672F" w:rsidRDefault="00E66F64">
            <w:pPr>
              <w:spacing w:after="0"/>
              <w:rPr>
                <w:rFonts w:ascii="Times New Roman" w:eastAsia="Times New Roman" w:hAnsi="Times New Roman" w:cs="Times New Roman"/>
              </w:rPr>
            </w:pPr>
            <w:r w:rsidRPr="00AF672F">
              <w:rPr>
                <w:rFonts w:ascii="Times New Roman" w:eastAsia="Times New Roman" w:hAnsi="Times New Roman" w:cs="Times New Roman"/>
              </w:rPr>
              <w:t>Муніципальні будівлі, об’єкти/ обладнання</w:t>
            </w:r>
          </w:p>
        </w:tc>
        <w:tc>
          <w:tcPr>
            <w:tcW w:w="2126" w:type="dxa"/>
            <w:vAlign w:val="center"/>
          </w:tcPr>
          <w:p w14:paraId="7C540BC9" w14:textId="77777777" w:rsidR="00C82386" w:rsidRPr="002E6A71" w:rsidRDefault="002E6A71">
            <w:pPr>
              <w:spacing w:after="0"/>
              <w:jc w:val="center"/>
              <w:rPr>
                <w:rFonts w:ascii="Times New Roman" w:eastAsia="Times New Roman" w:hAnsi="Times New Roman" w:cs="Times New Roman"/>
                <w:lang w:val="en-US"/>
              </w:rPr>
            </w:pPr>
            <w:r>
              <w:rPr>
                <w:rFonts w:ascii="Times New Roman" w:eastAsia="Times New Roman" w:hAnsi="Times New Roman" w:cs="Times New Roman"/>
                <w:lang w:val="en-US"/>
              </w:rPr>
              <w:t>50 496</w:t>
            </w:r>
            <w:r>
              <w:rPr>
                <w:rFonts w:ascii="Times New Roman" w:eastAsia="Times New Roman" w:hAnsi="Times New Roman" w:cs="Times New Roman"/>
              </w:rPr>
              <w:t>,</w:t>
            </w:r>
            <w:r>
              <w:rPr>
                <w:rFonts w:ascii="Times New Roman" w:eastAsia="Times New Roman" w:hAnsi="Times New Roman" w:cs="Times New Roman"/>
                <w:lang w:val="en-US"/>
              </w:rPr>
              <w:t>7</w:t>
            </w:r>
          </w:p>
        </w:tc>
        <w:tc>
          <w:tcPr>
            <w:tcW w:w="2126" w:type="dxa"/>
            <w:shd w:val="clear" w:color="auto" w:fill="auto"/>
            <w:vAlign w:val="center"/>
          </w:tcPr>
          <w:p w14:paraId="3F551262" w14:textId="77777777" w:rsidR="00C82386" w:rsidRPr="002E6A71" w:rsidRDefault="002E6A71" w:rsidP="002E6A71">
            <w:pPr>
              <w:spacing w:after="0"/>
              <w:jc w:val="center"/>
              <w:rPr>
                <w:rFonts w:ascii="Times New Roman" w:eastAsia="Times New Roman" w:hAnsi="Times New Roman" w:cs="Times New Roman"/>
              </w:rPr>
            </w:pPr>
            <w:r>
              <w:rPr>
                <w:rFonts w:ascii="Times New Roman" w:eastAsia="Times New Roman" w:hAnsi="Times New Roman" w:cs="Times New Roman"/>
                <w:lang w:val="en-US"/>
              </w:rPr>
              <w:t>26 632</w:t>
            </w:r>
            <w:r>
              <w:rPr>
                <w:rFonts w:ascii="Times New Roman" w:eastAsia="Times New Roman" w:hAnsi="Times New Roman" w:cs="Times New Roman"/>
              </w:rPr>
              <w:t>,</w:t>
            </w:r>
            <w:r>
              <w:rPr>
                <w:rFonts w:ascii="Times New Roman" w:eastAsia="Times New Roman" w:hAnsi="Times New Roman" w:cs="Times New Roman"/>
                <w:lang w:val="en-US"/>
              </w:rPr>
              <w:t>0</w:t>
            </w:r>
          </w:p>
        </w:tc>
        <w:tc>
          <w:tcPr>
            <w:tcW w:w="1701" w:type="dxa"/>
            <w:gridSpan w:val="2"/>
            <w:shd w:val="clear" w:color="auto" w:fill="auto"/>
            <w:vAlign w:val="center"/>
          </w:tcPr>
          <w:p w14:paraId="3DAF16E3" w14:textId="77777777" w:rsidR="00C82386" w:rsidRPr="002E6A71" w:rsidRDefault="002E6A71" w:rsidP="005238E7">
            <w:pPr>
              <w:spacing w:after="0"/>
              <w:jc w:val="center"/>
              <w:rPr>
                <w:rFonts w:ascii="Times New Roman" w:eastAsia="Times New Roman" w:hAnsi="Times New Roman" w:cs="Times New Roman"/>
              </w:rPr>
            </w:pPr>
            <w:r>
              <w:rPr>
                <w:rFonts w:ascii="Times New Roman" w:eastAsia="Times New Roman" w:hAnsi="Times New Roman" w:cs="Times New Roman"/>
              </w:rPr>
              <w:t>52,7</w:t>
            </w:r>
          </w:p>
        </w:tc>
      </w:tr>
      <w:tr w:rsidR="00C82386" w:rsidRPr="00AF672F" w14:paraId="30030349" w14:textId="77777777" w:rsidTr="00554CD6">
        <w:trPr>
          <w:trHeight w:val="255"/>
          <w:jc w:val="center"/>
        </w:trPr>
        <w:tc>
          <w:tcPr>
            <w:tcW w:w="513" w:type="dxa"/>
            <w:vAlign w:val="center"/>
          </w:tcPr>
          <w:p w14:paraId="0C9B4492" w14:textId="77777777" w:rsidR="00C82386" w:rsidRPr="00AF672F" w:rsidRDefault="00E66F64">
            <w:pPr>
              <w:spacing w:after="0"/>
              <w:jc w:val="center"/>
              <w:rPr>
                <w:rFonts w:ascii="Times New Roman" w:eastAsia="Times New Roman" w:hAnsi="Times New Roman" w:cs="Times New Roman"/>
              </w:rPr>
            </w:pPr>
            <w:r w:rsidRPr="00AF672F">
              <w:rPr>
                <w:rFonts w:ascii="Times New Roman" w:eastAsia="Times New Roman" w:hAnsi="Times New Roman" w:cs="Times New Roman"/>
              </w:rPr>
              <w:lastRenderedPageBreak/>
              <w:t>2.</w:t>
            </w:r>
          </w:p>
        </w:tc>
        <w:tc>
          <w:tcPr>
            <w:tcW w:w="3423" w:type="dxa"/>
            <w:vAlign w:val="center"/>
          </w:tcPr>
          <w:p w14:paraId="3BA24E23" w14:textId="77777777" w:rsidR="00C82386" w:rsidRPr="00AF672F" w:rsidRDefault="00E66F64">
            <w:pPr>
              <w:spacing w:after="0"/>
              <w:rPr>
                <w:rFonts w:ascii="Times New Roman" w:eastAsia="Times New Roman" w:hAnsi="Times New Roman" w:cs="Times New Roman"/>
              </w:rPr>
            </w:pPr>
            <w:r w:rsidRPr="00AF672F">
              <w:rPr>
                <w:rFonts w:ascii="Times New Roman" w:eastAsia="Times New Roman" w:hAnsi="Times New Roman" w:cs="Times New Roman"/>
              </w:rPr>
              <w:t>Муніципальне освітлення</w:t>
            </w:r>
          </w:p>
        </w:tc>
        <w:tc>
          <w:tcPr>
            <w:tcW w:w="2126" w:type="dxa"/>
            <w:vAlign w:val="center"/>
          </w:tcPr>
          <w:p w14:paraId="5C9C636D" w14:textId="77777777" w:rsidR="00C82386" w:rsidRPr="002E6A71" w:rsidRDefault="002E6A71">
            <w:pPr>
              <w:spacing w:after="0"/>
              <w:jc w:val="center"/>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lang w:val="en-US"/>
              </w:rPr>
              <w:t> </w:t>
            </w:r>
            <w:r>
              <w:rPr>
                <w:rFonts w:ascii="Times New Roman" w:eastAsia="Times New Roman" w:hAnsi="Times New Roman" w:cs="Times New Roman"/>
              </w:rPr>
              <w:t>036,9</w:t>
            </w:r>
          </w:p>
        </w:tc>
        <w:tc>
          <w:tcPr>
            <w:tcW w:w="2126" w:type="dxa"/>
            <w:shd w:val="clear" w:color="auto" w:fill="auto"/>
            <w:vAlign w:val="center"/>
          </w:tcPr>
          <w:p w14:paraId="769F327F" w14:textId="77777777" w:rsidR="00C82386" w:rsidRPr="002E6A71" w:rsidRDefault="002E6A71">
            <w:pPr>
              <w:spacing w:after="0"/>
              <w:jc w:val="center"/>
              <w:rPr>
                <w:rFonts w:ascii="Times New Roman" w:eastAsia="Times New Roman" w:hAnsi="Times New Roman" w:cs="Times New Roman"/>
              </w:rPr>
            </w:pPr>
            <w:r>
              <w:rPr>
                <w:rFonts w:ascii="Times New Roman" w:eastAsia="Times New Roman" w:hAnsi="Times New Roman" w:cs="Times New Roman"/>
              </w:rPr>
              <w:t>1 699,0</w:t>
            </w:r>
          </w:p>
        </w:tc>
        <w:tc>
          <w:tcPr>
            <w:tcW w:w="1701" w:type="dxa"/>
            <w:gridSpan w:val="2"/>
            <w:shd w:val="clear" w:color="auto" w:fill="auto"/>
            <w:vAlign w:val="center"/>
          </w:tcPr>
          <w:p w14:paraId="54613389" w14:textId="77777777" w:rsidR="00C82386" w:rsidRPr="002E6A71" w:rsidRDefault="002E6A71">
            <w:pPr>
              <w:spacing w:after="0"/>
              <w:jc w:val="center"/>
              <w:rPr>
                <w:rFonts w:ascii="Times New Roman" w:eastAsia="Times New Roman" w:hAnsi="Times New Roman" w:cs="Times New Roman"/>
              </w:rPr>
            </w:pPr>
            <w:r>
              <w:rPr>
                <w:rFonts w:ascii="Times New Roman" w:eastAsia="Times New Roman" w:hAnsi="Times New Roman" w:cs="Times New Roman"/>
              </w:rPr>
              <w:t>83,4%</w:t>
            </w:r>
          </w:p>
        </w:tc>
      </w:tr>
      <w:tr w:rsidR="00C82386" w:rsidRPr="00AF672F" w14:paraId="20279C70" w14:textId="77777777" w:rsidTr="00554CD6">
        <w:trPr>
          <w:trHeight w:val="255"/>
          <w:jc w:val="center"/>
        </w:trPr>
        <w:tc>
          <w:tcPr>
            <w:tcW w:w="9889" w:type="dxa"/>
            <w:gridSpan w:val="6"/>
            <w:shd w:val="clear" w:color="auto" w:fill="F2F2F2"/>
            <w:vAlign w:val="center"/>
          </w:tcPr>
          <w:p w14:paraId="7EA1CC4D" w14:textId="77777777" w:rsidR="00C82386" w:rsidRPr="00AF672F" w:rsidRDefault="00E66F64">
            <w:pPr>
              <w:spacing w:after="0" w:line="240" w:lineRule="auto"/>
              <w:ind w:firstLine="160"/>
              <w:rPr>
                <w:rFonts w:ascii="Times New Roman" w:eastAsia="Times New Roman" w:hAnsi="Times New Roman" w:cs="Times New Roman"/>
                <w:color w:val="000000"/>
              </w:rPr>
            </w:pPr>
            <w:r w:rsidRPr="00AF672F">
              <w:rPr>
                <w:rFonts w:ascii="Times New Roman" w:eastAsia="Times New Roman" w:hAnsi="Times New Roman" w:cs="Times New Roman"/>
              </w:rPr>
              <w:t>Третинні (не муніципальні) будівлі, об’єкти/ обладнання</w:t>
            </w:r>
          </w:p>
        </w:tc>
      </w:tr>
      <w:tr w:rsidR="00C82386" w:rsidRPr="00AF672F" w14:paraId="7FF48177" w14:textId="77777777" w:rsidTr="00554CD6">
        <w:trPr>
          <w:trHeight w:val="255"/>
          <w:jc w:val="center"/>
        </w:trPr>
        <w:tc>
          <w:tcPr>
            <w:tcW w:w="513" w:type="dxa"/>
            <w:vAlign w:val="center"/>
          </w:tcPr>
          <w:p w14:paraId="2AA92EE9"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3</w:t>
            </w:r>
            <w:r w:rsidR="00E66F64" w:rsidRPr="00AF672F">
              <w:rPr>
                <w:rFonts w:ascii="Times New Roman" w:eastAsia="Times New Roman" w:hAnsi="Times New Roman" w:cs="Times New Roman"/>
              </w:rPr>
              <w:t>.</w:t>
            </w:r>
          </w:p>
        </w:tc>
        <w:tc>
          <w:tcPr>
            <w:tcW w:w="3423" w:type="dxa"/>
            <w:vAlign w:val="center"/>
          </w:tcPr>
          <w:p w14:paraId="3779594B" w14:textId="77777777" w:rsidR="00C82386" w:rsidRPr="00AF672F" w:rsidRDefault="00E66F64">
            <w:pPr>
              <w:spacing w:after="0"/>
              <w:rPr>
                <w:rFonts w:ascii="Times New Roman" w:eastAsia="Times New Roman" w:hAnsi="Times New Roman" w:cs="Times New Roman"/>
              </w:rPr>
            </w:pPr>
            <w:r w:rsidRPr="00AF672F">
              <w:rPr>
                <w:rFonts w:ascii="Times New Roman" w:eastAsia="Times New Roman" w:hAnsi="Times New Roman" w:cs="Times New Roman"/>
              </w:rPr>
              <w:t>Третинний сектор (комерція, банки та інше)</w:t>
            </w:r>
          </w:p>
        </w:tc>
        <w:tc>
          <w:tcPr>
            <w:tcW w:w="2126" w:type="dxa"/>
            <w:vAlign w:val="center"/>
          </w:tcPr>
          <w:p w14:paraId="45635203"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105 304,2</w:t>
            </w:r>
          </w:p>
        </w:tc>
        <w:tc>
          <w:tcPr>
            <w:tcW w:w="2126" w:type="dxa"/>
            <w:shd w:val="clear" w:color="auto" w:fill="auto"/>
            <w:vAlign w:val="center"/>
          </w:tcPr>
          <w:p w14:paraId="0E4E06AC"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5 480,7</w:t>
            </w:r>
          </w:p>
        </w:tc>
        <w:tc>
          <w:tcPr>
            <w:tcW w:w="1701" w:type="dxa"/>
            <w:gridSpan w:val="2"/>
            <w:shd w:val="clear" w:color="auto" w:fill="auto"/>
            <w:vAlign w:val="center"/>
          </w:tcPr>
          <w:p w14:paraId="6262B632" w14:textId="77777777" w:rsidR="00C82386" w:rsidRPr="00227D36" w:rsidRDefault="0065269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5,2%</w:t>
            </w:r>
          </w:p>
        </w:tc>
      </w:tr>
      <w:tr w:rsidR="00652690" w:rsidRPr="00AF672F" w14:paraId="3FB83A01" w14:textId="77777777" w:rsidTr="00652690">
        <w:trPr>
          <w:trHeight w:val="255"/>
          <w:jc w:val="center"/>
        </w:trPr>
        <w:tc>
          <w:tcPr>
            <w:tcW w:w="9889" w:type="dxa"/>
            <w:gridSpan w:val="6"/>
            <w:shd w:val="clear" w:color="auto" w:fill="F2F2F2" w:themeFill="background1" w:themeFillShade="F2"/>
            <w:vAlign w:val="center"/>
          </w:tcPr>
          <w:p w14:paraId="6217A23F" w14:textId="77777777" w:rsidR="00652690" w:rsidRPr="00652690" w:rsidRDefault="00652690" w:rsidP="00652690">
            <w:pPr>
              <w:spacing w:after="0" w:line="240" w:lineRule="auto"/>
              <w:ind w:firstLine="160"/>
              <w:rPr>
                <w:rFonts w:ascii="Times New Roman" w:eastAsia="Times New Roman" w:hAnsi="Times New Roman" w:cs="Times New Roman"/>
              </w:rPr>
            </w:pPr>
            <w:r>
              <w:rPr>
                <w:rFonts w:ascii="Times New Roman" w:eastAsia="Times New Roman" w:hAnsi="Times New Roman" w:cs="Times New Roman"/>
              </w:rPr>
              <w:t>Житлові будівлі</w:t>
            </w:r>
          </w:p>
        </w:tc>
      </w:tr>
      <w:tr w:rsidR="00C82386" w:rsidRPr="00AF672F" w14:paraId="5A4CEA6D" w14:textId="77777777" w:rsidTr="00554CD6">
        <w:trPr>
          <w:trHeight w:val="255"/>
          <w:jc w:val="center"/>
        </w:trPr>
        <w:tc>
          <w:tcPr>
            <w:tcW w:w="513" w:type="dxa"/>
            <w:vAlign w:val="center"/>
          </w:tcPr>
          <w:p w14:paraId="19962084" w14:textId="77777777" w:rsidR="00C82386" w:rsidRPr="00AF672F" w:rsidRDefault="00652690" w:rsidP="0065269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3423" w:type="dxa"/>
            <w:vAlign w:val="center"/>
          </w:tcPr>
          <w:p w14:paraId="2F6A2DDD" w14:textId="77777777" w:rsidR="00C82386" w:rsidRPr="00AF672F" w:rsidRDefault="00E66F64" w:rsidP="00652690">
            <w:pPr>
              <w:spacing w:after="0" w:line="240" w:lineRule="auto"/>
              <w:ind w:firstLine="160"/>
              <w:rPr>
                <w:rFonts w:ascii="Times New Roman" w:eastAsia="Times New Roman" w:hAnsi="Times New Roman" w:cs="Times New Roman"/>
              </w:rPr>
            </w:pPr>
            <w:r w:rsidRPr="00AF672F">
              <w:rPr>
                <w:rFonts w:ascii="Times New Roman" w:eastAsia="Times New Roman" w:hAnsi="Times New Roman" w:cs="Times New Roman"/>
              </w:rPr>
              <w:t>Житлові будівлі</w:t>
            </w:r>
          </w:p>
        </w:tc>
        <w:tc>
          <w:tcPr>
            <w:tcW w:w="2126" w:type="dxa"/>
            <w:vAlign w:val="center"/>
          </w:tcPr>
          <w:p w14:paraId="176E3CD2" w14:textId="77777777" w:rsidR="00C82386" w:rsidRPr="00227D36" w:rsidRDefault="00652690" w:rsidP="00652690">
            <w:pPr>
              <w:spacing w:after="0" w:line="240" w:lineRule="auto"/>
              <w:ind w:firstLine="160"/>
              <w:jc w:val="center"/>
              <w:rPr>
                <w:rFonts w:ascii="Times New Roman" w:eastAsia="Times New Roman" w:hAnsi="Times New Roman" w:cs="Times New Roman"/>
              </w:rPr>
            </w:pPr>
            <w:r>
              <w:rPr>
                <w:rFonts w:ascii="Times New Roman" w:eastAsia="Times New Roman" w:hAnsi="Times New Roman" w:cs="Times New Roman"/>
              </w:rPr>
              <w:t>443 538,8</w:t>
            </w:r>
          </w:p>
        </w:tc>
        <w:tc>
          <w:tcPr>
            <w:tcW w:w="2126" w:type="dxa"/>
            <w:shd w:val="clear" w:color="auto" w:fill="auto"/>
            <w:vAlign w:val="center"/>
          </w:tcPr>
          <w:p w14:paraId="7B200D57" w14:textId="77777777" w:rsidR="00C82386" w:rsidRPr="00227D36" w:rsidRDefault="00652690" w:rsidP="00652690">
            <w:pPr>
              <w:spacing w:after="0" w:line="240" w:lineRule="auto"/>
              <w:ind w:firstLine="160"/>
              <w:jc w:val="center"/>
              <w:rPr>
                <w:rFonts w:ascii="Times New Roman" w:eastAsia="Times New Roman" w:hAnsi="Times New Roman" w:cs="Times New Roman"/>
              </w:rPr>
            </w:pPr>
            <w:r>
              <w:rPr>
                <w:rFonts w:ascii="Times New Roman" w:eastAsia="Times New Roman" w:hAnsi="Times New Roman" w:cs="Times New Roman"/>
              </w:rPr>
              <w:t>121 405,0</w:t>
            </w:r>
          </w:p>
        </w:tc>
        <w:tc>
          <w:tcPr>
            <w:tcW w:w="1701" w:type="dxa"/>
            <w:gridSpan w:val="2"/>
            <w:shd w:val="clear" w:color="auto" w:fill="auto"/>
            <w:vAlign w:val="center"/>
          </w:tcPr>
          <w:p w14:paraId="17ACC6A2" w14:textId="77777777" w:rsidR="00C82386" w:rsidRPr="00652690" w:rsidRDefault="00652690" w:rsidP="00652690">
            <w:pPr>
              <w:spacing w:after="0" w:line="240" w:lineRule="auto"/>
              <w:ind w:firstLine="160"/>
              <w:jc w:val="center"/>
              <w:rPr>
                <w:rFonts w:ascii="Times New Roman" w:eastAsia="Times New Roman" w:hAnsi="Times New Roman" w:cs="Times New Roman"/>
              </w:rPr>
            </w:pPr>
            <w:r>
              <w:rPr>
                <w:rFonts w:ascii="Times New Roman" w:eastAsia="Times New Roman" w:hAnsi="Times New Roman" w:cs="Times New Roman"/>
              </w:rPr>
              <w:t>27,4%</w:t>
            </w:r>
          </w:p>
        </w:tc>
      </w:tr>
      <w:tr w:rsidR="00C82386" w:rsidRPr="00AF672F" w14:paraId="0E1C8FC5" w14:textId="77777777" w:rsidTr="00554CD6">
        <w:trPr>
          <w:trHeight w:val="255"/>
          <w:jc w:val="center"/>
        </w:trPr>
        <w:tc>
          <w:tcPr>
            <w:tcW w:w="9889" w:type="dxa"/>
            <w:gridSpan w:val="6"/>
            <w:shd w:val="clear" w:color="auto" w:fill="F2F2F2"/>
            <w:vAlign w:val="center"/>
          </w:tcPr>
          <w:p w14:paraId="53CA2C91" w14:textId="77777777" w:rsidR="00C82386" w:rsidRPr="00AF672F" w:rsidRDefault="00E66F64">
            <w:pPr>
              <w:spacing w:after="0" w:line="240" w:lineRule="auto"/>
              <w:ind w:firstLine="160"/>
              <w:rPr>
                <w:rFonts w:ascii="Times New Roman" w:eastAsia="Times New Roman" w:hAnsi="Times New Roman" w:cs="Times New Roman"/>
                <w:color w:val="000000"/>
              </w:rPr>
            </w:pPr>
            <w:r w:rsidRPr="00AF672F">
              <w:rPr>
                <w:rFonts w:ascii="Times New Roman" w:eastAsia="Times New Roman" w:hAnsi="Times New Roman" w:cs="Times New Roman"/>
                <w:color w:val="000000"/>
              </w:rPr>
              <w:t>Транспорт</w:t>
            </w:r>
          </w:p>
        </w:tc>
      </w:tr>
      <w:tr w:rsidR="00C82386" w:rsidRPr="00AF672F" w14:paraId="3B1933CC" w14:textId="77777777" w:rsidTr="00554CD6">
        <w:trPr>
          <w:trHeight w:val="255"/>
          <w:jc w:val="center"/>
        </w:trPr>
        <w:tc>
          <w:tcPr>
            <w:tcW w:w="513" w:type="dxa"/>
            <w:vAlign w:val="center"/>
          </w:tcPr>
          <w:p w14:paraId="78C42AEA"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5</w:t>
            </w:r>
            <w:r w:rsidR="00E66F64" w:rsidRPr="00AF672F">
              <w:rPr>
                <w:rFonts w:ascii="Times New Roman" w:eastAsia="Times New Roman" w:hAnsi="Times New Roman" w:cs="Times New Roman"/>
              </w:rPr>
              <w:t>.</w:t>
            </w:r>
          </w:p>
        </w:tc>
        <w:tc>
          <w:tcPr>
            <w:tcW w:w="3423" w:type="dxa"/>
            <w:vAlign w:val="center"/>
          </w:tcPr>
          <w:p w14:paraId="18AF559C"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Муніципальний автотранспорт</w:t>
            </w:r>
          </w:p>
        </w:tc>
        <w:tc>
          <w:tcPr>
            <w:tcW w:w="2126" w:type="dxa"/>
            <w:vAlign w:val="center"/>
          </w:tcPr>
          <w:p w14:paraId="19740C3A"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3 354,0</w:t>
            </w:r>
          </w:p>
        </w:tc>
        <w:tc>
          <w:tcPr>
            <w:tcW w:w="2144" w:type="dxa"/>
            <w:gridSpan w:val="2"/>
            <w:vMerge w:val="restart"/>
            <w:shd w:val="clear" w:color="auto" w:fill="auto"/>
            <w:vAlign w:val="center"/>
          </w:tcPr>
          <w:p w14:paraId="1405DCA6"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13 733,0</w:t>
            </w:r>
          </w:p>
        </w:tc>
        <w:tc>
          <w:tcPr>
            <w:tcW w:w="1683" w:type="dxa"/>
            <w:vMerge w:val="restart"/>
            <w:shd w:val="clear" w:color="auto" w:fill="auto"/>
            <w:vAlign w:val="center"/>
          </w:tcPr>
          <w:p w14:paraId="3FEE7C09" w14:textId="77777777" w:rsidR="00C82386" w:rsidRPr="00227D36" w:rsidRDefault="00652690" w:rsidP="00652690">
            <w:pPr>
              <w:spacing w:after="0"/>
              <w:jc w:val="center"/>
              <w:rPr>
                <w:rFonts w:ascii="Times New Roman" w:eastAsia="Times New Roman" w:hAnsi="Times New Roman" w:cs="Times New Roman"/>
              </w:rPr>
            </w:pPr>
            <w:r>
              <w:rPr>
                <w:rFonts w:ascii="Times New Roman" w:eastAsia="Times New Roman" w:hAnsi="Times New Roman" w:cs="Times New Roman"/>
              </w:rPr>
              <w:t>15,3%</w:t>
            </w:r>
          </w:p>
        </w:tc>
      </w:tr>
      <w:tr w:rsidR="00C82386" w:rsidRPr="00AF672F" w14:paraId="6326048C" w14:textId="77777777" w:rsidTr="00554CD6">
        <w:trPr>
          <w:trHeight w:val="255"/>
          <w:jc w:val="center"/>
        </w:trPr>
        <w:tc>
          <w:tcPr>
            <w:tcW w:w="513" w:type="dxa"/>
            <w:vAlign w:val="center"/>
          </w:tcPr>
          <w:p w14:paraId="50E4DA5F"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6</w:t>
            </w:r>
            <w:r w:rsidR="00E66F64" w:rsidRPr="00AF672F">
              <w:rPr>
                <w:rFonts w:ascii="Times New Roman" w:eastAsia="Times New Roman" w:hAnsi="Times New Roman" w:cs="Times New Roman"/>
              </w:rPr>
              <w:t>.</w:t>
            </w:r>
          </w:p>
        </w:tc>
        <w:tc>
          <w:tcPr>
            <w:tcW w:w="3423" w:type="dxa"/>
            <w:vAlign w:val="center"/>
          </w:tcPr>
          <w:p w14:paraId="769A505D"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Громадський автотранспорт</w:t>
            </w:r>
          </w:p>
        </w:tc>
        <w:tc>
          <w:tcPr>
            <w:tcW w:w="2126" w:type="dxa"/>
            <w:vAlign w:val="center"/>
          </w:tcPr>
          <w:p w14:paraId="190A0888"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32 319,5</w:t>
            </w:r>
          </w:p>
        </w:tc>
        <w:tc>
          <w:tcPr>
            <w:tcW w:w="2144" w:type="dxa"/>
            <w:gridSpan w:val="2"/>
            <w:vMerge/>
            <w:shd w:val="clear" w:color="auto" w:fill="auto"/>
            <w:vAlign w:val="center"/>
          </w:tcPr>
          <w:p w14:paraId="30F60FEA" w14:textId="77777777" w:rsidR="00C82386" w:rsidRPr="00AF672F" w:rsidRDefault="00C82386">
            <w:pPr>
              <w:widowControl w:val="0"/>
              <w:pBdr>
                <w:top w:val="nil"/>
                <w:left w:val="nil"/>
                <w:bottom w:val="nil"/>
                <w:right w:val="nil"/>
                <w:between w:val="nil"/>
              </w:pBdr>
              <w:spacing w:after="0"/>
              <w:rPr>
                <w:rFonts w:ascii="Times New Roman" w:eastAsia="Times New Roman" w:hAnsi="Times New Roman" w:cs="Times New Roman"/>
                <w:highlight w:val="yellow"/>
              </w:rPr>
            </w:pPr>
          </w:p>
        </w:tc>
        <w:tc>
          <w:tcPr>
            <w:tcW w:w="1683" w:type="dxa"/>
            <w:vMerge/>
            <w:shd w:val="clear" w:color="auto" w:fill="auto"/>
            <w:vAlign w:val="center"/>
          </w:tcPr>
          <w:p w14:paraId="6ACD5AEC" w14:textId="77777777" w:rsidR="00C82386" w:rsidRPr="00AF672F" w:rsidRDefault="00C82386">
            <w:pPr>
              <w:widowControl w:val="0"/>
              <w:pBdr>
                <w:top w:val="nil"/>
                <w:left w:val="nil"/>
                <w:bottom w:val="nil"/>
                <w:right w:val="nil"/>
                <w:between w:val="nil"/>
              </w:pBdr>
              <w:spacing w:after="0"/>
              <w:rPr>
                <w:rFonts w:ascii="Times New Roman" w:eastAsia="Times New Roman" w:hAnsi="Times New Roman" w:cs="Times New Roman"/>
                <w:highlight w:val="yellow"/>
              </w:rPr>
            </w:pPr>
          </w:p>
        </w:tc>
      </w:tr>
      <w:tr w:rsidR="00C82386" w:rsidRPr="00AF672F" w14:paraId="0341C231" w14:textId="77777777" w:rsidTr="00554CD6">
        <w:trPr>
          <w:trHeight w:val="255"/>
          <w:jc w:val="center"/>
        </w:trPr>
        <w:tc>
          <w:tcPr>
            <w:tcW w:w="513" w:type="dxa"/>
            <w:vAlign w:val="center"/>
          </w:tcPr>
          <w:p w14:paraId="44894F98"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7</w:t>
            </w:r>
            <w:r w:rsidR="00E66F64" w:rsidRPr="00AF672F">
              <w:rPr>
                <w:rFonts w:ascii="Times New Roman" w:eastAsia="Times New Roman" w:hAnsi="Times New Roman" w:cs="Times New Roman"/>
              </w:rPr>
              <w:t>.</w:t>
            </w:r>
          </w:p>
        </w:tc>
        <w:tc>
          <w:tcPr>
            <w:tcW w:w="3423" w:type="dxa"/>
            <w:vAlign w:val="center"/>
          </w:tcPr>
          <w:p w14:paraId="62BF40CD"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Приватний та комерційний автотранспорт</w:t>
            </w:r>
          </w:p>
        </w:tc>
        <w:tc>
          <w:tcPr>
            <w:tcW w:w="2126" w:type="dxa"/>
            <w:vAlign w:val="center"/>
          </w:tcPr>
          <w:p w14:paraId="5E25D65B" w14:textId="77777777" w:rsidR="00C82386" w:rsidRPr="00227D36"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54 274,3</w:t>
            </w:r>
          </w:p>
        </w:tc>
        <w:tc>
          <w:tcPr>
            <w:tcW w:w="2144" w:type="dxa"/>
            <w:gridSpan w:val="2"/>
            <w:vMerge/>
            <w:shd w:val="clear" w:color="auto" w:fill="auto"/>
            <w:vAlign w:val="center"/>
          </w:tcPr>
          <w:p w14:paraId="6C9D51C0" w14:textId="77777777" w:rsidR="00C82386" w:rsidRPr="00AF672F" w:rsidRDefault="00C82386">
            <w:pPr>
              <w:widowControl w:val="0"/>
              <w:pBdr>
                <w:top w:val="nil"/>
                <w:left w:val="nil"/>
                <w:bottom w:val="nil"/>
                <w:right w:val="nil"/>
                <w:between w:val="nil"/>
              </w:pBdr>
              <w:spacing w:after="0"/>
              <w:rPr>
                <w:rFonts w:ascii="Times New Roman" w:eastAsia="Times New Roman" w:hAnsi="Times New Roman" w:cs="Times New Roman"/>
                <w:highlight w:val="yellow"/>
              </w:rPr>
            </w:pPr>
          </w:p>
        </w:tc>
        <w:tc>
          <w:tcPr>
            <w:tcW w:w="1683" w:type="dxa"/>
            <w:vMerge/>
            <w:shd w:val="clear" w:color="auto" w:fill="auto"/>
            <w:vAlign w:val="center"/>
          </w:tcPr>
          <w:p w14:paraId="6A5613C8" w14:textId="77777777" w:rsidR="00C82386" w:rsidRPr="00AF672F" w:rsidRDefault="00C82386">
            <w:pPr>
              <w:widowControl w:val="0"/>
              <w:pBdr>
                <w:top w:val="nil"/>
                <w:left w:val="nil"/>
                <w:bottom w:val="nil"/>
                <w:right w:val="nil"/>
                <w:between w:val="nil"/>
              </w:pBdr>
              <w:spacing w:after="0"/>
              <w:rPr>
                <w:rFonts w:ascii="Times New Roman" w:eastAsia="Times New Roman" w:hAnsi="Times New Roman" w:cs="Times New Roman"/>
                <w:highlight w:val="yellow"/>
              </w:rPr>
            </w:pPr>
          </w:p>
        </w:tc>
      </w:tr>
      <w:tr w:rsidR="00C82386" w:rsidRPr="00AF672F" w14:paraId="430AEFE8" w14:textId="77777777" w:rsidTr="00554CD6">
        <w:trPr>
          <w:trHeight w:val="255"/>
          <w:jc w:val="center"/>
        </w:trPr>
        <w:tc>
          <w:tcPr>
            <w:tcW w:w="9889" w:type="dxa"/>
            <w:gridSpan w:val="6"/>
            <w:shd w:val="clear" w:color="auto" w:fill="F2F2F2"/>
            <w:vAlign w:val="center"/>
          </w:tcPr>
          <w:p w14:paraId="0CC37FCF" w14:textId="77777777" w:rsidR="00C82386" w:rsidRPr="00AF672F" w:rsidRDefault="00E66F64">
            <w:pPr>
              <w:spacing w:after="0"/>
              <w:ind w:firstLine="160"/>
              <w:rPr>
                <w:rFonts w:ascii="Times New Roman" w:eastAsia="Times New Roman" w:hAnsi="Times New Roman" w:cs="Times New Roman"/>
              </w:rPr>
            </w:pPr>
            <w:r w:rsidRPr="00AF672F">
              <w:rPr>
                <w:rFonts w:ascii="Times New Roman" w:eastAsia="Times New Roman" w:hAnsi="Times New Roman" w:cs="Times New Roman"/>
              </w:rPr>
              <w:t>Інші сектори</w:t>
            </w:r>
          </w:p>
        </w:tc>
      </w:tr>
      <w:tr w:rsidR="00C82386" w:rsidRPr="00AF672F" w14:paraId="5E3BD8FE" w14:textId="77777777" w:rsidTr="00554CD6">
        <w:trPr>
          <w:trHeight w:val="255"/>
          <w:jc w:val="center"/>
        </w:trPr>
        <w:tc>
          <w:tcPr>
            <w:tcW w:w="513" w:type="dxa"/>
            <w:vAlign w:val="center"/>
          </w:tcPr>
          <w:p w14:paraId="15A28199"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8</w:t>
            </w:r>
            <w:r w:rsidR="00E66F64" w:rsidRPr="00AF672F">
              <w:rPr>
                <w:rFonts w:ascii="Times New Roman" w:eastAsia="Times New Roman" w:hAnsi="Times New Roman" w:cs="Times New Roman"/>
              </w:rPr>
              <w:t>.</w:t>
            </w:r>
          </w:p>
        </w:tc>
        <w:tc>
          <w:tcPr>
            <w:tcW w:w="3423" w:type="dxa"/>
            <w:vAlign w:val="center"/>
          </w:tcPr>
          <w:p w14:paraId="16528B79"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Місцеве виробництво електроенергії</w:t>
            </w:r>
          </w:p>
        </w:tc>
        <w:tc>
          <w:tcPr>
            <w:tcW w:w="2126" w:type="dxa"/>
            <w:vMerge w:val="restart"/>
            <w:vAlign w:val="center"/>
          </w:tcPr>
          <w:p w14:paraId="77BD5FF8" w14:textId="77777777" w:rsidR="00C82386" w:rsidRPr="00227D36" w:rsidRDefault="0065269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Х</w:t>
            </w:r>
          </w:p>
        </w:tc>
        <w:tc>
          <w:tcPr>
            <w:tcW w:w="2126" w:type="dxa"/>
            <w:shd w:val="clear" w:color="auto" w:fill="auto"/>
            <w:vAlign w:val="center"/>
          </w:tcPr>
          <w:p w14:paraId="3717A415" w14:textId="77777777" w:rsidR="00C82386" w:rsidRPr="00227D36" w:rsidRDefault="00455443">
            <w:pPr>
              <w:spacing w:after="0"/>
              <w:jc w:val="center"/>
              <w:rPr>
                <w:rFonts w:ascii="Times New Roman" w:eastAsia="Times New Roman" w:hAnsi="Times New Roman" w:cs="Times New Roman"/>
              </w:rPr>
            </w:pPr>
            <w:r>
              <w:rPr>
                <w:rFonts w:ascii="Times New Roman" w:eastAsia="Times New Roman" w:hAnsi="Times New Roman" w:cs="Times New Roman"/>
              </w:rPr>
              <w:t>42 567,0</w:t>
            </w:r>
          </w:p>
        </w:tc>
        <w:tc>
          <w:tcPr>
            <w:tcW w:w="1701" w:type="dxa"/>
            <w:gridSpan w:val="2"/>
            <w:shd w:val="clear" w:color="auto" w:fill="auto"/>
            <w:vAlign w:val="center"/>
          </w:tcPr>
          <w:p w14:paraId="20FE7E31" w14:textId="77777777" w:rsidR="00C82386" w:rsidRPr="00227D36" w:rsidRDefault="00455443">
            <w:pPr>
              <w:spacing w:after="0"/>
              <w:jc w:val="center"/>
              <w:rPr>
                <w:rFonts w:ascii="Times New Roman" w:eastAsia="Times New Roman" w:hAnsi="Times New Roman" w:cs="Times New Roman"/>
              </w:rPr>
            </w:pPr>
            <w:r>
              <w:rPr>
                <w:rFonts w:ascii="Times New Roman" w:eastAsia="Times New Roman" w:hAnsi="Times New Roman" w:cs="Times New Roman"/>
              </w:rPr>
              <w:t>Х</w:t>
            </w:r>
          </w:p>
        </w:tc>
      </w:tr>
      <w:tr w:rsidR="00C82386" w:rsidRPr="00AF672F" w14:paraId="4CF07816" w14:textId="77777777" w:rsidTr="00554CD6">
        <w:trPr>
          <w:trHeight w:val="255"/>
          <w:jc w:val="center"/>
        </w:trPr>
        <w:tc>
          <w:tcPr>
            <w:tcW w:w="513" w:type="dxa"/>
            <w:vAlign w:val="center"/>
          </w:tcPr>
          <w:p w14:paraId="39007525"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9</w:t>
            </w:r>
            <w:r w:rsidR="00E66F64" w:rsidRPr="00AF672F">
              <w:rPr>
                <w:rFonts w:ascii="Times New Roman" w:eastAsia="Times New Roman" w:hAnsi="Times New Roman" w:cs="Times New Roman"/>
              </w:rPr>
              <w:t>.</w:t>
            </w:r>
          </w:p>
        </w:tc>
        <w:tc>
          <w:tcPr>
            <w:tcW w:w="3423" w:type="dxa"/>
            <w:vAlign w:val="center"/>
          </w:tcPr>
          <w:p w14:paraId="619AE35B"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Місцеве виробництво тепла/холоду</w:t>
            </w:r>
          </w:p>
        </w:tc>
        <w:tc>
          <w:tcPr>
            <w:tcW w:w="2126" w:type="dxa"/>
            <w:vMerge/>
            <w:vAlign w:val="center"/>
          </w:tcPr>
          <w:p w14:paraId="0E110EE0" w14:textId="77777777" w:rsidR="00C82386" w:rsidRPr="00227D3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126" w:type="dxa"/>
            <w:shd w:val="clear" w:color="auto" w:fill="auto"/>
            <w:vAlign w:val="center"/>
          </w:tcPr>
          <w:p w14:paraId="3F7461AB" w14:textId="77777777" w:rsidR="00C82386" w:rsidRPr="00227D36" w:rsidRDefault="00455443">
            <w:pPr>
              <w:spacing w:after="0"/>
              <w:jc w:val="center"/>
              <w:rPr>
                <w:rFonts w:ascii="Times New Roman" w:eastAsia="Times New Roman" w:hAnsi="Times New Roman" w:cs="Times New Roman"/>
              </w:rPr>
            </w:pPr>
            <w:r>
              <w:rPr>
                <w:rFonts w:ascii="Times New Roman" w:eastAsia="Times New Roman" w:hAnsi="Times New Roman" w:cs="Times New Roman"/>
              </w:rPr>
              <w:t>15 639,0</w:t>
            </w:r>
          </w:p>
        </w:tc>
        <w:tc>
          <w:tcPr>
            <w:tcW w:w="1701" w:type="dxa"/>
            <w:gridSpan w:val="2"/>
            <w:shd w:val="clear" w:color="auto" w:fill="auto"/>
            <w:vAlign w:val="center"/>
          </w:tcPr>
          <w:p w14:paraId="6ED3C319" w14:textId="77777777" w:rsidR="00C82386" w:rsidRPr="00227D36" w:rsidRDefault="00455443">
            <w:pPr>
              <w:spacing w:after="0"/>
              <w:jc w:val="center"/>
              <w:rPr>
                <w:rFonts w:ascii="Times New Roman" w:eastAsia="Times New Roman" w:hAnsi="Times New Roman" w:cs="Times New Roman"/>
              </w:rPr>
            </w:pPr>
            <w:r>
              <w:rPr>
                <w:rFonts w:ascii="Times New Roman" w:eastAsia="Times New Roman" w:hAnsi="Times New Roman" w:cs="Times New Roman"/>
              </w:rPr>
              <w:t>Х</w:t>
            </w:r>
          </w:p>
        </w:tc>
      </w:tr>
      <w:tr w:rsidR="00C82386" w:rsidRPr="00AF672F" w14:paraId="524CBF41" w14:textId="77777777" w:rsidTr="00554CD6">
        <w:trPr>
          <w:trHeight w:val="255"/>
          <w:jc w:val="center"/>
        </w:trPr>
        <w:tc>
          <w:tcPr>
            <w:tcW w:w="9889" w:type="dxa"/>
            <w:gridSpan w:val="6"/>
            <w:shd w:val="clear" w:color="auto" w:fill="F2F2F2"/>
            <w:vAlign w:val="center"/>
          </w:tcPr>
          <w:p w14:paraId="403BD44F" w14:textId="77777777" w:rsidR="00C82386" w:rsidRPr="00AF672F" w:rsidRDefault="00E66F64" w:rsidP="007B1C91">
            <w:pPr>
              <w:spacing w:after="0"/>
              <w:ind w:firstLine="160"/>
              <w:rPr>
                <w:rFonts w:ascii="Times New Roman" w:eastAsia="Times New Roman" w:hAnsi="Times New Roman" w:cs="Times New Roman"/>
              </w:rPr>
            </w:pPr>
            <w:r w:rsidRPr="00AF672F">
              <w:rPr>
                <w:rFonts w:ascii="Times New Roman" w:eastAsia="Times New Roman" w:hAnsi="Times New Roman" w:cs="Times New Roman"/>
              </w:rPr>
              <w:t>Сектор</w:t>
            </w:r>
            <w:r w:rsidR="007B1C91" w:rsidRPr="00AF672F">
              <w:rPr>
                <w:rFonts w:ascii="Times New Roman" w:eastAsia="Times New Roman" w:hAnsi="Times New Roman" w:cs="Times New Roman"/>
              </w:rPr>
              <w:t>и</w:t>
            </w:r>
            <w:r w:rsidRPr="00AF672F">
              <w:rPr>
                <w:rFonts w:ascii="Times New Roman" w:eastAsia="Times New Roman" w:hAnsi="Times New Roman" w:cs="Times New Roman"/>
              </w:rPr>
              <w:t>, що не пов’язані з енергетикою</w:t>
            </w:r>
          </w:p>
        </w:tc>
      </w:tr>
      <w:tr w:rsidR="00C82386" w:rsidRPr="00AF672F" w14:paraId="0C4FDF8E" w14:textId="77777777" w:rsidTr="00554CD6">
        <w:trPr>
          <w:trHeight w:val="255"/>
          <w:jc w:val="center"/>
        </w:trPr>
        <w:tc>
          <w:tcPr>
            <w:tcW w:w="513" w:type="dxa"/>
            <w:vAlign w:val="center"/>
          </w:tcPr>
          <w:p w14:paraId="6551F14F" w14:textId="77777777" w:rsidR="00C82386" w:rsidRPr="00AF672F" w:rsidRDefault="00652690">
            <w:pPr>
              <w:spacing w:after="0"/>
              <w:jc w:val="center"/>
              <w:rPr>
                <w:rFonts w:ascii="Times New Roman" w:eastAsia="Times New Roman" w:hAnsi="Times New Roman" w:cs="Times New Roman"/>
              </w:rPr>
            </w:pPr>
            <w:r>
              <w:rPr>
                <w:rFonts w:ascii="Times New Roman" w:eastAsia="Times New Roman" w:hAnsi="Times New Roman" w:cs="Times New Roman"/>
              </w:rPr>
              <w:t>10</w:t>
            </w:r>
            <w:r w:rsidR="00E66F64" w:rsidRPr="00AF672F">
              <w:rPr>
                <w:rFonts w:ascii="Times New Roman" w:eastAsia="Times New Roman" w:hAnsi="Times New Roman" w:cs="Times New Roman"/>
              </w:rPr>
              <w:t>.</w:t>
            </w:r>
          </w:p>
        </w:tc>
        <w:tc>
          <w:tcPr>
            <w:tcW w:w="3423" w:type="dxa"/>
            <w:vAlign w:val="center"/>
          </w:tcPr>
          <w:p w14:paraId="13A35598" w14:textId="77777777" w:rsidR="00C82386" w:rsidRPr="00AF672F" w:rsidRDefault="00E66F64">
            <w:pPr>
              <w:spacing w:after="0" w:line="240" w:lineRule="auto"/>
              <w:rPr>
                <w:rFonts w:ascii="Times New Roman" w:eastAsia="Times New Roman" w:hAnsi="Times New Roman" w:cs="Times New Roman"/>
              </w:rPr>
            </w:pPr>
            <w:r w:rsidRPr="00AF672F">
              <w:rPr>
                <w:rFonts w:ascii="Times New Roman" w:eastAsia="Times New Roman" w:hAnsi="Times New Roman" w:cs="Times New Roman"/>
              </w:rPr>
              <w:t>Управління відходами</w:t>
            </w:r>
          </w:p>
        </w:tc>
        <w:tc>
          <w:tcPr>
            <w:tcW w:w="2126" w:type="dxa"/>
            <w:vAlign w:val="center"/>
          </w:tcPr>
          <w:p w14:paraId="7C175F4A" w14:textId="77777777" w:rsidR="00C82386" w:rsidRPr="00AF672F" w:rsidRDefault="00C82386">
            <w:pPr>
              <w:spacing w:after="0" w:line="240" w:lineRule="auto"/>
              <w:jc w:val="center"/>
              <w:rPr>
                <w:rFonts w:ascii="Times New Roman" w:eastAsia="Times New Roman" w:hAnsi="Times New Roman" w:cs="Times New Roman"/>
                <w:color w:val="000000"/>
              </w:rPr>
            </w:pPr>
          </w:p>
        </w:tc>
        <w:tc>
          <w:tcPr>
            <w:tcW w:w="2126" w:type="dxa"/>
            <w:shd w:val="clear" w:color="auto" w:fill="auto"/>
            <w:vAlign w:val="center"/>
          </w:tcPr>
          <w:p w14:paraId="27AF8721" w14:textId="77777777" w:rsidR="00C82386" w:rsidRPr="00AF672F" w:rsidRDefault="00AF672F">
            <w:pPr>
              <w:spacing w:after="0"/>
              <w:jc w:val="center"/>
              <w:rPr>
                <w:rFonts w:ascii="Times New Roman" w:eastAsia="Times New Roman" w:hAnsi="Times New Roman" w:cs="Times New Roman"/>
              </w:rPr>
            </w:pPr>
            <w:r w:rsidRPr="00AF672F">
              <w:rPr>
                <w:rFonts w:ascii="Times New Roman" w:eastAsia="Times New Roman" w:hAnsi="Times New Roman" w:cs="Times New Roman"/>
              </w:rPr>
              <w:t>51 663,2</w:t>
            </w:r>
          </w:p>
        </w:tc>
        <w:tc>
          <w:tcPr>
            <w:tcW w:w="1701" w:type="dxa"/>
            <w:gridSpan w:val="2"/>
            <w:shd w:val="clear" w:color="auto" w:fill="auto"/>
            <w:vAlign w:val="center"/>
          </w:tcPr>
          <w:p w14:paraId="13DFD089" w14:textId="77777777" w:rsidR="00C82386" w:rsidRPr="00AF672F" w:rsidRDefault="00AF672F">
            <w:pPr>
              <w:spacing w:after="0"/>
              <w:jc w:val="center"/>
              <w:rPr>
                <w:rFonts w:ascii="Times New Roman" w:eastAsia="Times New Roman" w:hAnsi="Times New Roman" w:cs="Times New Roman"/>
              </w:rPr>
            </w:pPr>
            <w:r w:rsidRPr="00AF672F">
              <w:rPr>
                <w:rFonts w:ascii="Times New Roman" w:hAnsi="Times New Roman" w:cs="Times New Roman"/>
                <w:color w:val="000000"/>
              </w:rPr>
              <w:t>Х</w:t>
            </w:r>
            <w:r w:rsidR="00E66F64" w:rsidRPr="00AF672F">
              <w:rPr>
                <w:rFonts w:ascii="Times New Roman" w:hAnsi="Times New Roman" w:cs="Times New Roman"/>
                <w:color w:val="000000"/>
              </w:rPr>
              <w:t> </w:t>
            </w:r>
          </w:p>
        </w:tc>
      </w:tr>
      <w:tr w:rsidR="00C82386" w:rsidRPr="00AF672F" w14:paraId="4B737B41" w14:textId="77777777" w:rsidTr="00554CD6">
        <w:trPr>
          <w:trHeight w:val="449"/>
          <w:jc w:val="center"/>
        </w:trPr>
        <w:tc>
          <w:tcPr>
            <w:tcW w:w="513" w:type="dxa"/>
            <w:vAlign w:val="center"/>
          </w:tcPr>
          <w:p w14:paraId="6F3FFE82" w14:textId="77777777" w:rsidR="00C82386" w:rsidRPr="00AF672F" w:rsidRDefault="00C82386">
            <w:pPr>
              <w:spacing w:after="0"/>
              <w:jc w:val="center"/>
              <w:rPr>
                <w:rFonts w:ascii="Times New Roman" w:eastAsia="Times New Roman" w:hAnsi="Times New Roman" w:cs="Times New Roman"/>
              </w:rPr>
            </w:pPr>
          </w:p>
        </w:tc>
        <w:tc>
          <w:tcPr>
            <w:tcW w:w="3423" w:type="dxa"/>
            <w:vAlign w:val="center"/>
          </w:tcPr>
          <w:p w14:paraId="0513BCB6" w14:textId="77777777" w:rsidR="00C82386" w:rsidRPr="007C0AF7" w:rsidRDefault="00E66F64" w:rsidP="007C0AF7">
            <w:pPr>
              <w:spacing w:after="0"/>
              <w:jc w:val="right"/>
              <w:rPr>
                <w:rFonts w:ascii="Times New Roman" w:eastAsia="Times New Roman" w:hAnsi="Times New Roman" w:cs="Times New Roman"/>
                <w:b/>
                <w:sz w:val="24"/>
                <w:szCs w:val="24"/>
              </w:rPr>
            </w:pPr>
            <w:r w:rsidRPr="007C0AF7">
              <w:rPr>
                <w:rFonts w:ascii="Times New Roman" w:eastAsia="Times New Roman" w:hAnsi="Times New Roman" w:cs="Times New Roman"/>
                <w:b/>
                <w:sz w:val="24"/>
                <w:szCs w:val="24"/>
              </w:rPr>
              <w:t>Разом</w:t>
            </w:r>
          </w:p>
        </w:tc>
        <w:tc>
          <w:tcPr>
            <w:tcW w:w="2126" w:type="dxa"/>
            <w:vAlign w:val="center"/>
          </w:tcPr>
          <w:p w14:paraId="613B52C7" w14:textId="77777777" w:rsidR="00C82386" w:rsidRPr="007C0AF7" w:rsidRDefault="005238E7">
            <w:pPr>
              <w:spacing w:after="0"/>
              <w:jc w:val="center"/>
              <w:rPr>
                <w:rFonts w:ascii="Times New Roman" w:eastAsia="Times New Roman" w:hAnsi="Times New Roman" w:cs="Times New Roman"/>
                <w:b/>
                <w:color w:val="000000"/>
                <w:sz w:val="24"/>
                <w:szCs w:val="24"/>
              </w:rPr>
            </w:pPr>
            <w:r w:rsidRPr="007C0AF7">
              <w:rPr>
                <w:rFonts w:ascii="Times New Roman" w:eastAsia="Times New Roman" w:hAnsi="Times New Roman" w:cs="Times New Roman"/>
                <w:b/>
                <w:color w:val="000000"/>
                <w:sz w:val="24"/>
                <w:szCs w:val="24"/>
              </w:rPr>
              <w:t>742 987,6</w:t>
            </w:r>
          </w:p>
        </w:tc>
        <w:tc>
          <w:tcPr>
            <w:tcW w:w="2126" w:type="dxa"/>
            <w:shd w:val="clear" w:color="auto" w:fill="auto"/>
            <w:vAlign w:val="center"/>
          </w:tcPr>
          <w:p w14:paraId="3BE39321" w14:textId="77777777" w:rsidR="00C82386" w:rsidRPr="007C0AF7" w:rsidRDefault="005238E7" w:rsidP="005238E7">
            <w:pPr>
              <w:spacing w:after="0"/>
              <w:jc w:val="center"/>
              <w:rPr>
                <w:rFonts w:ascii="Times New Roman" w:eastAsia="Times New Roman" w:hAnsi="Times New Roman" w:cs="Times New Roman"/>
                <w:b/>
                <w:color w:val="000000"/>
                <w:sz w:val="24"/>
                <w:szCs w:val="24"/>
              </w:rPr>
            </w:pPr>
            <w:r w:rsidRPr="007C0AF7">
              <w:rPr>
                <w:rFonts w:ascii="Times New Roman" w:eastAsia="Times New Roman" w:hAnsi="Times New Roman" w:cs="Times New Roman"/>
                <w:b/>
                <w:color w:val="000000"/>
                <w:sz w:val="24"/>
                <w:szCs w:val="24"/>
              </w:rPr>
              <w:t>287 359</w:t>
            </w:r>
            <w:r w:rsidR="00E66F64" w:rsidRPr="007C0AF7">
              <w:rPr>
                <w:rFonts w:ascii="Times New Roman" w:eastAsia="Times New Roman" w:hAnsi="Times New Roman" w:cs="Times New Roman"/>
                <w:b/>
                <w:color w:val="000000"/>
                <w:sz w:val="24"/>
                <w:szCs w:val="24"/>
              </w:rPr>
              <w:t>,</w:t>
            </w:r>
            <w:r w:rsidRPr="007C0AF7">
              <w:rPr>
                <w:rFonts w:ascii="Times New Roman" w:eastAsia="Times New Roman" w:hAnsi="Times New Roman" w:cs="Times New Roman"/>
                <w:b/>
                <w:color w:val="000000"/>
                <w:sz w:val="24"/>
                <w:szCs w:val="24"/>
              </w:rPr>
              <w:t>7</w:t>
            </w:r>
          </w:p>
        </w:tc>
        <w:tc>
          <w:tcPr>
            <w:tcW w:w="1701" w:type="dxa"/>
            <w:gridSpan w:val="2"/>
            <w:shd w:val="clear" w:color="auto" w:fill="auto"/>
            <w:vAlign w:val="center"/>
          </w:tcPr>
          <w:p w14:paraId="249035FA" w14:textId="77777777" w:rsidR="00C82386" w:rsidRPr="007C0AF7" w:rsidRDefault="005238E7">
            <w:pPr>
              <w:spacing w:after="0"/>
              <w:jc w:val="center"/>
              <w:rPr>
                <w:rFonts w:ascii="Times New Roman" w:eastAsia="Times New Roman" w:hAnsi="Times New Roman" w:cs="Times New Roman"/>
                <w:b/>
                <w:color w:val="000000"/>
                <w:sz w:val="24"/>
                <w:szCs w:val="24"/>
              </w:rPr>
            </w:pPr>
            <w:r w:rsidRPr="007C0AF7">
              <w:rPr>
                <w:rFonts w:ascii="Times New Roman" w:eastAsia="Times New Roman" w:hAnsi="Times New Roman" w:cs="Times New Roman"/>
                <w:b/>
                <w:color w:val="000000"/>
                <w:sz w:val="24"/>
                <w:szCs w:val="24"/>
              </w:rPr>
              <w:t>38</w:t>
            </w:r>
            <w:r w:rsidR="00E66F64" w:rsidRPr="007C0AF7">
              <w:rPr>
                <w:rFonts w:ascii="Times New Roman" w:eastAsia="Times New Roman" w:hAnsi="Times New Roman" w:cs="Times New Roman"/>
                <w:b/>
                <w:color w:val="000000"/>
                <w:sz w:val="24"/>
                <w:szCs w:val="24"/>
              </w:rPr>
              <w:t>,7%</w:t>
            </w:r>
          </w:p>
        </w:tc>
      </w:tr>
    </w:tbl>
    <w:p w14:paraId="284C58BD" w14:textId="77777777" w:rsidR="00C82386" w:rsidRDefault="00E66F64">
      <w:pPr>
        <w:keepNext/>
        <w:keepLines/>
        <w:numPr>
          <w:ilvl w:val="1"/>
          <w:numId w:val="45"/>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12" w:name="_heading=h.26in1rg" w:colFirst="0" w:colLast="0"/>
      <w:bookmarkEnd w:id="12"/>
      <w:r>
        <w:rPr>
          <w:rFonts w:ascii="Times New Roman" w:eastAsia="Times New Roman" w:hAnsi="Times New Roman" w:cs="Times New Roman"/>
          <w:b/>
          <w:color w:val="000000"/>
          <w:sz w:val="24"/>
          <w:szCs w:val="24"/>
        </w:rPr>
        <w:t>Організаційна структура на виконання ПДСЕРК</w:t>
      </w:r>
    </w:p>
    <w:p w14:paraId="13F50243"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Однією з базових умов виконання зобов`язань передбачених Угодою Мерів є оптимізація міських управлінських структур, забезпечення їх компетентними кадрами, а також визначення ключових структур, які будуть задіяні в процесі розробки і реалізації ПДСЕРК. </w:t>
      </w:r>
    </w:p>
    <w:p w14:paraId="39646F46" w14:textId="77777777" w:rsidR="00C82386" w:rsidRDefault="00E66F64">
      <w:pPr>
        <w:spacing w:after="0"/>
        <w:ind w:firstLine="708"/>
        <w:jc w:val="both"/>
        <w:rPr>
          <w:rFonts w:ascii="Times New Roman" w:eastAsia="Times New Roman" w:hAnsi="Times New Roman" w:cs="Times New Roman"/>
          <w:strike/>
          <w:sz w:val="24"/>
          <w:szCs w:val="24"/>
        </w:rPr>
      </w:pPr>
      <w:r>
        <w:rPr>
          <w:rFonts w:ascii="Times New Roman" w:eastAsia="Times New Roman" w:hAnsi="Times New Roman" w:cs="Times New Roman"/>
          <w:sz w:val="24"/>
          <w:szCs w:val="24"/>
        </w:rPr>
        <w:t>З метою координації дій всіх учасників місцевого енергетичного ринку та структур, що відповідають за інфраструктуру, забезпечення сталого енергетичного розвитку Житомирської міської територіальної громади розпорядженням міського голови створено робочу групу №727 від 14.08.2024 р. «Про створення робочої групи з впровадження Європейської енергетичної відзнаки та реалізації місцевої енергетичної політики». Робоча група з впровадження Європейської енергетичної відзнаки та реалізації місцевої енергетичної та кліматичної політики (далі – робоча група) є постійно діючим органом, що утворюється для координації дій з впровадження Європейської енергетичної відзнаки та реалізації місцевої енергетичної та кліматичної політики Житомирської міської територіальної громади.</w:t>
      </w:r>
    </w:p>
    <w:p w14:paraId="5D0DAD5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Робочу групу очолює перший заступник міського голови з питань діяльності виконавчих органів ради. Голова робочої групи здійснює керівництво діяльністю робочої групи; підписує документи від імені робочої групи; представляє інтереси та виступає від імені робочої групи у відносинах з органами виконавчої влади та місцевого самоврядування, підприємствами, установами та організаціями. Координатором робочої групи є начальник відділу інфраструктурних проектів, енергоефективності та промоцій департаменту економічного розвитку Житомирської міської ради. Координатор робочої групи скликає та забезпечує організацію її засідань, веде протокол робочої групи.</w:t>
      </w:r>
    </w:p>
    <w:p w14:paraId="70BFC56F"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Формою роботи робочої групи є засідання, що проводяться за рішенням її голови, але не рідше ніж один раз на квартал. </w:t>
      </w:r>
    </w:p>
    <w:p w14:paraId="08062392"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Основними завданнями робочої групи є:</w:t>
      </w:r>
    </w:p>
    <w:p w14:paraId="6E8F4F69" w14:textId="77777777" w:rsidR="00C82386" w:rsidRDefault="00E66F64">
      <w:pPr>
        <w:numPr>
          <w:ilvl w:val="0"/>
          <w:numId w:val="8"/>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здійснення організаційно-технічних заходів для впровадження Європейської енергетичної відзнаки та імплементації Директиви ЄС з енергоефективності;</w:t>
      </w:r>
    </w:p>
    <w:p w14:paraId="0AE651E7" w14:textId="77777777" w:rsidR="00C82386" w:rsidRDefault="00E66F64">
      <w:pPr>
        <w:numPr>
          <w:ilvl w:val="0"/>
          <w:numId w:val="8"/>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координація співпраці виконавчих органів міської ради, комунальних підприємств, установ, закладів, задіяних у реалізації енергетичної та кліматичної політики Житомирської міської територіальної громади;</w:t>
      </w:r>
    </w:p>
    <w:p w14:paraId="40E0CDFB" w14:textId="77777777" w:rsidR="00C82386" w:rsidRDefault="00E66F64">
      <w:pPr>
        <w:numPr>
          <w:ilvl w:val="0"/>
          <w:numId w:val="8"/>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визначення шляхів, механізмів та способів вирішення проблемних питань, що виникають під час реалізації місцевої енергетичної та кліматичної політики;</w:t>
      </w:r>
    </w:p>
    <w:p w14:paraId="0B4ADF78" w14:textId="77777777" w:rsidR="00C82386" w:rsidRDefault="00E66F64">
      <w:pPr>
        <w:numPr>
          <w:ilvl w:val="0"/>
          <w:numId w:val="8"/>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підготовка пропозицій щодо підвищення ефективності діяльності виконавчих органів міської ради, комунальних підприємств, установ, закладів при реалізації місцевої енергетичної та кліматичної політики.</w:t>
      </w:r>
    </w:p>
    <w:p w14:paraId="526BA46F"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Контактною особою від Житомирської міської ради, яка здійснюватиме комунікацію щодо ходу підготовки та виконання ПДСЕРК визначено координатора робочої групи. </w:t>
      </w:r>
    </w:p>
    <w:p w14:paraId="069005C1" w14:textId="77777777" w:rsidR="00C82386" w:rsidRDefault="00E66F64" w:rsidP="00802C80">
      <w:pP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66DC63F9" wp14:editId="2FF43EAB">
            <wp:extent cx="5939790" cy="3108325"/>
            <wp:effectExtent l="0" t="0" r="0" b="0"/>
            <wp:docPr id="2144252012"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12"/>
                    <a:srcRect/>
                    <a:stretch>
                      <a:fillRect/>
                    </a:stretch>
                  </pic:blipFill>
                  <pic:spPr>
                    <a:xfrm>
                      <a:off x="0" y="0"/>
                      <a:ext cx="5939790" cy="3108325"/>
                    </a:xfrm>
                    <a:prstGeom prst="rect">
                      <a:avLst/>
                    </a:prstGeom>
                    <a:ln/>
                  </pic:spPr>
                </pic:pic>
              </a:graphicData>
            </a:graphic>
          </wp:inline>
        </w:drawing>
      </w:r>
    </w:p>
    <w:p w14:paraId="5E395EE8" w14:textId="77777777" w:rsidR="00C82386" w:rsidRDefault="00E66F64">
      <w:p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1.1. Організаційна структура робочої групи з реалізації місцевої енергетичної політики та впровадження Європейської енергетичної відзнаки</w:t>
      </w:r>
    </w:p>
    <w:p w14:paraId="59FAC10C" w14:textId="77777777" w:rsidR="00C82386" w:rsidRDefault="00E66F64">
      <w:pPr>
        <w:keepNext/>
        <w:keepLines/>
        <w:numPr>
          <w:ilvl w:val="1"/>
          <w:numId w:val="45"/>
        </w:numPr>
        <w:pBdr>
          <w:top w:val="nil"/>
          <w:left w:val="nil"/>
          <w:bottom w:val="nil"/>
          <w:right w:val="nil"/>
          <w:between w:val="nil"/>
        </w:pBdr>
        <w:spacing w:before="200" w:after="0"/>
        <w:ind w:hanging="780"/>
        <w:rPr>
          <w:rFonts w:ascii="Times New Roman" w:eastAsia="Times New Roman" w:hAnsi="Times New Roman" w:cs="Times New Roman"/>
          <w:b/>
          <w:color w:val="000000"/>
          <w:sz w:val="24"/>
          <w:szCs w:val="24"/>
        </w:rPr>
      </w:pPr>
      <w:bookmarkStart w:id="13" w:name="_heading=h.lnxbz9" w:colFirst="0" w:colLast="0"/>
      <w:bookmarkEnd w:id="13"/>
      <w:r>
        <w:rPr>
          <w:rFonts w:ascii="Times New Roman" w:eastAsia="Times New Roman" w:hAnsi="Times New Roman" w:cs="Times New Roman"/>
          <w:b/>
          <w:color w:val="000000"/>
          <w:sz w:val="24"/>
          <w:szCs w:val="24"/>
        </w:rPr>
        <w:t>Залучення зацікавлених сторін</w:t>
      </w:r>
    </w:p>
    <w:p w14:paraId="03CCD03D" w14:textId="77777777" w:rsidR="00811C9D" w:rsidRDefault="00E66F64" w:rsidP="00811C9D">
      <w:pPr>
        <w:pBdr>
          <w:top w:val="nil"/>
          <w:left w:val="nil"/>
          <w:bottom w:val="nil"/>
          <w:right w:val="nil"/>
          <w:between w:val="nil"/>
        </w:pBdr>
        <w:spacing w:after="0"/>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виконання поставлених цілей до 2030 року та у довгостроковій перспективі Житомирська громада планує залучати до співпраці під час підготовки та реалізації заходів ПДСЕРК всі зацікавлені сторони, які беруть безпосередню участь у реалізації проєктів, або є бенефіціарами, мають ідеї і можуть зробити свій посильний внесок в досягненні цілей Плану дій.</w:t>
      </w:r>
    </w:p>
    <w:p w14:paraId="635D76B2" w14:textId="77777777" w:rsidR="00C82386" w:rsidRDefault="00E66F64" w:rsidP="00811C9D">
      <w:pPr>
        <w:pBdr>
          <w:top w:val="nil"/>
          <w:left w:val="nil"/>
          <w:bottom w:val="nil"/>
          <w:right w:val="nil"/>
          <w:between w:val="nil"/>
        </w:pBdr>
        <w:spacing w:after="0"/>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Цільові аудиторії</w:t>
      </w:r>
      <w:r>
        <w:rPr>
          <w:rFonts w:ascii="Times New Roman" w:eastAsia="Times New Roman" w:hAnsi="Times New Roman" w:cs="Times New Roman"/>
          <w:color w:val="000000"/>
          <w:sz w:val="24"/>
          <w:szCs w:val="24"/>
        </w:rPr>
        <w:t xml:space="preserve">: </w:t>
      </w:r>
    </w:p>
    <w:p w14:paraId="139F6FE5"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представники виконавчих органів Житомирської міської ради, комунальних підприємств та установ (члени робочої групи з впровадження Європейської </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нергетичної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ідзнаки);</w:t>
      </w:r>
    </w:p>
    <w:p w14:paraId="669466E0"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депутати Житомирської міської ради;</w:t>
      </w:r>
    </w:p>
    <w:p w14:paraId="663B928A"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енергоменеджери бюджетних закладів громади, представники/представниці бюджетних закладів, установ, організацій, зокрема </w:t>
      </w:r>
      <w:r>
        <w:rPr>
          <w:rFonts w:ascii="Times New Roman" w:eastAsia="Times New Roman" w:hAnsi="Times New Roman" w:cs="Times New Roman"/>
          <w:color w:val="020202"/>
          <w:sz w:val="24"/>
          <w:szCs w:val="24"/>
        </w:rPr>
        <w:t xml:space="preserve">відповідальні за питання енергозбереження у закладах сфери освіти, культури, охорони здоров’я; </w:t>
      </w:r>
    </w:p>
    <w:p w14:paraId="167198F1"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голови правлінь </w:t>
      </w:r>
      <w:r>
        <w:rPr>
          <w:rFonts w:ascii="Times New Roman" w:eastAsia="Times New Roman" w:hAnsi="Times New Roman" w:cs="Times New Roman"/>
          <w:color w:val="1E1E21"/>
          <w:sz w:val="24"/>
          <w:szCs w:val="24"/>
          <w:highlight w:val="white"/>
        </w:rPr>
        <w:t xml:space="preserve">об'єднань співвласників багатоквартирного будинку </w:t>
      </w:r>
      <w:r>
        <w:rPr>
          <w:rFonts w:ascii="Times New Roman" w:eastAsia="Times New Roman" w:hAnsi="Times New Roman" w:cs="Times New Roman"/>
          <w:color w:val="000000"/>
          <w:sz w:val="24"/>
          <w:szCs w:val="24"/>
        </w:rPr>
        <w:t>(ОСББ);</w:t>
      </w:r>
    </w:p>
    <w:p w14:paraId="1F05231B"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місцевий бізнес та підприємства;</w:t>
      </w:r>
    </w:p>
    <w:p w14:paraId="23207636"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діти 4-13 років;</w:t>
      </w:r>
    </w:p>
    <w:p w14:paraId="2F63C052"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молодь віком від 14 -35 року;</w:t>
      </w:r>
    </w:p>
    <w:p w14:paraId="20D5E74D" w14:textId="77777777" w:rsidR="00C82386" w:rsidRDefault="00E66F64" w:rsidP="00167D6B">
      <w:pPr>
        <w:numPr>
          <w:ilvl w:val="0"/>
          <w:numId w:val="8"/>
        </w:numPr>
        <w:pBdr>
          <w:top w:val="nil"/>
          <w:left w:val="nil"/>
          <w:bottom w:val="nil"/>
          <w:right w:val="nil"/>
          <w:between w:val="nil"/>
        </w:pBdr>
        <w:spacing w:after="0" w:line="271"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жителі віком 36–60+</w:t>
      </w:r>
    </w:p>
    <w:p w14:paraId="491742D3" w14:textId="77777777" w:rsidR="00C82386" w:rsidRDefault="00E66F64" w:rsidP="00167D6B">
      <w:pPr>
        <w:pBdr>
          <w:top w:val="nil"/>
          <w:left w:val="nil"/>
          <w:bottom w:val="nil"/>
          <w:right w:val="nil"/>
          <w:between w:val="nil"/>
        </w:pBdr>
        <w:spacing w:after="0" w:line="271" w:lineRule="auto"/>
        <w:ind w:firstLine="42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Залучені </w:t>
      </w:r>
      <w:r w:rsidRPr="00811C9D">
        <w:rPr>
          <w:rFonts w:ascii="Times New Roman" w:eastAsia="Times New Roman" w:hAnsi="Times New Roman" w:cs="Times New Roman"/>
          <w:b/>
          <w:color w:val="000000"/>
          <w:sz w:val="24"/>
          <w:szCs w:val="24"/>
        </w:rPr>
        <w:t>стейкхолдери</w:t>
      </w:r>
      <w:r>
        <w:rPr>
          <w:rFonts w:ascii="Times New Roman" w:eastAsia="Times New Roman" w:hAnsi="Times New Roman" w:cs="Times New Roman"/>
          <w:b/>
          <w:sz w:val="24"/>
          <w:szCs w:val="24"/>
        </w:rPr>
        <w:t>:</w:t>
      </w:r>
    </w:p>
    <w:p w14:paraId="1C6B67EE" w14:textId="77777777" w:rsidR="00C82386" w:rsidRDefault="00E66F64" w:rsidP="00167D6B">
      <w:pPr>
        <w:numPr>
          <w:ilvl w:val="0"/>
          <w:numId w:val="8"/>
        </w:numPr>
        <w:pBdr>
          <w:top w:val="nil"/>
          <w:left w:val="nil"/>
          <w:bottom w:val="nil"/>
          <w:right w:val="nil"/>
          <w:between w:val="nil"/>
        </w:pBdr>
        <w:spacing w:after="0" w:line="271"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державні органи влади;</w:t>
      </w:r>
    </w:p>
    <w:p w14:paraId="5F7ECFAE" w14:textId="77777777" w:rsidR="00C82386" w:rsidRDefault="00E66F64" w:rsidP="00167D6B">
      <w:pPr>
        <w:numPr>
          <w:ilvl w:val="0"/>
          <w:numId w:val="8"/>
        </w:numPr>
        <w:pBdr>
          <w:top w:val="nil"/>
          <w:left w:val="nil"/>
          <w:bottom w:val="nil"/>
          <w:right w:val="nil"/>
          <w:between w:val="nil"/>
        </w:pBdr>
        <w:spacing w:after="0" w:line="271"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міжнародні фінансові установи, донорські організації;</w:t>
      </w:r>
    </w:p>
    <w:p w14:paraId="1EF22539" w14:textId="77777777" w:rsidR="00C82386" w:rsidRDefault="00E66F64" w:rsidP="00167D6B">
      <w:pPr>
        <w:numPr>
          <w:ilvl w:val="0"/>
          <w:numId w:val="8"/>
        </w:numPr>
        <w:pBdr>
          <w:top w:val="nil"/>
          <w:left w:val="nil"/>
          <w:bottom w:val="nil"/>
          <w:right w:val="nil"/>
          <w:between w:val="nil"/>
        </w:pBdr>
        <w:spacing w:after="0" w:line="271"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організації громадянського суспільства;</w:t>
      </w:r>
    </w:p>
    <w:p w14:paraId="4A8ABB78" w14:textId="77777777" w:rsidR="00C82386" w:rsidRDefault="00E66F64" w:rsidP="00167D6B">
      <w:pPr>
        <w:numPr>
          <w:ilvl w:val="0"/>
          <w:numId w:val="8"/>
        </w:numPr>
        <w:pBdr>
          <w:top w:val="nil"/>
          <w:left w:val="nil"/>
          <w:bottom w:val="nil"/>
          <w:right w:val="nil"/>
          <w:between w:val="nil"/>
        </w:pBdr>
        <w:spacing w:after="0" w:line="271"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засоби масової інформації.</w:t>
      </w:r>
    </w:p>
    <w:p w14:paraId="4746DA89" w14:textId="77777777" w:rsidR="00C82386" w:rsidRDefault="00E66F64" w:rsidP="00811C9D">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сфери діяльності із залученням зацікавлених сторін до формування стратегії та впровадження заходів ПДСЕРК:</w:t>
      </w:r>
    </w:p>
    <w:p w14:paraId="043AA1D9"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збір ідей і пропозицій від зацікавлених сторін щодо організації та фінансування проєктів</w:t>
      </w:r>
      <w:r>
        <w:rPr>
          <w:rFonts w:ascii="Times New Roman" w:eastAsia="Times New Roman" w:hAnsi="Times New Roman" w:cs="Times New Roman"/>
          <w:sz w:val="24"/>
          <w:szCs w:val="24"/>
        </w:rPr>
        <w:t>;</w:t>
      </w:r>
    </w:p>
    <w:p w14:paraId="585FC0C5"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організація робочих груп, проведення обговорень проєктів</w:t>
      </w:r>
      <w:r>
        <w:rPr>
          <w:rFonts w:ascii="Times New Roman" w:eastAsia="Times New Roman" w:hAnsi="Times New Roman" w:cs="Times New Roman"/>
          <w:sz w:val="24"/>
          <w:szCs w:val="24"/>
        </w:rPr>
        <w:t>;</w:t>
      </w:r>
    </w:p>
    <w:p w14:paraId="6C733595"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залучення експертного середовища до реалізації проєктів</w:t>
      </w:r>
      <w:r>
        <w:rPr>
          <w:rFonts w:ascii="Times New Roman" w:eastAsia="Times New Roman" w:hAnsi="Times New Roman" w:cs="Times New Roman"/>
          <w:sz w:val="24"/>
          <w:szCs w:val="24"/>
        </w:rPr>
        <w:t>;</w:t>
      </w:r>
    </w:p>
    <w:p w14:paraId="1ADB842D"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проєктів з безпосереднім демонстраційним ефектом</w:t>
      </w:r>
      <w:r>
        <w:rPr>
          <w:rFonts w:ascii="Times New Roman" w:eastAsia="Times New Roman" w:hAnsi="Times New Roman" w:cs="Times New Roman"/>
          <w:sz w:val="24"/>
          <w:szCs w:val="24"/>
        </w:rPr>
        <w:t>;</w:t>
      </w:r>
    </w:p>
    <w:p w14:paraId="726A6D50"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громадський контроль, збір відгуків за результатами впровадження  проєктів</w:t>
      </w:r>
      <w:r>
        <w:rPr>
          <w:rFonts w:ascii="Times New Roman" w:eastAsia="Times New Roman" w:hAnsi="Times New Roman" w:cs="Times New Roman"/>
          <w:sz w:val="24"/>
          <w:szCs w:val="24"/>
        </w:rPr>
        <w:t>;</w:t>
      </w:r>
    </w:p>
    <w:p w14:paraId="77F09463"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семінарів, вебінарів та інших навчальних заходів</w:t>
      </w:r>
      <w:r>
        <w:rPr>
          <w:rFonts w:ascii="Times New Roman" w:eastAsia="Times New Roman" w:hAnsi="Times New Roman" w:cs="Times New Roman"/>
          <w:sz w:val="24"/>
          <w:szCs w:val="24"/>
        </w:rPr>
        <w:t>;</w:t>
      </w:r>
    </w:p>
    <w:p w14:paraId="6379A3C2"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популяризація ідей енергоефективності та кліматичної нейтральності</w:t>
      </w:r>
      <w:r>
        <w:rPr>
          <w:rFonts w:ascii="Times New Roman" w:eastAsia="Times New Roman" w:hAnsi="Times New Roman" w:cs="Times New Roman"/>
          <w:sz w:val="24"/>
          <w:szCs w:val="24"/>
        </w:rPr>
        <w:t>;</w:t>
      </w:r>
    </w:p>
    <w:p w14:paraId="4C8C24D0" w14:textId="77777777" w:rsidR="00C82386" w:rsidRDefault="00E66F64" w:rsidP="00167D6B">
      <w:pPr>
        <w:numPr>
          <w:ilvl w:val="0"/>
          <w:numId w:val="52"/>
        </w:numPr>
        <w:pBdr>
          <w:top w:val="nil"/>
          <w:left w:val="nil"/>
          <w:bottom w:val="nil"/>
          <w:right w:val="nil"/>
          <w:between w:val="nil"/>
        </w:pBdr>
        <w:spacing w:after="0" w:line="271"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інформування щодо можливостей отримання фінансування, ходу впровадження проєктів, ознайомлення з інноваціями (публікації на сайті міської ради, на сайтах і інтернет-сторінках, в засобах масової інформації)</w:t>
      </w:r>
      <w:r>
        <w:rPr>
          <w:rFonts w:ascii="Times New Roman" w:eastAsia="Times New Roman" w:hAnsi="Times New Roman" w:cs="Times New Roman"/>
          <w:sz w:val="24"/>
          <w:szCs w:val="24"/>
        </w:rPr>
        <w:t>;</w:t>
      </w:r>
    </w:p>
    <w:p w14:paraId="376D2983" w14:textId="77777777" w:rsidR="00C82386" w:rsidRDefault="00E66F64" w:rsidP="00167D6B">
      <w:pPr>
        <w:numPr>
          <w:ilvl w:val="0"/>
          <w:numId w:val="52"/>
        </w:numPr>
        <w:pBdr>
          <w:top w:val="nil"/>
          <w:left w:val="nil"/>
          <w:bottom w:val="nil"/>
          <w:right w:val="nil"/>
          <w:between w:val="nil"/>
        </w:pBdr>
        <w:spacing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збір інформації, проведення опитувань.</w:t>
      </w:r>
    </w:p>
    <w:p w14:paraId="71DE5A48" w14:textId="77777777" w:rsidR="00C82386" w:rsidRDefault="00E66F64" w:rsidP="00811C9D">
      <w:pPr>
        <w:pBdr>
          <w:top w:val="nil"/>
          <w:left w:val="nil"/>
          <w:bottom w:val="nil"/>
          <w:right w:val="nil"/>
          <w:between w:val="nil"/>
        </w:pBdr>
        <w:spacing w:before="240" w:after="0"/>
        <w:ind w:firstLine="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Виконавчі органи, управління і комунальні підприємства Житомирської громади постійно ведуть роботу з залучення жителів громади, запрошують на заходи, що сприяють формуванню активної позиції в громаді. Проводяться зустрічі з представниками молоді, з окремими групами населення – головами правлінь ОСББ та енергоменеджерами бюджетних закладів громади.</w:t>
      </w:r>
    </w:p>
    <w:p w14:paraId="7A3A783C" w14:textId="77777777" w:rsidR="00C82386" w:rsidRDefault="00E66F64">
      <w:pPr>
        <w:pBdr>
          <w:top w:val="nil"/>
          <w:left w:val="nil"/>
          <w:bottom w:val="nil"/>
          <w:right w:val="nil"/>
          <w:between w:val="nil"/>
        </w:pBdr>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Щороку в громаді проводяться Дні (</w:t>
      </w:r>
      <w:r>
        <w:rPr>
          <w:rFonts w:ascii="Times New Roman" w:eastAsia="Times New Roman" w:hAnsi="Times New Roman" w:cs="Times New Roman"/>
          <w:sz w:val="24"/>
          <w:szCs w:val="24"/>
        </w:rPr>
        <w:t>Т</w:t>
      </w:r>
      <w:r>
        <w:rPr>
          <w:rFonts w:ascii="Times New Roman" w:eastAsia="Times New Roman" w:hAnsi="Times New Roman" w:cs="Times New Roman"/>
          <w:color w:val="000000"/>
          <w:sz w:val="24"/>
          <w:szCs w:val="24"/>
        </w:rPr>
        <w:t>иждень) сталої енергії, упродовж яких відбуваються інформаційно-просвітницькі заходи, які охоплюють різні цільові аудиторії.</w:t>
      </w:r>
    </w:p>
    <w:p w14:paraId="30238E35" w14:textId="77777777" w:rsidR="00C82386" w:rsidRDefault="00E66F64">
      <w:pPr>
        <w:keepNext/>
        <w:keepLines/>
        <w:numPr>
          <w:ilvl w:val="1"/>
          <w:numId w:val="53"/>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14" w:name="_heading=h.35nkun2" w:colFirst="0" w:colLast="0"/>
      <w:bookmarkEnd w:id="14"/>
      <w:r>
        <w:rPr>
          <w:rFonts w:ascii="Times New Roman" w:eastAsia="Times New Roman" w:hAnsi="Times New Roman" w:cs="Times New Roman"/>
          <w:b/>
          <w:color w:val="000000"/>
          <w:sz w:val="24"/>
          <w:szCs w:val="24"/>
        </w:rPr>
        <w:t>Система моніторингу виконання ПДСЕРК</w:t>
      </w:r>
    </w:p>
    <w:p w14:paraId="5F135D32"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Регулярний моніторинг ПДСЕРК з використанням відповідних індикаторів дозволяє оцінити ймовірність досягнення запланованих цілей і при необхідності вжити корегувальних заходів. Відповідно до документ</w:t>
      </w:r>
      <w:r w:rsidR="00811C9D">
        <w:rPr>
          <w:rFonts w:ascii="Times New Roman" w:eastAsia="Times New Roman" w:hAnsi="Times New Roman" w:cs="Times New Roman"/>
          <w:sz w:val="24"/>
          <w:szCs w:val="24"/>
        </w:rPr>
        <w:t>у</w:t>
      </w:r>
      <w:r>
        <w:rPr>
          <w:rFonts w:ascii="Times New Roman" w:eastAsia="Times New Roman" w:hAnsi="Times New Roman" w:cs="Times New Roman"/>
          <w:sz w:val="24"/>
          <w:szCs w:val="24"/>
        </w:rPr>
        <w:t xml:space="preserve"> «Угода мерів щодо клімату і енергії.</w:t>
      </w:r>
      <w:r w:rsidR="00811C9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Керівництво з питань звітності» передбачено наступні етапи моніторингу (які рахуються з моменту внесення даних ПДСЕРК на екстранет-платформу Угоди мерів </w:t>
      </w:r>
      <w:hyperlink r:id="rId13">
        <w:r>
          <w:rPr>
            <w:rFonts w:ascii="Times New Roman" w:eastAsia="Times New Roman" w:hAnsi="Times New Roman" w:cs="Times New Roman"/>
            <w:color w:val="0000FF"/>
            <w:sz w:val="24"/>
            <w:szCs w:val="24"/>
            <w:u w:val="single"/>
          </w:rPr>
          <w:t>mycovenant.eumayors.eu</w:t>
        </w:r>
      </w:hyperlink>
      <w:r>
        <w:rPr>
          <w:rFonts w:ascii="Times New Roman" w:eastAsia="Times New Roman" w:hAnsi="Times New Roman" w:cs="Times New Roman"/>
          <w:sz w:val="24"/>
          <w:szCs w:val="24"/>
        </w:rPr>
        <w:t>):</w:t>
      </w:r>
    </w:p>
    <w:p w14:paraId="04EB2E1F" w14:textId="77777777" w:rsidR="00C82386" w:rsidRDefault="00E66F64" w:rsidP="00167D6B">
      <w:pPr>
        <w:numPr>
          <w:ilvl w:val="0"/>
          <w:numId w:val="14"/>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кожні 2 роки – звіт по виконанню плану заходів</w:t>
      </w:r>
      <w:r>
        <w:rPr>
          <w:rFonts w:ascii="Times New Roman" w:eastAsia="Times New Roman" w:hAnsi="Times New Roman" w:cs="Times New Roman"/>
          <w:sz w:val="24"/>
          <w:szCs w:val="24"/>
        </w:rPr>
        <w:t>;</w:t>
      </w:r>
    </w:p>
    <w:p w14:paraId="4D54FE67" w14:textId="77777777" w:rsidR="00C82386" w:rsidRDefault="00E66F64" w:rsidP="00167D6B">
      <w:pPr>
        <w:numPr>
          <w:ilvl w:val="0"/>
          <w:numId w:val="14"/>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кожні 4 роки – повний звіт, якій включає в себе звіт по виконанню плану заходів та Моніторинговий кадастр викидів (далі – МКВ)</w:t>
      </w:r>
      <w:r>
        <w:rPr>
          <w:rFonts w:ascii="Times New Roman" w:eastAsia="Times New Roman" w:hAnsi="Times New Roman" w:cs="Times New Roman"/>
          <w:sz w:val="24"/>
          <w:szCs w:val="24"/>
        </w:rPr>
        <w:t>;</w:t>
      </w:r>
    </w:p>
    <w:p w14:paraId="50B09686" w14:textId="77777777" w:rsidR="00C82386" w:rsidRDefault="00E66F64" w:rsidP="00167D6B">
      <w:pPr>
        <w:numPr>
          <w:ilvl w:val="0"/>
          <w:numId w:val="14"/>
        </w:numPr>
        <w:pBdr>
          <w:top w:val="nil"/>
          <w:left w:val="nil"/>
          <w:bottom w:val="nil"/>
          <w:right w:val="nil"/>
          <w:between w:val="nil"/>
        </w:pBdr>
        <w:spacing w:after="0" w:line="271" w:lineRule="auto"/>
        <w:ind w:left="425"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повний моніторинговий звіт за 2030 рік, якій включає в себе звіт по виконанню плану заходів та МКВ</w:t>
      </w:r>
      <w:r>
        <w:rPr>
          <w:rFonts w:ascii="Times New Roman" w:eastAsia="Times New Roman" w:hAnsi="Times New Roman" w:cs="Times New Roman"/>
          <w:sz w:val="24"/>
          <w:szCs w:val="24"/>
        </w:rPr>
        <w:t>.</w:t>
      </w:r>
    </w:p>
    <w:p w14:paraId="218B7C1B"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Моніторинговий кадастр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розраховується за тією ж методологією, що і базовий кадастр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p>
    <w:p w14:paraId="7F24E11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Під час складання моніторингового звіту можуть бути передбачені будь-які зміни Загальної стратегії ПДСЕРК та подані оновлені дані щодо перерозподілу співробітників та обсягів фінансових інвестицій. Моніторинг запланованих заходів описує вартість впроваджених заходів, стан виконання, проблеми, які при цьому виникали та відповідно їх вплив на досягнення цілей ПДСЕР. </w:t>
      </w:r>
    </w:p>
    <w:p w14:paraId="44DBFB8F"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Згадані вище звіти приймаються рішенням міської ради та заповнюються згідно шаблону моніторингу ПДСЕРК в особистому кабінеті на інтернет-сторінці Угоди мерів (</w:t>
      </w:r>
      <w:hyperlink r:id="rId14">
        <w:r>
          <w:rPr>
            <w:rFonts w:ascii="Times New Roman" w:eastAsia="Times New Roman" w:hAnsi="Times New Roman" w:cs="Times New Roman"/>
            <w:color w:val="0000FF"/>
            <w:sz w:val="24"/>
            <w:szCs w:val="24"/>
            <w:u w:val="single"/>
          </w:rPr>
          <w:t>https://mycovenant.eumayors.eu</w:t>
        </w:r>
      </w:hyperlink>
      <w:r>
        <w:rPr>
          <w:rFonts w:ascii="Times New Roman" w:eastAsia="Times New Roman" w:hAnsi="Times New Roman" w:cs="Times New Roman"/>
          <w:sz w:val="24"/>
          <w:szCs w:val="24"/>
        </w:rPr>
        <w:t>).</w:t>
      </w:r>
    </w:p>
    <w:p w14:paraId="464E6C73"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Завдання моніторингу покладається на департамент економічного розвитку Житомирської міської ради. Система моніторингу загального енергоспоживання у Житомирській міській громаді є частиною системи енергоменеджменту громади і відповідає виконанню завдань з моніторингу, що визначені Угодою Мерів. </w:t>
      </w:r>
    </w:p>
    <w:p w14:paraId="49A346E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Зокрема, моніторинг споживання ПЕР у секторі муніципального та громадського транспорту здійснюється щорічно, а споживання енергоресурсів в муніципальних установах і підприємствах, громадському освітленні здійснюється щомісячно. Запровадження системи енергомоніторингу загального енергоспоживання у громаді в рамках системи енергоменеджменту дозволить:</w:t>
      </w:r>
    </w:p>
    <w:p w14:paraId="17E3DE91"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визначати результативність енергоефективних заходів;</w:t>
      </w:r>
    </w:p>
    <w:p w14:paraId="1BDE2191"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проводити ефективний аналіз даних енергоспоживання;</w:t>
      </w:r>
    </w:p>
    <w:p w14:paraId="33BA76B1"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мати інформацію відносно енергоспоживання, що необхідна під час підготовки енергоефективних заходів;</w:t>
      </w:r>
    </w:p>
    <w:p w14:paraId="136834ED"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покращувати систему </w:t>
      </w:r>
      <w:r>
        <w:rPr>
          <w:rFonts w:ascii="Times New Roman" w:eastAsia="Times New Roman" w:hAnsi="Times New Roman" w:cs="Times New Roman"/>
          <w:sz w:val="24"/>
          <w:szCs w:val="24"/>
        </w:rPr>
        <w:t>взаємозв'язків</w:t>
      </w:r>
      <w:r>
        <w:rPr>
          <w:rFonts w:ascii="Times New Roman" w:eastAsia="Times New Roman" w:hAnsi="Times New Roman" w:cs="Times New Roman"/>
          <w:color w:val="000000"/>
          <w:sz w:val="24"/>
          <w:szCs w:val="24"/>
        </w:rPr>
        <w:t xml:space="preserve"> та інформаційного обміну з комунальними підприємствами міста задля досягнення узгодженої енергетичної політики у місті;</w:t>
      </w:r>
    </w:p>
    <w:p w14:paraId="1FC32CA9"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формувати</w:t>
      </w:r>
      <w:r>
        <w:rPr>
          <w:rFonts w:ascii="Times New Roman" w:eastAsia="Times New Roman" w:hAnsi="Times New Roman" w:cs="Times New Roman"/>
          <w:color w:val="000000"/>
          <w:sz w:val="24"/>
          <w:szCs w:val="24"/>
        </w:rPr>
        <w:t xml:space="preserve"> та вести надалі єдиний міський реєстр проектів з енергоефективності та адаптації до змін клімату, проводити постійний моніторинг їх виконання;</w:t>
      </w:r>
    </w:p>
    <w:p w14:paraId="1D950A97"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впровадити систему щорічного моніторингу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для муніципальних установ;</w:t>
      </w:r>
    </w:p>
    <w:p w14:paraId="79C4095C" w14:textId="77777777" w:rsidR="00C82386" w:rsidRDefault="00E66F64" w:rsidP="00167D6B">
      <w:pPr>
        <w:numPr>
          <w:ilvl w:val="0"/>
          <w:numId w:val="15"/>
        </w:numPr>
        <w:pBdr>
          <w:top w:val="nil"/>
          <w:left w:val="nil"/>
          <w:bottom w:val="nil"/>
          <w:right w:val="nil"/>
          <w:between w:val="nil"/>
        </w:pBdr>
        <w:spacing w:after="0" w:line="271" w:lineRule="auto"/>
        <w:ind w:left="568" w:hanging="284"/>
        <w:jc w:val="both"/>
        <w:rPr>
          <w:rFonts w:ascii="Times New Roman" w:eastAsia="Times New Roman" w:hAnsi="Times New Roman" w:cs="Times New Roman"/>
          <w:color w:val="000000"/>
          <w:sz w:val="24"/>
          <w:szCs w:val="24"/>
        </w:rPr>
        <w:sectPr w:rsidR="00C82386" w:rsidSect="00563EC7">
          <w:pgSz w:w="11906" w:h="16838"/>
          <w:pgMar w:top="1134" w:right="851" w:bottom="851" w:left="1701" w:header="709" w:footer="709" w:gutter="0"/>
          <w:pgNumType w:start="3"/>
          <w:cols w:space="720"/>
        </w:sectPr>
      </w:pPr>
      <w:r>
        <w:rPr>
          <w:rFonts w:ascii="Times New Roman" w:eastAsia="Times New Roman" w:hAnsi="Times New Roman" w:cs="Times New Roman"/>
          <w:color w:val="000000"/>
          <w:sz w:val="24"/>
          <w:szCs w:val="24"/>
        </w:rPr>
        <w:t xml:space="preserve">оцінювати вплив проведення інформаційно-просвітницької діяльності, що спрямована на зміну свідомості населення в сфері енергоспоживання, а також </w:t>
      </w:r>
      <w:r>
        <w:rPr>
          <w:rFonts w:ascii="Times New Roman" w:eastAsia="Times New Roman" w:hAnsi="Times New Roman" w:cs="Times New Roman"/>
          <w:sz w:val="24"/>
          <w:szCs w:val="24"/>
        </w:rPr>
        <w:t>роз'яснювальної</w:t>
      </w:r>
      <w:r>
        <w:rPr>
          <w:rFonts w:ascii="Times New Roman" w:eastAsia="Times New Roman" w:hAnsi="Times New Roman" w:cs="Times New Roman"/>
          <w:color w:val="000000"/>
          <w:sz w:val="24"/>
          <w:szCs w:val="24"/>
        </w:rPr>
        <w:t xml:space="preserve"> роботи щодо ефективності тих чи інших заходів з адаптації до змін клімату.</w:t>
      </w:r>
    </w:p>
    <w:p w14:paraId="70A80BB3" w14:textId="77777777" w:rsidR="00C82386" w:rsidRDefault="00E66F64">
      <w:pPr>
        <w:pStyle w:val="1"/>
        <w:rPr>
          <w:rFonts w:ascii="Times New Roman" w:eastAsia="Times New Roman" w:hAnsi="Times New Roman" w:cs="Times New Roman"/>
          <w:color w:val="000000"/>
        </w:rPr>
      </w:pPr>
      <w:bookmarkStart w:id="15" w:name="_heading=h.1ksv4uv" w:colFirst="0" w:colLast="0"/>
      <w:bookmarkEnd w:id="15"/>
      <w:r>
        <w:rPr>
          <w:rFonts w:ascii="Times New Roman" w:eastAsia="Times New Roman" w:hAnsi="Times New Roman" w:cs="Times New Roman"/>
          <w:color w:val="000000"/>
        </w:rPr>
        <w:lastRenderedPageBreak/>
        <w:t xml:space="preserve">РОЗДІЛ 2. ЗАГАЛЬНА ХАРАКТЕРИСТИКА ТЕРИТОРІАЛЬНОЇ ГРОМАДИ </w:t>
      </w:r>
    </w:p>
    <w:p w14:paraId="79D5C6D6" w14:textId="77777777" w:rsidR="00C82386" w:rsidRDefault="00E66F64">
      <w:pPr>
        <w:keepNext/>
        <w:keepLines/>
        <w:numPr>
          <w:ilvl w:val="1"/>
          <w:numId w:val="1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6" w:name="_heading=h.44sinio" w:colFirst="0" w:colLast="0"/>
      <w:bookmarkEnd w:id="16"/>
      <w:r>
        <w:rPr>
          <w:rFonts w:ascii="Times New Roman" w:eastAsia="Times New Roman" w:hAnsi="Times New Roman" w:cs="Times New Roman"/>
          <w:b/>
          <w:color w:val="000000"/>
          <w:sz w:val="24"/>
          <w:szCs w:val="24"/>
        </w:rPr>
        <w:t>Історичний нарис</w:t>
      </w:r>
    </w:p>
    <w:p w14:paraId="193A06D7"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Житомир належить до числа найдавніших історичних і культурних міст України та є адміністративним центром Житомирської області. </w:t>
      </w:r>
    </w:p>
    <w:p w14:paraId="62252CC3"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Роком заснування міста вважається 884-й рік.</w:t>
      </w:r>
    </w:p>
    <w:p w14:paraId="473319B1"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Перша літописна згадка про місто Житомир відноситься до 1240 року, у зв’язку з походом на захід війська Батия після розгрому Києва. Під час монголо-татарського нашестя Житомир було цілком зруйноване й спустошене. До XVI століття місто страждало від татар ще кілька разів. Місцеве населення будувало оборонні споруди з підземними ходами, залишки яких знаходять ще й досі. </w:t>
      </w:r>
    </w:p>
    <w:p w14:paraId="0E6D87E0"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1320 році житомирську фортецю захопив литовський князь Гедимін, звільнив місто з-під влади Золотої орди та приєднав його до складу Великого князівства Литовського. У 1399 році хан Золотої орди Едигей розгромив військо литовського князя Вітовта, захопив і пограбував Житомир.</w:t>
      </w:r>
    </w:p>
    <w:p w14:paraId="1B02576C"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1444 році Житомир одержав магдебурзьке право.</w:t>
      </w:r>
    </w:p>
    <w:p w14:paraId="43E082CE"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1648 році військо Богдана Хмельницького </w:t>
      </w:r>
      <w:r>
        <w:rPr>
          <w:rFonts w:ascii="Times New Roman" w:eastAsia="Times New Roman" w:hAnsi="Times New Roman" w:cs="Times New Roman"/>
          <w:sz w:val="24"/>
          <w:szCs w:val="24"/>
        </w:rPr>
        <w:t>взяло</w:t>
      </w:r>
      <w:r>
        <w:rPr>
          <w:rFonts w:ascii="Times New Roman" w:eastAsia="Times New Roman" w:hAnsi="Times New Roman" w:cs="Times New Roman"/>
          <w:color w:val="000000"/>
          <w:sz w:val="24"/>
          <w:szCs w:val="24"/>
        </w:rPr>
        <w:t xml:space="preserve"> штурмом житомирський замок і в результаті підписання Переяславської угоди цей регіон увійшов до складу Російської імперії. </w:t>
      </w:r>
    </w:p>
    <w:p w14:paraId="1706F7FF"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1804</w:t>
      </w:r>
      <w:r>
        <w:rPr>
          <w:rFonts w:ascii="Times New Roman" w:eastAsia="Times New Roman" w:hAnsi="Times New Roman" w:cs="Times New Roman"/>
          <w:sz w:val="24"/>
          <w:szCs w:val="24"/>
        </w:rPr>
        <w:t xml:space="preserve"> році Житомир був офіційно затверджений адміністративним центром Волинської губернії. </w:t>
      </w:r>
    </w:p>
    <w:p w14:paraId="0164BF57"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1896 році була споруджена вузькоколійна залізниця Житомир – Бердичів, а під час Першої світової війни широка колія з’єднала Житомир із Бердичівом і Коростенем. З 1899 року в Житомирі розпочався рух трамвая. </w:t>
      </w:r>
    </w:p>
    <w:p w14:paraId="110D2DF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радянських часів у місті почалася розбудова промислового комплексу міста, було збудовано десятки промислових, транспортних та інженерних об’єктів. </w:t>
      </w:r>
    </w:p>
    <w:p w14:paraId="41A85F60"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1937 року Житомир є адміністративним центром Житомирської області.</w:t>
      </w:r>
    </w:p>
    <w:p w14:paraId="735FCFA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1980 – </w:t>
      </w:r>
      <w:r w:rsidR="00167D6B">
        <w:rPr>
          <w:rFonts w:ascii="Times New Roman" w:eastAsia="Times New Roman" w:hAnsi="Times New Roman" w:cs="Times New Roman"/>
          <w:sz w:val="24"/>
          <w:szCs w:val="24"/>
        </w:rPr>
        <w:t>19</w:t>
      </w:r>
      <w:r>
        <w:rPr>
          <w:rFonts w:ascii="Times New Roman" w:eastAsia="Times New Roman" w:hAnsi="Times New Roman" w:cs="Times New Roman"/>
          <w:sz w:val="24"/>
          <w:szCs w:val="24"/>
        </w:rPr>
        <w:t>90-х роках навколо Житомира споруджено першу чергу кільцевої об’їзної дороги довжиною 32 км в’їзду в місто зі сторони Новоград-Волинського до Київського та Сквирського шосе. Ця дорога визначила межі «Великого Житомира», на терені якого сьогодні формується система житлових масивів з котеджною забудовою.</w:t>
      </w:r>
    </w:p>
    <w:p w14:paraId="3DAD75A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Житомирська міська територіальна громада була створена 28 вересня 2018 року шляхом об’єднання міста Житомира та села Вереси.</w:t>
      </w:r>
    </w:p>
    <w:p w14:paraId="4286A463" w14:textId="77777777" w:rsidR="00C82386" w:rsidRDefault="00E66F64">
      <w:pPr>
        <w:keepNext/>
        <w:keepLines/>
        <w:numPr>
          <w:ilvl w:val="1"/>
          <w:numId w:val="1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7" w:name="_heading=h.2jxsxqh" w:colFirst="0" w:colLast="0"/>
      <w:bookmarkEnd w:id="17"/>
      <w:r>
        <w:rPr>
          <w:rFonts w:ascii="Times New Roman" w:eastAsia="Times New Roman" w:hAnsi="Times New Roman" w:cs="Times New Roman"/>
          <w:b/>
          <w:color w:val="000000"/>
          <w:sz w:val="24"/>
          <w:szCs w:val="24"/>
        </w:rPr>
        <w:t>Географічне розташування</w:t>
      </w:r>
    </w:p>
    <w:p w14:paraId="425D505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 є адміністративним центром області та району. Загальна територія Житомирської міської територіальної громади – 93,4 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з якої територія міста Житомир – 60,8 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Висота над рівнем моря – 190-230 м. </w:t>
      </w:r>
    </w:p>
    <w:p w14:paraId="10DF11EA"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Територія громади розташована на межі Поліської та лісостепової зон та входить до Коростишівського природного району Житомирського Полісся, який має характерний рівнинний рельєф. Майже з усіх боків Житомир та село Вереси оточують лісові масиви, а крізь місто Житомир протікають річки Тетерів, Кам’янка Лісова і Кам’янка Польова, Крошенка, Путятинка.</w:t>
      </w:r>
    </w:p>
    <w:p w14:paraId="58BEF35B"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Житомир – великий транспортний вузол України. Житомир розташований на лінії ІІІ пан’європейського автомобільного транспортного коридору, який поєднує п’ять європейських країн (Іспанію, Францію, Німеччину, Польщу та Україну) і пролягає від </w:t>
      </w:r>
      <w:r>
        <w:rPr>
          <w:rFonts w:ascii="Times New Roman" w:eastAsia="Times New Roman" w:hAnsi="Times New Roman" w:cs="Times New Roman"/>
          <w:color w:val="000000"/>
          <w:sz w:val="24"/>
          <w:szCs w:val="24"/>
        </w:rPr>
        <w:lastRenderedPageBreak/>
        <w:t>іспанського Сантьяго-де-Компостела через головні європейські мегаполіси – Париж, Франкфурт-на-Майні, Берлін, Вроцлав, Краків – до Києва. Відстань від Житомира до столиці України міста Києва залізницею складає 165 км, автомобільними шляхами – 131 км. Крім того, через Житомир проходить залізнична магістраль Одеса – Санкт-Петербург та інші шляхи, що з’єднують столицю України з її західними та південно-західними областями.</w:t>
      </w:r>
    </w:p>
    <w:p w14:paraId="308AD07D" w14:textId="77777777" w:rsidR="00C82386" w:rsidRDefault="00E66F64">
      <w:pPr>
        <w:keepNext/>
        <w:keepLines/>
        <w:numPr>
          <w:ilvl w:val="1"/>
          <w:numId w:val="1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8" w:name="_heading=h.z337ya" w:colFirst="0" w:colLast="0"/>
      <w:bookmarkEnd w:id="18"/>
      <w:r>
        <w:rPr>
          <w:rFonts w:ascii="Times New Roman" w:eastAsia="Times New Roman" w:hAnsi="Times New Roman" w:cs="Times New Roman"/>
          <w:b/>
          <w:color w:val="000000"/>
          <w:sz w:val="24"/>
          <w:szCs w:val="24"/>
        </w:rPr>
        <w:t>Кліматичні умови</w:t>
      </w:r>
    </w:p>
    <w:p w14:paraId="586D0A8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Клімат Житомирської міської територіальної громади є помірно-континентальним з теплим літом, м’якою зимою та достатньою кількістю опадів. За кліматичною нормою, що сформована для періоду 1961-1990 рр. (період рекомендований Всесвітньою метеорологічною організацією для моніторингу зміни клімату), середня річна температура становить 6,9°С, найнижча вона у січні – -6,0°С, найвища – у липні – +18,0°С. Середня максимальна температура у Житомирі від -2,9°С у січні до 23,4°С у липні, середня мінімальна у січні становить -9,2°С, у липні 13,0°С (табл. 2.1.).</w:t>
      </w:r>
    </w:p>
    <w:p w14:paraId="6A38A817"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2.1.</w:t>
      </w:r>
    </w:p>
    <w:p w14:paraId="1A956129" w14:textId="77777777" w:rsidR="00C82386" w:rsidRDefault="00E66F64">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Температура повітря (</w:t>
      </w:r>
      <w:r>
        <w:rPr>
          <w:rFonts w:ascii="Arial" w:eastAsia="Arial" w:hAnsi="Arial" w:cs="Arial"/>
          <w:sz w:val="24"/>
          <w:szCs w:val="24"/>
        </w:rPr>
        <w:t>°</w:t>
      </w:r>
      <w:r>
        <w:rPr>
          <w:rFonts w:ascii="Times New Roman" w:eastAsia="Times New Roman" w:hAnsi="Times New Roman" w:cs="Times New Roman"/>
          <w:sz w:val="24"/>
          <w:szCs w:val="24"/>
        </w:rPr>
        <w:t>С) у м. Житомир за період 1961-1990 рр.</w:t>
      </w:r>
    </w:p>
    <w:tbl>
      <w:tblPr>
        <w:tblStyle w:val="afff1"/>
        <w:tblW w:w="93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8"/>
        <w:gridCol w:w="718"/>
        <w:gridCol w:w="701"/>
        <w:gridCol w:w="701"/>
        <w:gridCol w:w="606"/>
        <w:gridCol w:w="606"/>
        <w:gridCol w:w="606"/>
        <w:gridCol w:w="606"/>
        <w:gridCol w:w="650"/>
        <w:gridCol w:w="606"/>
        <w:gridCol w:w="606"/>
        <w:gridCol w:w="698"/>
        <w:gridCol w:w="577"/>
        <w:gridCol w:w="606"/>
      </w:tblGrid>
      <w:tr w:rsidR="00C82386" w14:paraId="5572B09B" w14:textId="77777777">
        <w:trPr>
          <w:trHeight w:val="276"/>
          <w:jc w:val="center"/>
        </w:trPr>
        <w:tc>
          <w:tcPr>
            <w:tcW w:w="1108" w:type="dxa"/>
          </w:tcPr>
          <w:p w14:paraId="6FBD1D76" w14:textId="77777777" w:rsidR="00C82386" w:rsidRPr="00C8122B" w:rsidRDefault="00C82386">
            <w:pPr>
              <w:spacing w:after="0" w:line="240" w:lineRule="auto"/>
              <w:jc w:val="right"/>
              <w:rPr>
                <w:rFonts w:ascii="Times New Roman" w:eastAsia="Times New Roman" w:hAnsi="Times New Roman" w:cs="Times New Roman"/>
                <w:sz w:val="20"/>
              </w:rPr>
            </w:pPr>
          </w:p>
        </w:tc>
        <w:tc>
          <w:tcPr>
            <w:tcW w:w="718" w:type="dxa"/>
            <w:shd w:val="clear" w:color="auto" w:fill="auto"/>
            <w:vAlign w:val="center"/>
          </w:tcPr>
          <w:p w14:paraId="45202137"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w:t>
            </w:r>
          </w:p>
        </w:tc>
        <w:tc>
          <w:tcPr>
            <w:tcW w:w="701" w:type="dxa"/>
            <w:shd w:val="clear" w:color="auto" w:fill="auto"/>
            <w:vAlign w:val="center"/>
          </w:tcPr>
          <w:p w14:paraId="7CA723CD"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ІІ</w:t>
            </w:r>
          </w:p>
        </w:tc>
        <w:tc>
          <w:tcPr>
            <w:tcW w:w="701" w:type="dxa"/>
            <w:shd w:val="clear" w:color="auto" w:fill="auto"/>
            <w:vAlign w:val="center"/>
          </w:tcPr>
          <w:p w14:paraId="33157419"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ІІІ</w:t>
            </w:r>
          </w:p>
        </w:tc>
        <w:tc>
          <w:tcPr>
            <w:tcW w:w="606" w:type="dxa"/>
            <w:shd w:val="clear" w:color="auto" w:fill="auto"/>
            <w:vAlign w:val="center"/>
          </w:tcPr>
          <w:p w14:paraId="5913AA0A"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IV</w:t>
            </w:r>
          </w:p>
        </w:tc>
        <w:tc>
          <w:tcPr>
            <w:tcW w:w="606" w:type="dxa"/>
            <w:shd w:val="clear" w:color="auto" w:fill="auto"/>
            <w:vAlign w:val="center"/>
          </w:tcPr>
          <w:p w14:paraId="626F1BFF"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w:t>
            </w:r>
          </w:p>
        </w:tc>
        <w:tc>
          <w:tcPr>
            <w:tcW w:w="606" w:type="dxa"/>
            <w:shd w:val="clear" w:color="auto" w:fill="auto"/>
            <w:vAlign w:val="center"/>
          </w:tcPr>
          <w:p w14:paraId="5B91E1B9"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w:t>
            </w:r>
          </w:p>
        </w:tc>
        <w:tc>
          <w:tcPr>
            <w:tcW w:w="606" w:type="dxa"/>
            <w:shd w:val="clear" w:color="auto" w:fill="auto"/>
            <w:vAlign w:val="center"/>
          </w:tcPr>
          <w:p w14:paraId="068D591E"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VII</w:t>
            </w:r>
          </w:p>
        </w:tc>
        <w:tc>
          <w:tcPr>
            <w:tcW w:w="650" w:type="dxa"/>
            <w:shd w:val="clear" w:color="auto" w:fill="auto"/>
            <w:vAlign w:val="center"/>
          </w:tcPr>
          <w:p w14:paraId="77A07E61"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VIII</w:t>
            </w:r>
          </w:p>
        </w:tc>
        <w:tc>
          <w:tcPr>
            <w:tcW w:w="606" w:type="dxa"/>
            <w:shd w:val="clear" w:color="auto" w:fill="auto"/>
            <w:vAlign w:val="center"/>
          </w:tcPr>
          <w:p w14:paraId="631D4F1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IX</w:t>
            </w:r>
          </w:p>
        </w:tc>
        <w:tc>
          <w:tcPr>
            <w:tcW w:w="606" w:type="dxa"/>
            <w:shd w:val="clear" w:color="auto" w:fill="auto"/>
            <w:vAlign w:val="center"/>
          </w:tcPr>
          <w:p w14:paraId="766F1484"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w:t>
            </w:r>
          </w:p>
        </w:tc>
        <w:tc>
          <w:tcPr>
            <w:tcW w:w="698" w:type="dxa"/>
            <w:shd w:val="clear" w:color="auto" w:fill="auto"/>
            <w:vAlign w:val="center"/>
          </w:tcPr>
          <w:p w14:paraId="1E7307E3"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XI</w:t>
            </w:r>
          </w:p>
        </w:tc>
        <w:tc>
          <w:tcPr>
            <w:tcW w:w="577" w:type="dxa"/>
            <w:shd w:val="clear" w:color="auto" w:fill="auto"/>
            <w:vAlign w:val="center"/>
          </w:tcPr>
          <w:p w14:paraId="3E0253BA"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XII</w:t>
            </w:r>
          </w:p>
        </w:tc>
        <w:tc>
          <w:tcPr>
            <w:tcW w:w="606" w:type="dxa"/>
            <w:shd w:val="clear" w:color="auto" w:fill="auto"/>
            <w:vAlign w:val="center"/>
          </w:tcPr>
          <w:p w14:paraId="7A52CC4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Рік</w:t>
            </w:r>
          </w:p>
        </w:tc>
      </w:tr>
      <w:tr w:rsidR="00C82386" w14:paraId="6A9C8B6B" w14:textId="77777777">
        <w:trPr>
          <w:trHeight w:val="276"/>
          <w:jc w:val="center"/>
        </w:trPr>
        <w:tc>
          <w:tcPr>
            <w:tcW w:w="1108" w:type="dxa"/>
          </w:tcPr>
          <w:p w14:paraId="2BEDFFCE" w14:textId="77777777" w:rsidR="00C82386" w:rsidRPr="00C8122B" w:rsidRDefault="00E66F64">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Середня</w:t>
            </w:r>
          </w:p>
        </w:tc>
        <w:tc>
          <w:tcPr>
            <w:tcW w:w="718" w:type="dxa"/>
            <w:shd w:val="clear" w:color="auto" w:fill="auto"/>
            <w:vAlign w:val="center"/>
          </w:tcPr>
          <w:p w14:paraId="647B3EFA"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-6,0</w:t>
            </w:r>
          </w:p>
        </w:tc>
        <w:tc>
          <w:tcPr>
            <w:tcW w:w="701" w:type="dxa"/>
            <w:shd w:val="clear" w:color="auto" w:fill="auto"/>
            <w:vAlign w:val="center"/>
          </w:tcPr>
          <w:p w14:paraId="672BDF0D"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-4,6</w:t>
            </w:r>
          </w:p>
        </w:tc>
        <w:tc>
          <w:tcPr>
            <w:tcW w:w="701" w:type="dxa"/>
            <w:shd w:val="clear" w:color="auto" w:fill="auto"/>
            <w:vAlign w:val="center"/>
          </w:tcPr>
          <w:p w14:paraId="1918D496"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-0,1</w:t>
            </w:r>
          </w:p>
        </w:tc>
        <w:tc>
          <w:tcPr>
            <w:tcW w:w="606" w:type="dxa"/>
            <w:shd w:val="clear" w:color="auto" w:fill="auto"/>
            <w:vAlign w:val="center"/>
          </w:tcPr>
          <w:p w14:paraId="68A03051"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7,7</w:t>
            </w:r>
          </w:p>
        </w:tc>
        <w:tc>
          <w:tcPr>
            <w:tcW w:w="606" w:type="dxa"/>
            <w:shd w:val="clear" w:color="auto" w:fill="auto"/>
            <w:vAlign w:val="center"/>
          </w:tcPr>
          <w:p w14:paraId="646A8B9C"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13,9</w:t>
            </w:r>
          </w:p>
        </w:tc>
        <w:tc>
          <w:tcPr>
            <w:tcW w:w="606" w:type="dxa"/>
            <w:shd w:val="clear" w:color="auto" w:fill="auto"/>
            <w:vAlign w:val="center"/>
          </w:tcPr>
          <w:p w14:paraId="667AC6FF"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17,0</w:t>
            </w:r>
          </w:p>
        </w:tc>
        <w:tc>
          <w:tcPr>
            <w:tcW w:w="606" w:type="dxa"/>
            <w:shd w:val="clear" w:color="auto" w:fill="auto"/>
            <w:vAlign w:val="center"/>
          </w:tcPr>
          <w:p w14:paraId="0F3110FD"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18,0</w:t>
            </w:r>
          </w:p>
        </w:tc>
        <w:tc>
          <w:tcPr>
            <w:tcW w:w="650" w:type="dxa"/>
            <w:shd w:val="clear" w:color="auto" w:fill="auto"/>
            <w:vAlign w:val="center"/>
          </w:tcPr>
          <w:p w14:paraId="6865600C"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17,4</w:t>
            </w:r>
          </w:p>
        </w:tc>
        <w:tc>
          <w:tcPr>
            <w:tcW w:w="606" w:type="dxa"/>
            <w:shd w:val="clear" w:color="auto" w:fill="auto"/>
            <w:vAlign w:val="center"/>
          </w:tcPr>
          <w:p w14:paraId="142297A9"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13,0</w:t>
            </w:r>
          </w:p>
        </w:tc>
        <w:tc>
          <w:tcPr>
            <w:tcW w:w="606" w:type="dxa"/>
            <w:shd w:val="clear" w:color="auto" w:fill="auto"/>
            <w:vAlign w:val="center"/>
          </w:tcPr>
          <w:p w14:paraId="0E20E61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7,4</w:t>
            </w:r>
          </w:p>
        </w:tc>
        <w:tc>
          <w:tcPr>
            <w:tcW w:w="698" w:type="dxa"/>
            <w:shd w:val="clear" w:color="auto" w:fill="auto"/>
            <w:vAlign w:val="center"/>
          </w:tcPr>
          <w:p w14:paraId="1F26F27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1,8</w:t>
            </w:r>
          </w:p>
        </w:tc>
        <w:tc>
          <w:tcPr>
            <w:tcW w:w="577" w:type="dxa"/>
            <w:shd w:val="clear" w:color="auto" w:fill="auto"/>
            <w:vAlign w:val="center"/>
          </w:tcPr>
          <w:p w14:paraId="342FB1D8"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-2,7</w:t>
            </w:r>
          </w:p>
        </w:tc>
        <w:tc>
          <w:tcPr>
            <w:tcW w:w="606" w:type="dxa"/>
            <w:shd w:val="clear" w:color="auto" w:fill="auto"/>
            <w:vAlign w:val="center"/>
          </w:tcPr>
          <w:p w14:paraId="24C6685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6,9</w:t>
            </w:r>
          </w:p>
        </w:tc>
      </w:tr>
      <w:tr w:rsidR="00C82386" w14:paraId="609B5B65" w14:textId="77777777">
        <w:trPr>
          <w:trHeight w:val="276"/>
          <w:jc w:val="center"/>
        </w:trPr>
        <w:tc>
          <w:tcPr>
            <w:tcW w:w="1108" w:type="dxa"/>
            <w:tcBorders>
              <w:top w:val="single" w:sz="4" w:space="0" w:color="000000"/>
              <w:left w:val="single" w:sz="4" w:space="0" w:color="000000"/>
              <w:bottom w:val="single" w:sz="4" w:space="0" w:color="000000"/>
              <w:right w:val="single" w:sz="4" w:space="0" w:color="000000"/>
            </w:tcBorders>
          </w:tcPr>
          <w:p w14:paraId="129D7738" w14:textId="77777777" w:rsidR="00C82386" w:rsidRPr="00C8122B" w:rsidRDefault="00E66F64">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Середня макс.</w:t>
            </w:r>
          </w:p>
        </w:tc>
        <w:tc>
          <w:tcPr>
            <w:tcW w:w="7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34FAC"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-2,9</w:t>
            </w:r>
          </w:p>
        </w:tc>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5965"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-1,4</w:t>
            </w:r>
          </w:p>
        </w:tc>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63E59"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3,7</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2C13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12,7</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14CB"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19,5</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9F17"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22,4</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00C3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23,4</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0C80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23,1</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5D9A7"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18,5</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BCF36"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12,0</w:t>
            </w:r>
          </w:p>
        </w:tc>
        <w:tc>
          <w:tcPr>
            <w:tcW w:w="6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0189"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4,6</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CEA7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-0,2</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ACCB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11,3</w:t>
            </w:r>
          </w:p>
        </w:tc>
      </w:tr>
      <w:tr w:rsidR="00C82386" w14:paraId="292F1ABC" w14:textId="77777777">
        <w:trPr>
          <w:trHeight w:val="276"/>
          <w:jc w:val="center"/>
        </w:trPr>
        <w:tc>
          <w:tcPr>
            <w:tcW w:w="1108" w:type="dxa"/>
            <w:tcBorders>
              <w:top w:val="single" w:sz="4" w:space="0" w:color="000000"/>
              <w:left w:val="single" w:sz="4" w:space="0" w:color="000000"/>
              <w:bottom w:val="single" w:sz="4" w:space="0" w:color="000000"/>
              <w:right w:val="single" w:sz="4" w:space="0" w:color="000000"/>
            </w:tcBorders>
          </w:tcPr>
          <w:p w14:paraId="430E26BB" w14:textId="77777777" w:rsidR="00C82386" w:rsidRPr="00C8122B" w:rsidRDefault="00E66F64">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 xml:space="preserve">Середня мін. </w:t>
            </w:r>
          </w:p>
        </w:tc>
        <w:tc>
          <w:tcPr>
            <w:tcW w:w="7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0A323"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-9,2</w:t>
            </w:r>
          </w:p>
        </w:tc>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F28F6"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-7,8</w:t>
            </w:r>
          </w:p>
        </w:tc>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36EDD"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-3,4</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0D3BF"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3,3</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840D2"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8,5</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B8A7C"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11,7</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C9ADA"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13,0</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D74F1"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12,2</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BE990"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8,2</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C1301"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3,5</w:t>
            </w:r>
          </w:p>
        </w:tc>
        <w:tc>
          <w:tcPr>
            <w:tcW w:w="6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1DF7D"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-0,8</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774E3"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-5,4</w:t>
            </w:r>
          </w:p>
        </w:tc>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BDDF7" w14:textId="77777777" w:rsidR="00C82386" w:rsidRPr="00C8122B" w:rsidRDefault="00E66F64" w:rsidP="00E34AC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2,8</w:t>
            </w:r>
          </w:p>
        </w:tc>
      </w:tr>
    </w:tbl>
    <w:p w14:paraId="0F215526"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Згідно кліматичної норми 1961-1990 рр. середня кількість днів з температурою повітря +30°С та вище за рік становить 4,8, з найвищою їх повторюваністю (1,9) у липні. </w:t>
      </w:r>
    </w:p>
    <w:p w14:paraId="0CCC44C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Протягом року у місті випадає 607 мм опадів (табл. 2.2.), при цьому в теплий період кількість опадів в 2,5 рази більша, ніж в холодний. </w:t>
      </w:r>
    </w:p>
    <w:p w14:paraId="13778C6B"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2.2</w:t>
      </w:r>
    </w:p>
    <w:p w14:paraId="6C529D9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опадів (мм) у м. Житомир за період 1961-1990 рр.</w:t>
      </w:r>
      <w:r>
        <w:rPr>
          <w:rFonts w:ascii="Times New Roman" w:eastAsia="Times New Roman" w:hAnsi="Times New Roman" w:cs="Times New Roman"/>
          <w:sz w:val="24"/>
          <w:szCs w:val="24"/>
          <w:vertAlign w:val="superscript"/>
        </w:rPr>
        <w:footnoteReference w:id="3"/>
      </w:r>
    </w:p>
    <w:tbl>
      <w:tblPr>
        <w:tblStyle w:val="afff2"/>
        <w:tblW w:w="864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6"/>
        <w:gridCol w:w="436"/>
        <w:gridCol w:w="491"/>
        <w:gridCol w:w="504"/>
        <w:gridCol w:w="436"/>
        <w:gridCol w:w="504"/>
        <w:gridCol w:w="577"/>
        <w:gridCol w:w="650"/>
        <w:gridCol w:w="504"/>
        <w:gridCol w:w="436"/>
        <w:gridCol w:w="449"/>
        <w:gridCol w:w="577"/>
        <w:gridCol w:w="1170"/>
        <w:gridCol w:w="912"/>
        <w:gridCol w:w="562"/>
      </w:tblGrid>
      <w:tr w:rsidR="00C82386" w14:paraId="3B223778" w14:textId="77777777">
        <w:trPr>
          <w:trHeight w:val="276"/>
          <w:jc w:val="center"/>
        </w:trPr>
        <w:tc>
          <w:tcPr>
            <w:tcW w:w="436" w:type="dxa"/>
            <w:shd w:val="clear" w:color="auto" w:fill="auto"/>
            <w:vAlign w:val="center"/>
          </w:tcPr>
          <w:p w14:paraId="387496F4"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w:t>
            </w:r>
          </w:p>
        </w:tc>
        <w:tc>
          <w:tcPr>
            <w:tcW w:w="436" w:type="dxa"/>
            <w:shd w:val="clear" w:color="auto" w:fill="auto"/>
            <w:vAlign w:val="center"/>
          </w:tcPr>
          <w:p w14:paraId="6BCFD419"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ІІ</w:t>
            </w:r>
          </w:p>
        </w:tc>
        <w:tc>
          <w:tcPr>
            <w:tcW w:w="491" w:type="dxa"/>
            <w:shd w:val="clear" w:color="auto" w:fill="auto"/>
            <w:vAlign w:val="center"/>
          </w:tcPr>
          <w:p w14:paraId="1F08AB89"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ІІІ</w:t>
            </w:r>
          </w:p>
        </w:tc>
        <w:tc>
          <w:tcPr>
            <w:tcW w:w="504" w:type="dxa"/>
            <w:shd w:val="clear" w:color="auto" w:fill="auto"/>
            <w:vAlign w:val="center"/>
          </w:tcPr>
          <w:p w14:paraId="2AA96257"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IV</w:t>
            </w:r>
          </w:p>
        </w:tc>
        <w:tc>
          <w:tcPr>
            <w:tcW w:w="436" w:type="dxa"/>
            <w:shd w:val="clear" w:color="auto" w:fill="auto"/>
            <w:vAlign w:val="center"/>
          </w:tcPr>
          <w:p w14:paraId="3F2E6697"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w:t>
            </w:r>
          </w:p>
        </w:tc>
        <w:tc>
          <w:tcPr>
            <w:tcW w:w="504" w:type="dxa"/>
            <w:shd w:val="clear" w:color="auto" w:fill="auto"/>
            <w:vAlign w:val="center"/>
          </w:tcPr>
          <w:p w14:paraId="72229787"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w:t>
            </w:r>
          </w:p>
        </w:tc>
        <w:tc>
          <w:tcPr>
            <w:tcW w:w="577" w:type="dxa"/>
            <w:shd w:val="clear" w:color="auto" w:fill="auto"/>
            <w:vAlign w:val="center"/>
          </w:tcPr>
          <w:p w14:paraId="341C0CBB"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VII</w:t>
            </w:r>
          </w:p>
        </w:tc>
        <w:tc>
          <w:tcPr>
            <w:tcW w:w="650" w:type="dxa"/>
            <w:shd w:val="clear" w:color="auto" w:fill="auto"/>
            <w:vAlign w:val="center"/>
          </w:tcPr>
          <w:p w14:paraId="332130FC"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VIII</w:t>
            </w:r>
          </w:p>
        </w:tc>
        <w:tc>
          <w:tcPr>
            <w:tcW w:w="504" w:type="dxa"/>
            <w:shd w:val="clear" w:color="auto" w:fill="auto"/>
            <w:vAlign w:val="center"/>
          </w:tcPr>
          <w:p w14:paraId="1B60FF3A"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IX</w:t>
            </w:r>
          </w:p>
        </w:tc>
        <w:tc>
          <w:tcPr>
            <w:tcW w:w="436" w:type="dxa"/>
            <w:shd w:val="clear" w:color="auto" w:fill="auto"/>
            <w:vAlign w:val="center"/>
          </w:tcPr>
          <w:p w14:paraId="732C1914"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w:t>
            </w:r>
          </w:p>
        </w:tc>
        <w:tc>
          <w:tcPr>
            <w:tcW w:w="449" w:type="dxa"/>
            <w:shd w:val="clear" w:color="auto" w:fill="auto"/>
            <w:vAlign w:val="center"/>
          </w:tcPr>
          <w:p w14:paraId="7DCAF944"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XI</w:t>
            </w:r>
          </w:p>
        </w:tc>
        <w:tc>
          <w:tcPr>
            <w:tcW w:w="577" w:type="dxa"/>
            <w:shd w:val="clear" w:color="auto" w:fill="auto"/>
            <w:vAlign w:val="center"/>
          </w:tcPr>
          <w:p w14:paraId="6EC9A035"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XII</w:t>
            </w:r>
          </w:p>
        </w:tc>
        <w:tc>
          <w:tcPr>
            <w:tcW w:w="1170" w:type="dxa"/>
            <w:shd w:val="clear" w:color="auto" w:fill="auto"/>
            <w:vAlign w:val="center"/>
          </w:tcPr>
          <w:p w14:paraId="481410DB"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Холодний</w:t>
            </w:r>
          </w:p>
          <w:p w14:paraId="44D78849"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період</w:t>
            </w:r>
          </w:p>
        </w:tc>
        <w:tc>
          <w:tcPr>
            <w:tcW w:w="912" w:type="dxa"/>
            <w:shd w:val="clear" w:color="auto" w:fill="auto"/>
            <w:vAlign w:val="center"/>
          </w:tcPr>
          <w:p w14:paraId="1B94337C"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Теплий період</w:t>
            </w:r>
          </w:p>
        </w:tc>
        <w:tc>
          <w:tcPr>
            <w:tcW w:w="562" w:type="dxa"/>
            <w:shd w:val="clear" w:color="auto" w:fill="auto"/>
            <w:vAlign w:val="center"/>
          </w:tcPr>
          <w:p w14:paraId="1F87E328"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Рік</w:t>
            </w:r>
          </w:p>
        </w:tc>
      </w:tr>
      <w:tr w:rsidR="00C82386" w14:paraId="3AC25892" w14:textId="77777777">
        <w:trPr>
          <w:trHeight w:val="276"/>
          <w:jc w:val="center"/>
        </w:trPr>
        <w:tc>
          <w:tcPr>
            <w:tcW w:w="436" w:type="dxa"/>
            <w:shd w:val="clear" w:color="auto" w:fill="auto"/>
          </w:tcPr>
          <w:p w14:paraId="2AB6CA71"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32</w:t>
            </w:r>
          </w:p>
        </w:tc>
        <w:tc>
          <w:tcPr>
            <w:tcW w:w="436" w:type="dxa"/>
            <w:shd w:val="clear" w:color="auto" w:fill="auto"/>
          </w:tcPr>
          <w:p w14:paraId="41810E58"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28</w:t>
            </w:r>
          </w:p>
        </w:tc>
        <w:tc>
          <w:tcPr>
            <w:tcW w:w="491" w:type="dxa"/>
            <w:shd w:val="clear" w:color="auto" w:fill="auto"/>
          </w:tcPr>
          <w:p w14:paraId="0F100FC7"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31</w:t>
            </w:r>
          </w:p>
        </w:tc>
        <w:tc>
          <w:tcPr>
            <w:tcW w:w="504" w:type="dxa"/>
            <w:shd w:val="clear" w:color="auto" w:fill="auto"/>
          </w:tcPr>
          <w:p w14:paraId="7639F58B"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44</w:t>
            </w:r>
          </w:p>
        </w:tc>
        <w:tc>
          <w:tcPr>
            <w:tcW w:w="436" w:type="dxa"/>
            <w:shd w:val="clear" w:color="auto" w:fill="auto"/>
          </w:tcPr>
          <w:p w14:paraId="288DD4CD"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58</w:t>
            </w:r>
          </w:p>
        </w:tc>
        <w:tc>
          <w:tcPr>
            <w:tcW w:w="504" w:type="dxa"/>
            <w:shd w:val="clear" w:color="auto" w:fill="auto"/>
          </w:tcPr>
          <w:p w14:paraId="64298753"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76</w:t>
            </w:r>
          </w:p>
        </w:tc>
        <w:tc>
          <w:tcPr>
            <w:tcW w:w="577" w:type="dxa"/>
            <w:shd w:val="clear" w:color="auto" w:fill="auto"/>
          </w:tcPr>
          <w:p w14:paraId="2839669A"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96</w:t>
            </w:r>
          </w:p>
        </w:tc>
        <w:tc>
          <w:tcPr>
            <w:tcW w:w="650" w:type="dxa"/>
            <w:shd w:val="clear" w:color="auto" w:fill="auto"/>
          </w:tcPr>
          <w:p w14:paraId="3D21E78E"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75</w:t>
            </w:r>
          </w:p>
        </w:tc>
        <w:tc>
          <w:tcPr>
            <w:tcW w:w="504" w:type="dxa"/>
            <w:shd w:val="clear" w:color="auto" w:fill="auto"/>
          </w:tcPr>
          <w:p w14:paraId="58BD029C"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51</w:t>
            </w:r>
          </w:p>
        </w:tc>
        <w:tc>
          <w:tcPr>
            <w:tcW w:w="436" w:type="dxa"/>
            <w:shd w:val="clear" w:color="auto" w:fill="auto"/>
          </w:tcPr>
          <w:p w14:paraId="6619F436"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34</w:t>
            </w:r>
          </w:p>
        </w:tc>
        <w:tc>
          <w:tcPr>
            <w:tcW w:w="449" w:type="dxa"/>
            <w:shd w:val="clear" w:color="auto" w:fill="auto"/>
          </w:tcPr>
          <w:p w14:paraId="0CBA97C8"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44</w:t>
            </w:r>
          </w:p>
        </w:tc>
        <w:tc>
          <w:tcPr>
            <w:tcW w:w="577" w:type="dxa"/>
            <w:shd w:val="clear" w:color="auto" w:fill="auto"/>
          </w:tcPr>
          <w:p w14:paraId="6D5D972A"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38</w:t>
            </w:r>
          </w:p>
        </w:tc>
        <w:tc>
          <w:tcPr>
            <w:tcW w:w="1170" w:type="dxa"/>
            <w:shd w:val="clear" w:color="auto" w:fill="auto"/>
          </w:tcPr>
          <w:p w14:paraId="3A7D1959"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173</w:t>
            </w:r>
          </w:p>
        </w:tc>
        <w:tc>
          <w:tcPr>
            <w:tcW w:w="912" w:type="dxa"/>
            <w:shd w:val="clear" w:color="auto" w:fill="auto"/>
          </w:tcPr>
          <w:p w14:paraId="6C42452B"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434</w:t>
            </w:r>
          </w:p>
        </w:tc>
        <w:tc>
          <w:tcPr>
            <w:tcW w:w="562" w:type="dxa"/>
            <w:shd w:val="clear" w:color="auto" w:fill="auto"/>
          </w:tcPr>
          <w:p w14:paraId="45647AA8" w14:textId="77777777" w:rsidR="00C82386" w:rsidRPr="00C8122B" w:rsidRDefault="00E66F64" w:rsidP="00C8122B">
            <w:pPr>
              <w:spacing w:after="0" w:line="240" w:lineRule="auto"/>
              <w:jc w:val="center"/>
              <w:rPr>
                <w:rFonts w:ascii="Times New Roman" w:eastAsia="Times New Roman" w:hAnsi="Times New Roman" w:cs="Times New Roman"/>
                <w:sz w:val="20"/>
              </w:rPr>
            </w:pPr>
            <w:r w:rsidRPr="00C8122B">
              <w:rPr>
                <w:rFonts w:ascii="Times New Roman" w:eastAsia="Times New Roman" w:hAnsi="Times New Roman" w:cs="Times New Roman"/>
                <w:sz w:val="20"/>
              </w:rPr>
              <w:t>607</w:t>
            </w:r>
          </w:p>
        </w:tc>
      </w:tr>
    </w:tbl>
    <w:p w14:paraId="4CCCB533"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Середня річна відносна вологість становить 79%, в холодний період (жовтень–березень) середні місячні значення варіюються від 81 до 88%, в теплий – 69-77%, з максимумом у грудні та мінімумом у травні. </w:t>
      </w:r>
    </w:p>
    <w:p w14:paraId="64504F6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Середня річна швидкість вітру становить 4,1 м/с. З жовтня по квітень фіксуються вищі швидкості вітру (4,0-4,8 м/с), з травня по вересень середні місячні швидкості вітру є дещо нижчими (3,2-3,7 м/с). </w:t>
      </w:r>
    </w:p>
    <w:p w14:paraId="7802EF24" w14:textId="77777777" w:rsidR="00C82386" w:rsidRDefault="00E66F64">
      <w:pPr>
        <w:spacing w:before="120"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Вплив зміни клімату на території Житомирської міської територіальної громади</w:t>
      </w:r>
    </w:p>
    <w:p w14:paraId="239D3848"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останні десятиліття в Житомирі та області зафіксовані прояви глобальної зміни клімату. Середня температура повітря за 1981-2010 рр. становила 7,6°С, тобто перевищувала цей показник за 1961-1990 рр. на 0,7°С, середня максимальна за рік температура підвищилася на 0,8°С, середня мінімальна – на 0,7°С. Найбільше відхилення </w:t>
      </w:r>
      <w:r>
        <w:rPr>
          <w:rFonts w:ascii="Times New Roman" w:eastAsia="Times New Roman" w:hAnsi="Times New Roman" w:cs="Times New Roman"/>
          <w:sz w:val="24"/>
          <w:szCs w:val="24"/>
        </w:rPr>
        <w:lastRenderedPageBreak/>
        <w:t xml:space="preserve">значення температури повітря спостерігається в зимовий сезон – середньої на 1,4°С, середньої максимальної – на 1,1°С, середньої мінімальної – на 1,7°С (табл. 2.3). </w:t>
      </w:r>
    </w:p>
    <w:p w14:paraId="6184F3E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Зростання температури повітря на Житомирщині в останні роки відбувається ще швидшими темпами – середньорічна температура повітря за 2000-2015 рр. була на 1,8°С вищою, порівняно з 1961-1990 рр. (табл. 2.4). Зростання середньої температури повітря відбулося в усі сезони та місяці року. Найсуттєвіше підвищилася середня місячна температура в січні та липні (на 2,5°С та 2,4°С відповідно). </w:t>
      </w:r>
    </w:p>
    <w:p w14:paraId="448DC54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Житомирській області зменшується кількість днів з морозом та спостерігається тенденція до зменшення суворості зими. У теплий період зростає кількість днів з температурами понад +20°С та понад +25°С. Зміни температурного режиму призводять до зміни тривалості теплого та холодного періодів, періодів активної вегетації морозостійких та теплолюбних рослин.</w:t>
      </w:r>
    </w:p>
    <w:p w14:paraId="0DD5FEE7"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2.3</w:t>
      </w:r>
    </w:p>
    <w:p w14:paraId="65A089A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Температура повітря у Житомирській області</w:t>
      </w:r>
      <w:r>
        <w:rPr>
          <w:rFonts w:ascii="Times New Roman" w:eastAsia="Times New Roman" w:hAnsi="Times New Roman" w:cs="Times New Roman"/>
          <w:sz w:val="24"/>
          <w:szCs w:val="24"/>
          <w:vertAlign w:val="superscript"/>
        </w:rPr>
        <w:footnoteReference w:id="4"/>
      </w:r>
    </w:p>
    <w:tbl>
      <w:tblPr>
        <w:tblStyle w:val="afff3"/>
        <w:tblW w:w="9531" w:type="dxa"/>
        <w:jc w:val="center"/>
        <w:tblInd w:w="0" w:type="dxa"/>
        <w:tblLayout w:type="fixed"/>
        <w:tblLook w:val="0400" w:firstRow="0" w:lastRow="0" w:firstColumn="0" w:lastColumn="0" w:noHBand="0" w:noVBand="1"/>
      </w:tblPr>
      <w:tblGrid>
        <w:gridCol w:w="778"/>
        <w:gridCol w:w="776"/>
        <w:gridCol w:w="776"/>
        <w:gridCol w:w="847"/>
        <w:gridCol w:w="778"/>
        <w:gridCol w:w="776"/>
        <w:gridCol w:w="776"/>
        <w:gridCol w:w="847"/>
        <w:gridCol w:w="778"/>
        <w:gridCol w:w="776"/>
        <w:gridCol w:w="776"/>
        <w:gridCol w:w="847"/>
      </w:tblGrid>
      <w:tr w:rsidR="00C82386" w14:paraId="0F7F96A2" w14:textId="77777777">
        <w:trPr>
          <w:trHeight w:val="288"/>
          <w:jc w:val="center"/>
        </w:trPr>
        <w:tc>
          <w:tcPr>
            <w:tcW w:w="3177"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5ACEC70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Середня температура повітря</w:t>
            </w:r>
          </w:p>
        </w:tc>
        <w:tc>
          <w:tcPr>
            <w:tcW w:w="3177" w:type="dxa"/>
            <w:gridSpan w:val="4"/>
            <w:tcBorders>
              <w:top w:val="single" w:sz="4" w:space="0" w:color="000000"/>
              <w:left w:val="nil"/>
              <w:bottom w:val="single" w:sz="4" w:space="0" w:color="000000"/>
              <w:right w:val="single" w:sz="4" w:space="0" w:color="000000"/>
            </w:tcBorders>
            <w:shd w:val="clear" w:color="auto" w:fill="auto"/>
            <w:vAlign w:val="center"/>
          </w:tcPr>
          <w:p w14:paraId="49B64A2F"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Середня максимальна температура повітря</w:t>
            </w:r>
          </w:p>
        </w:tc>
        <w:tc>
          <w:tcPr>
            <w:tcW w:w="3177" w:type="dxa"/>
            <w:gridSpan w:val="4"/>
            <w:tcBorders>
              <w:top w:val="single" w:sz="4" w:space="0" w:color="000000"/>
              <w:left w:val="nil"/>
              <w:bottom w:val="single" w:sz="4" w:space="0" w:color="000000"/>
              <w:right w:val="single" w:sz="4" w:space="0" w:color="000000"/>
            </w:tcBorders>
            <w:shd w:val="clear" w:color="auto" w:fill="auto"/>
            <w:vAlign w:val="center"/>
          </w:tcPr>
          <w:p w14:paraId="7148C37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Середня мінімальна температура повітря</w:t>
            </w:r>
          </w:p>
        </w:tc>
      </w:tr>
      <w:tr w:rsidR="00C82386" w14:paraId="4CF4B9C9"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2CC275A2"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w:t>
            </w:r>
          </w:p>
        </w:tc>
        <w:tc>
          <w:tcPr>
            <w:tcW w:w="776" w:type="dxa"/>
            <w:tcBorders>
              <w:top w:val="nil"/>
              <w:left w:val="nil"/>
              <w:bottom w:val="single" w:sz="4" w:space="0" w:color="000000"/>
              <w:right w:val="single" w:sz="4" w:space="0" w:color="000000"/>
            </w:tcBorders>
            <w:shd w:val="clear" w:color="auto" w:fill="auto"/>
            <w:vAlign w:val="bottom"/>
          </w:tcPr>
          <w:p w14:paraId="3B2784D8"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1961-1990</w:t>
            </w:r>
          </w:p>
        </w:tc>
        <w:tc>
          <w:tcPr>
            <w:tcW w:w="776" w:type="dxa"/>
            <w:tcBorders>
              <w:top w:val="nil"/>
              <w:left w:val="nil"/>
              <w:bottom w:val="single" w:sz="4" w:space="0" w:color="000000"/>
              <w:right w:val="single" w:sz="4" w:space="0" w:color="000000"/>
            </w:tcBorders>
            <w:shd w:val="clear" w:color="auto" w:fill="auto"/>
            <w:vAlign w:val="bottom"/>
          </w:tcPr>
          <w:p w14:paraId="762026C3"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1981-2010</w:t>
            </w:r>
          </w:p>
        </w:tc>
        <w:tc>
          <w:tcPr>
            <w:tcW w:w="847" w:type="dxa"/>
            <w:tcBorders>
              <w:top w:val="nil"/>
              <w:left w:val="nil"/>
              <w:bottom w:val="single" w:sz="4" w:space="0" w:color="000000"/>
              <w:right w:val="single" w:sz="4" w:space="0" w:color="000000"/>
            </w:tcBorders>
            <w:shd w:val="clear" w:color="auto" w:fill="auto"/>
            <w:vAlign w:val="bottom"/>
          </w:tcPr>
          <w:p w14:paraId="4A7BEDF1"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відхи-лення</w:t>
            </w:r>
          </w:p>
        </w:tc>
        <w:tc>
          <w:tcPr>
            <w:tcW w:w="778" w:type="dxa"/>
            <w:tcBorders>
              <w:top w:val="nil"/>
              <w:left w:val="nil"/>
              <w:bottom w:val="single" w:sz="4" w:space="0" w:color="000000"/>
              <w:right w:val="single" w:sz="4" w:space="0" w:color="000000"/>
            </w:tcBorders>
            <w:shd w:val="clear" w:color="auto" w:fill="auto"/>
            <w:vAlign w:val="bottom"/>
          </w:tcPr>
          <w:p w14:paraId="0F640DFF"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w:t>
            </w:r>
          </w:p>
        </w:tc>
        <w:tc>
          <w:tcPr>
            <w:tcW w:w="776" w:type="dxa"/>
            <w:tcBorders>
              <w:top w:val="nil"/>
              <w:left w:val="nil"/>
              <w:bottom w:val="single" w:sz="4" w:space="0" w:color="000000"/>
              <w:right w:val="single" w:sz="4" w:space="0" w:color="000000"/>
            </w:tcBorders>
            <w:shd w:val="clear" w:color="auto" w:fill="auto"/>
            <w:vAlign w:val="bottom"/>
          </w:tcPr>
          <w:p w14:paraId="0C79A224"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1961-1990</w:t>
            </w:r>
          </w:p>
        </w:tc>
        <w:tc>
          <w:tcPr>
            <w:tcW w:w="776" w:type="dxa"/>
            <w:tcBorders>
              <w:top w:val="nil"/>
              <w:left w:val="nil"/>
              <w:bottom w:val="single" w:sz="4" w:space="0" w:color="000000"/>
              <w:right w:val="single" w:sz="4" w:space="0" w:color="000000"/>
            </w:tcBorders>
            <w:shd w:val="clear" w:color="auto" w:fill="auto"/>
            <w:vAlign w:val="bottom"/>
          </w:tcPr>
          <w:p w14:paraId="314E02E4"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1981-2010</w:t>
            </w:r>
          </w:p>
        </w:tc>
        <w:tc>
          <w:tcPr>
            <w:tcW w:w="847" w:type="dxa"/>
            <w:tcBorders>
              <w:top w:val="nil"/>
              <w:left w:val="nil"/>
              <w:bottom w:val="single" w:sz="4" w:space="0" w:color="000000"/>
              <w:right w:val="single" w:sz="4" w:space="0" w:color="000000"/>
            </w:tcBorders>
            <w:shd w:val="clear" w:color="auto" w:fill="auto"/>
            <w:vAlign w:val="bottom"/>
          </w:tcPr>
          <w:p w14:paraId="18D1A711"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відхи-лення</w:t>
            </w:r>
          </w:p>
        </w:tc>
        <w:tc>
          <w:tcPr>
            <w:tcW w:w="778" w:type="dxa"/>
            <w:tcBorders>
              <w:top w:val="nil"/>
              <w:left w:val="nil"/>
              <w:bottom w:val="single" w:sz="4" w:space="0" w:color="000000"/>
              <w:right w:val="single" w:sz="4" w:space="0" w:color="000000"/>
            </w:tcBorders>
            <w:shd w:val="clear" w:color="auto" w:fill="auto"/>
            <w:vAlign w:val="bottom"/>
          </w:tcPr>
          <w:p w14:paraId="3E030088"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w:t>
            </w:r>
          </w:p>
        </w:tc>
        <w:tc>
          <w:tcPr>
            <w:tcW w:w="776" w:type="dxa"/>
            <w:tcBorders>
              <w:top w:val="nil"/>
              <w:left w:val="nil"/>
              <w:bottom w:val="single" w:sz="4" w:space="0" w:color="000000"/>
              <w:right w:val="single" w:sz="4" w:space="0" w:color="000000"/>
            </w:tcBorders>
            <w:shd w:val="clear" w:color="auto" w:fill="auto"/>
            <w:vAlign w:val="bottom"/>
          </w:tcPr>
          <w:p w14:paraId="14383494"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1961-1990</w:t>
            </w:r>
          </w:p>
        </w:tc>
        <w:tc>
          <w:tcPr>
            <w:tcW w:w="776" w:type="dxa"/>
            <w:tcBorders>
              <w:top w:val="nil"/>
              <w:left w:val="nil"/>
              <w:bottom w:val="single" w:sz="4" w:space="0" w:color="000000"/>
              <w:right w:val="single" w:sz="4" w:space="0" w:color="000000"/>
            </w:tcBorders>
            <w:shd w:val="clear" w:color="auto" w:fill="auto"/>
            <w:vAlign w:val="bottom"/>
          </w:tcPr>
          <w:p w14:paraId="4B45DD11"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1981-2010</w:t>
            </w:r>
          </w:p>
        </w:tc>
        <w:tc>
          <w:tcPr>
            <w:tcW w:w="847" w:type="dxa"/>
            <w:tcBorders>
              <w:top w:val="nil"/>
              <w:left w:val="nil"/>
              <w:bottom w:val="single" w:sz="4" w:space="0" w:color="000000"/>
              <w:right w:val="single" w:sz="4" w:space="0" w:color="000000"/>
            </w:tcBorders>
            <w:shd w:val="clear" w:color="auto" w:fill="auto"/>
            <w:vAlign w:val="bottom"/>
          </w:tcPr>
          <w:p w14:paraId="523EC412"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відхи-лення</w:t>
            </w:r>
          </w:p>
        </w:tc>
      </w:tr>
      <w:tr w:rsidR="00C82386" w14:paraId="02EEC2C0"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6388264A"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рік</w:t>
            </w:r>
          </w:p>
        </w:tc>
        <w:tc>
          <w:tcPr>
            <w:tcW w:w="776" w:type="dxa"/>
            <w:tcBorders>
              <w:top w:val="nil"/>
              <w:left w:val="nil"/>
              <w:bottom w:val="single" w:sz="4" w:space="0" w:color="000000"/>
              <w:right w:val="single" w:sz="4" w:space="0" w:color="000000"/>
            </w:tcBorders>
            <w:shd w:val="clear" w:color="auto" w:fill="auto"/>
            <w:vAlign w:val="bottom"/>
          </w:tcPr>
          <w:p w14:paraId="7931CFA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6,9</w:t>
            </w:r>
          </w:p>
        </w:tc>
        <w:tc>
          <w:tcPr>
            <w:tcW w:w="776" w:type="dxa"/>
            <w:tcBorders>
              <w:top w:val="nil"/>
              <w:left w:val="nil"/>
              <w:bottom w:val="single" w:sz="4" w:space="0" w:color="000000"/>
              <w:right w:val="single" w:sz="4" w:space="0" w:color="000000"/>
            </w:tcBorders>
            <w:shd w:val="clear" w:color="auto" w:fill="auto"/>
            <w:vAlign w:val="bottom"/>
          </w:tcPr>
          <w:p w14:paraId="06F833A8"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7,6</w:t>
            </w:r>
          </w:p>
        </w:tc>
        <w:tc>
          <w:tcPr>
            <w:tcW w:w="847" w:type="dxa"/>
            <w:tcBorders>
              <w:top w:val="nil"/>
              <w:left w:val="nil"/>
              <w:bottom w:val="single" w:sz="4" w:space="0" w:color="000000"/>
              <w:right w:val="single" w:sz="4" w:space="0" w:color="000000"/>
            </w:tcBorders>
            <w:shd w:val="clear" w:color="auto" w:fill="auto"/>
            <w:vAlign w:val="bottom"/>
          </w:tcPr>
          <w:p w14:paraId="7AE25C6A"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0,7</w:t>
            </w:r>
          </w:p>
        </w:tc>
        <w:tc>
          <w:tcPr>
            <w:tcW w:w="778" w:type="dxa"/>
            <w:tcBorders>
              <w:top w:val="nil"/>
              <w:left w:val="nil"/>
              <w:bottom w:val="single" w:sz="4" w:space="0" w:color="000000"/>
              <w:right w:val="single" w:sz="4" w:space="0" w:color="000000"/>
            </w:tcBorders>
            <w:shd w:val="clear" w:color="auto" w:fill="auto"/>
            <w:vAlign w:val="bottom"/>
          </w:tcPr>
          <w:p w14:paraId="59004B0A"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рік</w:t>
            </w:r>
          </w:p>
        </w:tc>
        <w:tc>
          <w:tcPr>
            <w:tcW w:w="776" w:type="dxa"/>
            <w:tcBorders>
              <w:top w:val="nil"/>
              <w:left w:val="nil"/>
              <w:bottom w:val="single" w:sz="4" w:space="0" w:color="000000"/>
              <w:right w:val="single" w:sz="4" w:space="0" w:color="000000"/>
            </w:tcBorders>
            <w:shd w:val="clear" w:color="auto" w:fill="auto"/>
            <w:vAlign w:val="bottom"/>
          </w:tcPr>
          <w:p w14:paraId="7B4B9446"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11,4</w:t>
            </w:r>
          </w:p>
        </w:tc>
        <w:tc>
          <w:tcPr>
            <w:tcW w:w="776" w:type="dxa"/>
            <w:tcBorders>
              <w:top w:val="nil"/>
              <w:left w:val="nil"/>
              <w:bottom w:val="single" w:sz="4" w:space="0" w:color="000000"/>
              <w:right w:val="single" w:sz="4" w:space="0" w:color="000000"/>
            </w:tcBorders>
            <w:shd w:val="clear" w:color="auto" w:fill="auto"/>
            <w:vAlign w:val="bottom"/>
          </w:tcPr>
          <w:p w14:paraId="1D8432E0"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12,2</w:t>
            </w:r>
          </w:p>
        </w:tc>
        <w:tc>
          <w:tcPr>
            <w:tcW w:w="847" w:type="dxa"/>
            <w:tcBorders>
              <w:top w:val="nil"/>
              <w:left w:val="nil"/>
              <w:bottom w:val="single" w:sz="4" w:space="0" w:color="000000"/>
              <w:right w:val="single" w:sz="4" w:space="0" w:color="000000"/>
            </w:tcBorders>
            <w:shd w:val="clear" w:color="auto" w:fill="auto"/>
            <w:vAlign w:val="bottom"/>
          </w:tcPr>
          <w:p w14:paraId="73A06F26"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0,8</w:t>
            </w:r>
          </w:p>
        </w:tc>
        <w:tc>
          <w:tcPr>
            <w:tcW w:w="778" w:type="dxa"/>
            <w:tcBorders>
              <w:top w:val="nil"/>
              <w:left w:val="nil"/>
              <w:bottom w:val="single" w:sz="4" w:space="0" w:color="000000"/>
              <w:right w:val="single" w:sz="4" w:space="0" w:color="000000"/>
            </w:tcBorders>
            <w:shd w:val="clear" w:color="auto" w:fill="auto"/>
            <w:vAlign w:val="bottom"/>
          </w:tcPr>
          <w:p w14:paraId="6CD4F259"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рік</w:t>
            </w:r>
          </w:p>
        </w:tc>
        <w:tc>
          <w:tcPr>
            <w:tcW w:w="776" w:type="dxa"/>
            <w:tcBorders>
              <w:top w:val="nil"/>
              <w:left w:val="nil"/>
              <w:bottom w:val="single" w:sz="4" w:space="0" w:color="000000"/>
              <w:right w:val="single" w:sz="4" w:space="0" w:color="000000"/>
            </w:tcBorders>
            <w:shd w:val="clear" w:color="auto" w:fill="auto"/>
            <w:vAlign w:val="bottom"/>
          </w:tcPr>
          <w:p w14:paraId="40622FC0"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2,8</w:t>
            </w:r>
          </w:p>
        </w:tc>
        <w:tc>
          <w:tcPr>
            <w:tcW w:w="776" w:type="dxa"/>
            <w:tcBorders>
              <w:top w:val="nil"/>
              <w:left w:val="nil"/>
              <w:bottom w:val="single" w:sz="4" w:space="0" w:color="000000"/>
              <w:right w:val="single" w:sz="4" w:space="0" w:color="000000"/>
            </w:tcBorders>
            <w:shd w:val="clear" w:color="auto" w:fill="auto"/>
            <w:vAlign w:val="bottom"/>
          </w:tcPr>
          <w:p w14:paraId="11CEB67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3,5</w:t>
            </w:r>
          </w:p>
        </w:tc>
        <w:tc>
          <w:tcPr>
            <w:tcW w:w="847" w:type="dxa"/>
            <w:tcBorders>
              <w:top w:val="nil"/>
              <w:left w:val="nil"/>
              <w:bottom w:val="single" w:sz="4" w:space="0" w:color="000000"/>
              <w:right w:val="single" w:sz="4" w:space="0" w:color="000000"/>
            </w:tcBorders>
            <w:shd w:val="clear" w:color="auto" w:fill="auto"/>
            <w:vAlign w:val="bottom"/>
          </w:tcPr>
          <w:p w14:paraId="423B95C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0,7</w:t>
            </w:r>
          </w:p>
        </w:tc>
      </w:tr>
      <w:tr w:rsidR="00C82386" w14:paraId="65258489"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1CB1FB18"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зима </w:t>
            </w:r>
          </w:p>
        </w:tc>
        <w:tc>
          <w:tcPr>
            <w:tcW w:w="776" w:type="dxa"/>
            <w:tcBorders>
              <w:top w:val="nil"/>
              <w:left w:val="nil"/>
              <w:bottom w:val="single" w:sz="4" w:space="0" w:color="000000"/>
              <w:right w:val="single" w:sz="4" w:space="0" w:color="000000"/>
            </w:tcBorders>
            <w:shd w:val="clear" w:color="auto" w:fill="auto"/>
            <w:vAlign w:val="bottom"/>
          </w:tcPr>
          <w:p w14:paraId="72FA9C2A"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-4,4</w:t>
            </w:r>
          </w:p>
        </w:tc>
        <w:tc>
          <w:tcPr>
            <w:tcW w:w="776" w:type="dxa"/>
            <w:tcBorders>
              <w:top w:val="nil"/>
              <w:left w:val="nil"/>
              <w:bottom w:val="single" w:sz="4" w:space="0" w:color="000000"/>
              <w:right w:val="single" w:sz="4" w:space="0" w:color="000000"/>
            </w:tcBorders>
            <w:shd w:val="clear" w:color="auto" w:fill="auto"/>
            <w:vAlign w:val="bottom"/>
          </w:tcPr>
          <w:p w14:paraId="1345DCF0"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-3</w:t>
            </w:r>
          </w:p>
        </w:tc>
        <w:tc>
          <w:tcPr>
            <w:tcW w:w="847" w:type="dxa"/>
            <w:tcBorders>
              <w:top w:val="nil"/>
              <w:left w:val="nil"/>
              <w:bottom w:val="single" w:sz="4" w:space="0" w:color="000000"/>
              <w:right w:val="single" w:sz="4" w:space="0" w:color="000000"/>
            </w:tcBorders>
            <w:shd w:val="clear" w:color="auto" w:fill="auto"/>
            <w:vAlign w:val="bottom"/>
          </w:tcPr>
          <w:p w14:paraId="7A39A964"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1,4</w:t>
            </w:r>
          </w:p>
        </w:tc>
        <w:tc>
          <w:tcPr>
            <w:tcW w:w="778" w:type="dxa"/>
            <w:tcBorders>
              <w:top w:val="nil"/>
              <w:left w:val="nil"/>
              <w:bottom w:val="single" w:sz="4" w:space="0" w:color="000000"/>
              <w:right w:val="single" w:sz="4" w:space="0" w:color="000000"/>
            </w:tcBorders>
            <w:shd w:val="clear" w:color="auto" w:fill="auto"/>
            <w:vAlign w:val="bottom"/>
          </w:tcPr>
          <w:p w14:paraId="1124691A"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зима </w:t>
            </w:r>
          </w:p>
        </w:tc>
        <w:tc>
          <w:tcPr>
            <w:tcW w:w="776" w:type="dxa"/>
            <w:tcBorders>
              <w:top w:val="nil"/>
              <w:left w:val="nil"/>
              <w:bottom w:val="single" w:sz="4" w:space="0" w:color="000000"/>
              <w:right w:val="single" w:sz="4" w:space="0" w:color="000000"/>
            </w:tcBorders>
            <w:shd w:val="clear" w:color="auto" w:fill="auto"/>
            <w:vAlign w:val="bottom"/>
          </w:tcPr>
          <w:p w14:paraId="3CE0C304"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-1,4</w:t>
            </w:r>
          </w:p>
        </w:tc>
        <w:tc>
          <w:tcPr>
            <w:tcW w:w="776" w:type="dxa"/>
            <w:tcBorders>
              <w:top w:val="nil"/>
              <w:left w:val="nil"/>
              <w:bottom w:val="single" w:sz="4" w:space="0" w:color="000000"/>
              <w:right w:val="single" w:sz="4" w:space="0" w:color="000000"/>
            </w:tcBorders>
            <w:shd w:val="clear" w:color="auto" w:fill="auto"/>
            <w:vAlign w:val="bottom"/>
          </w:tcPr>
          <w:p w14:paraId="15A64F9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-0,3</w:t>
            </w:r>
          </w:p>
        </w:tc>
        <w:tc>
          <w:tcPr>
            <w:tcW w:w="847" w:type="dxa"/>
            <w:tcBorders>
              <w:top w:val="nil"/>
              <w:left w:val="nil"/>
              <w:bottom w:val="single" w:sz="4" w:space="0" w:color="000000"/>
              <w:right w:val="single" w:sz="4" w:space="0" w:color="000000"/>
            </w:tcBorders>
            <w:shd w:val="clear" w:color="auto" w:fill="auto"/>
            <w:vAlign w:val="bottom"/>
          </w:tcPr>
          <w:p w14:paraId="284907B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1,1</w:t>
            </w:r>
          </w:p>
        </w:tc>
        <w:tc>
          <w:tcPr>
            <w:tcW w:w="778" w:type="dxa"/>
            <w:tcBorders>
              <w:top w:val="nil"/>
              <w:left w:val="nil"/>
              <w:bottom w:val="single" w:sz="4" w:space="0" w:color="000000"/>
              <w:right w:val="single" w:sz="4" w:space="0" w:color="000000"/>
            </w:tcBorders>
            <w:shd w:val="clear" w:color="auto" w:fill="auto"/>
            <w:vAlign w:val="bottom"/>
          </w:tcPr>
          <w:p w14:paraId="14BA9F00"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зима </w:t>
            </w:r>
          </w:p>
        </w:tc>
        <w:tc>
          <w:tcPr>
            <w:tcW w:w="776" w:type="dxa"/>
            <w:tcBorders>
              <w:top w:val="nil"/>
              <w:left w:val="nil"/>
              <w:bottom w:val="single" w:sz="4" w:space="0" w:color="000000"/>
              <w:right w:val="single" w:sz="4" w:space="0" w:color="000000"/>
            </w:tcBorders>
            <w:shd w:val="clear" w:color="auto" w:fill="auto"/>
            <w:vAlign w:val="bottom"/>
          </w:tcPr>
          <w:p w14:paraId="56728576"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-7,4</w:t>
            </w:r>
          </w:p>
        </w:tc>
        <w:tc>
          <w:tcPr>
            <w:tcW w:w="776" w:type="dxa"/>
            <w:tcBorders>
              <w:top w:val="nil"/>
              <w:left w:val="nil"/>
              <w:bottom w:val="single" w:sz="4" w:space="0" w:color="000000"/>
              <w:right w:val="single" w:sz="4" w:space="0" w:color="000000"/>
            </w:tcBorders>
            <w:shd w:val="clear" w:color="auto" w:fill="auto"/>
            <w:vAlign w:val="bottom"/>
          </w:tcPr>
          <w:p w14:paraId="0276DE22"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-5,7</w:t>
            </w:r>
          </w:p>
        </w:tc>
        <w:tc>
          <w:tcPr>
            <w:tcW w:w="847" w:type="dxa"/>
            <w:tcBorders>
              <w:top w:val="nil"/>
              <w:left w:val="nil"/>
              <w:bottom w:val="single" w:sz="4" w:space="0" w:color="000000"/>
              <w:right w:val="single" w:sz="4" w:space="0" w:color="000000"/>
            </w:tcBorders>
            <w:shd w:val="clear" w:color="auto" w:fill="auto"/>
            <w:vAlign w:val="bottom"/>
          </w:tcPr>
          <w:p w14:paraId="25345ECC"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1,7</w:t>
            </w:r>
          </w:p>
        </w:tc>
      </w:tr>
      <w:tr w:rsidR="00C82386" w14:paraId="28AE86BD"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6B5A7719"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весна</w:t>
            </w:r>
          </w:p>
        </w:tc>
        <w:tc>
          <w:tcPr>
            <w:tcW w:w="776" w:type="dxa"/>
            <w:tcBorders>
              <w:top w:val="nil"/>
              <w:left w:val="nil"/>
              <w:bottom w:val="single" w:sz="4" w:space="0" w:color="000000"/>
              <w:right w:val="single" w:sz="4" w:space="0" w:color="000000"/>
            </w:tcBorders>
            <w:shd w:val="clear" w:color="auto" w:fill="auto"/>
            <w:vAlign w:val="bottom"/>
          </w:tcPr>
          <w:p w14:paraId="0897F98A"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7,3</w:t>
            </w:r>
          </w:p>
        </w:tc>
        <w:tc>
          <w:tcPr>
            <w:tcW w:w="776" w:type="dxa"/>
            <w:tcBorders>
              <w:top w:val="nil"/>
              <w:left w:val="nil"/>
              <w:bottom w:val="single" w:sz="4" w:space="0" w:color="000000"/>
              <w:right w:val="single" w:sz="4" w:space="0" w:color="000000"/>
            </w:tcBorders>
            <w:shd w:val="clear" w:color="auto" w:fill="auto"/>
            <w:vAlign w:val="bottom"/>
          </w:tcPr>
          <w:p w14:paraId="494CD58F"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8</w:t>
            </w:r>
          </w:p>
        </w:tc>
        <w:tc>
          <w:tcPr>
            <w:tcW w:w="847" w:type="dxa"/>
            <w:tcBorders>
              <w:top w:val="nil"/>
              <w:left w:val="nil"/>
              <w:bottom w:val="single" w:sz="4" w:space="0" w:color="000000"/>
              <w:right w:val="single" w:sz="4" w:space="0" w:color="000000"/>
            </w:tcBorders>
            <w:shd w:val="clear" w:color="auto" w:fill="auto"/>
            <w:vAlign w:val="bottom"/>
          </w:tcPr>
          <w:p w14:paraId="23A9B228"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0,7</w:t>
            </w:r>
          </w:p>
        </w:tc>
        <w:tc>
          <w:tcPr>
            <w:tcW w:w="778" w:type="dxa"/>
            <w:tcBorders>
              <w:top w:val="nil"/>
              <w:left w:val="nil"/>
              <w:bottom w:val="single" w:sz="4" w:space="0" w:color="000000"/>
              <w:right w:val="single" w:sz="4" w:space="0" w:color="000000"/>
            </w:tcBorders>
            <w:shd w:val="clear" w:color="auto" w:fill="auto"/>
            <w:vAlign w:val="bottom"/>
          </w:tcPr>
          <w:p w14:paraId="40246EE4"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весна</w:t>
            </w:r>
          </w:p>
        </w:tc>
        <w:tc>
          <w:tcPr>
            <w:tcW w:w="776" w:type="dxa"/>
            <w:tcBorders>
              <w:top w:val="nil"/>
              <w:left w:val="nil"/>
              <w:bottom w:val="single" w:sz="4" w:space="0" w:color="000000"/>
              <w:right w:val="single" w:sz="4" w:space="0" w:color="000000"/>
            </w:tcBorders>
            <w:shd w:val="clear" w:color="auto" w:fill="auto"/>
            <w:vAlign w:val="bottom"/>
          </w:tcPr>
          <w:p w14:paraId="50BEE9CF"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12,2</w:t>
            </w:r>
          </w:p>
        </w:tc>
        <w:tc>
          <w:tcPr>
            <w:tcW w:w="776" w:type="dxa"/>
            <w:tcBorders>
              <w:top w:val="nil"/>
              <w:left w:val="nil"/>
              <w:bottom w:val="single" w:sz="4" w:space="0" w:color="000000"/>
              <w:right w:val="single" w:sz="4" w:space="0" w:color="000000"/>
            </w:tcBorders>
            <w:shd w:val="clear" w:color="auto" w:fill="auto"/>
            <w:vAlign w:val="bottom"/>
          </w:tcPr>
          <w:p w14:paraId="471C80E4"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13,3</w:t>
            </w:r>
          </w:p>
        </w:tc>
        <w:tc>
          <w:tcPr>
            <w:tcW w:w="847" w:type="dxa"/>
            <w:tcBorders>
              <w:top w:val="nil"/>
              <w:left w:val="nil"/>
              <w:bottom w:val="single" w:sz="4" w:space="0" w:color="000000"/>
              <w:right w:val="single" w:sz="4" w:space="0" w:color="000000"/>
            </w:tcBorders>
            <w:shd w:val="clear" w:color="auto" w:fill="auto"/>
            <w:vAlign w:val="bottom"/>
          </w:tcPr>
          <w:p w14:paraId="2B898AB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1,1</w:t>
            </w:r>
          </w:p>
        </w:tc>
        <w:tc>
          <w:tcPr>
            <w:tcW w:w="778" w:type="dxa"/>
            <w:tcBorders>
              <w:top w:val="nil"/>
              <w:left w:val="nil"/>
              <w:bottom w:val="single" w:sz="4" w:space="0" w:color="000000"/>
              <w:right w:val="single" w:sz="4" w:space="0" w:color="000000"/>
            </w:tcBorders>
            <w:shd w:val="clear" w:color="auto" w:fill="auto"/>
            <w:vAlign w:val="bottom"/>
          </w:tcPr>
          <w:p w14:paraId="569C3B51"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весна</w:t>
            </w:r>
          </w:p>
        </w:tc>
        <w:tc>
          <w:tcPr>
            <w:tcW w:w="776" w:type="dxa"/>
            <w:tcBorders>
              <w:top w:val="nil"/>
              <w:left w:val="nil"/>
              <w:bottom w:val="single" w:sz="4" w:space="0" w:color="000000"/>
              <w:right w:val="single" w:sz="4" w:space="0" w:color="000000"/>
            </w:tcBorders>
            <w:shd w:val="clear" w:color="auto" w:fill="auto"/>
            <w:vAlign w:val="bottom"/>
          </w:tcPr>
          <w:p w14:paraId="429C7748"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2,8</w:t>
            </w:r>
          </w:p>
        </w:tc>
        <w:tc>
          <w:tcPr>
            <w:tcW w:w="776" w:type="dxa"/>
            <w:tcBorders>
              <w:top w:val="nil"/>
              <w:left w:val="nil"/>
              <w:bottom w:val="single" w:sz="4" w:space="0" w:color="000000"/>
              <w:right w:val="single" w:sz="4" w:space="0" w:color="000000"/>
            </w:tcBorders>
            <w:shd w:val="clear" w:color="auto" w:fill="auto"/>
            <w:vAlign w:val="bottom"/>
          </w:tcPr>
          <w:p w14:paraId="0798CB5E"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3,3</w:t>
            </w:r>
          </w:p>
        </w:tc>
        <w:tc>
          <w:tcPr>
            <w:tcW w:w="847" w:type="dxa"/>
            <w:tcBorders>
              <w:top w:val="nil"/>
              <w:left w:val="nil"/>
              <w:bottom w:val="single" w:sz="4" w:space="0" w:color="000000"/>
              <w:right w:val="single" w:sz="4" w:space="0" w:color="000000"/>
            </w:tcBorders>
            <w:shd w:val="clear" w:color="auto" w:fill="auto"/>
            <w:vAlign w:val="bottom"/>
          </w:tcPr>
          <w:p w14:paraId="0BBE9032"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0,5</w:t>
            </w:r>
          </w:p>
        </w:tc>
      </w:tr>
      <w:tr w:rsidR="00C82386" w14:paraId="0B6D2F91"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4A73B975"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літо </w:t>
            </w:r>
          </w:p>
        </w:tc>
        <w:tc>
          <w:tcPr>
            <w:tcW w:w="776" w:type="dxa"/>
            <w:tcBorders>
              <w:top w:val="nil"/>
              <w:left w:val="nil"/>
              <w:bottom w:val="single" w:sz="4" w:space="0" w:color="000000"/>
              <w:right w:val="single" w:sz="4" w:space="0" w:color="000000"/>
            </w:tcBorders>
            <w:shd w:val="clear" w:color="auto" w:fill="auto"/>
            <w:vAlign w:val="bottom"/>
          </w:tcPr>
          <w:p w14:paraId="549E8B34"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17,4</w:t>
            </w:r>
          </w:p>
        </w:tc>
        <w:tc>
          <w:tcPr>
            <w:tcW w:w="776" w:type="dxa"/>
            <w:tcBorders>
              <w:top w:val="nil"/>
              <w:left w:val="nil"/>
              <w:bottom w:val="single" w:sz="4" w:space="0" w:color="000000"/>
              <w:right w:val="single" w:sz="4" w:space="0" w:color="000000"/>
            </w:tcBorders>
            <w:shd w:val="clear" w:color="auto" w:fill="auto"/>
            <w:vAlign w:val="bottom"/>
          </w:tcPr>
          <w:p w14:paraId="614F319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18,2</w:t>
            </w:r>
          </w:p>
        </w:tc>
        <w:tc>
          <w:tcPr>
            <w:tcW w:w="847" w:type="dxa"/>
            <w:tcBorders>
              <w:top w:val="nil"/>
              <w:left w:val="nil"/>
              <w:bottom w:val="single" w:sz="4" w:space="0" w:color="000000"/>
              <w:right w:val="single" w:sz="4" w:space="0" w:color="000000"/>
            </w:tcBorders>
            <w:shd w:val="clear" w:color="auto" w:fill="auto"/>
            <w:vAlign w:val="bottom"/>
          </w:tcPr>
          <w:p w14:paraId="362E56AE"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0,8</w:t>
            </w:r>
          </w:p>
        </w:tc>
        <w:tc>
          <w:tcPr>
            <w:tcW w:w="778" w:type="dxa"/>
            <w:tcBorders>
              <w:top w:val="nil"/>
              <w:left w:val="nil"/>
              <w:bottom w:val="single" w:sz="4" w:space="0" w:color="000000"/>
              <w:right w:val="single" w:sz="4" w:space="0" w:color="000000"/>
            </w:tcBorders>
            <w:shd w:val="clear" w:color="auto" w:fill="auto"/>
            <w:vAlign w:val="bottom"/>
          </w:tcPr>
          <w:p w14:paraId="2AC02F79"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літо </w:t>
            </w:r>
          </w:p>
        </w:tc>
        <w:tc>
          <w:tcPr>
            <w:tcW w:w="776" w:type="dxa"/>
            <w:tcBorders>
              <w:top w:val="nil"/>
              <w:left w:val="nil"/>
              <w:bottom w:val="single" w:sz="4" w:space="0" w:color="000000"/>
              <w:right w:val="single" w:sz="4" w:space="0" w:color="000000"/>
            </w:tcBorders>
            <w:shd w:val="clear" w:color="auto" w:fill="auto"/>
            <w:vAlign w:val="bottom"/>
          </w:tcPr>
          <w:p w14:paraId="29E9FBC4"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23,1</w:t>
            </w:r>
          </w:p>
        </w:tc>
        <w:tc>
          <w:tcPr>
            <w:tcW w:w="776" w:type="dxa"/>
            <w:tcBorders>
              <w:top w:val="nil"/>
              <w:left w:val="nil"/>
              <w:bottom w:val="single" w:sz="4" w:space="0" w:color="000000"/>
              <w:right w:val="single" w:sz="4" w:space="0" w:color="000000"/>
            </w:tcBorders>
            <w:shd w:val="clear" w:color="auto" w:fill="auto"/>
            <w:vAlign w:val="bottom"/>
          </w:tcPr>
          <w:p w14:paraId="106C5AA2"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24</w:t>
            </w:r>
          </w:p>
        </w:tc>
        <w:tc>
          <w:tcPr>
            <w:tcW w:w="847" w:type="dxa"/>
            <w:tcBorders>
              <w:top w:val="nil"/>
              <w:left w:val="nil"/>
              <w:bottom w:val="single" w:sz="4" w:space="0" w:color="000000"/>
              <w:right w:val="single" w:sz="4" w:space="0" w:color="000000"/>
            </w:tcBorders>
            <w:shd w:val="clear" w:color="auto" w:fill="auto"/>
            <w:vAlign w:val="bottom"/>
          </w:tcPr>
          <w:p w14:paraId="27DDB6D2"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0,9</w:t>
            </w:r>
          </w:p>
        </w:tc>
        <w:tc>
          <w:tcPr>
            <w:tcW w:w="778" w:type="dxa"/>
            <w:tcBorders>
              <w:top w:val="nil"/>
              <w:left w:val="nil"/>
              <w:bottom w:val="single" w:sz="4" w:space="0" w:color="000000"/>
              <w:right w:val="single" w:sz="4" w:space="0" w:color="000000"/>
            </w:tcBorders>
            <w:shd w:val="clear" w:color="auto" w:fill="auto"/>
            <w:vAlign w:val="bottom"/>
          </w:tcPr>
          <w:p w14:paraId="7FBB5214"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 xml:space="preserve">літо </w:t>
            </w:r>
          </w:p>
        </w:tc>
        <w:tc>
          <w:tcPr>
            <w:tcW w:w="776" w:type="dxa"/>
            <w:tcBorders>
              <w:top w:val="nil"/>
              <w:left w:val="nil"/>
              <w:bottom w:val="single" w:sz="4" w:space="0" w:color="000000"/>
              <w:right w:val="single" w:sz="4" w:space="0" w:color="000000"/>
            </w:tcBorders>
            <w:shd w:val="clear" w:color="auto" w:fill="auto"/>
            <w:vAlign w:val="bottom"/>
          </w:tcPr>
          <w:p w14:paraId="5048C785"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12,1</w:t>
            </w:r>
          </w:p>
        </w:tc>
        <w:tc>
          <w:tcPr>
            <w:tcW w:w="776" w:type="dxa"/>
            <w:tcBorders>
              <w:top w:val="nil"/>
              <w:left w:val="nil"/>
              <w:bottom w:val="single" w:sz="4" w:space="0" w:color="000000"/>
              <w:right w:val="single" w:sz="4" w:space="0" w:color="000000"/>
            </w:tcBorders>
            <w:shd w:val="clear" w:color="auto" w:fill="auto"/>
            <w:vAlign w:val="bottom"/>
          </w:tcPr>
          <w:p w14:paraId="131B15B5"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12,8</w:t>
            </w:r>
          </w:p>
        </w:tc>
        <w:tc>
          <w:tcPr>
            <w:tcW w:w="847" w:type="dxa"/>
            <w:tcBorders>
              <w:top w:val="nil"/>
              <w:left w:val="nil"/>
              <w:bottom w:val="single" w:sz="4" w:space="0" w:color="000000"/>
              <w:right w:val="single" w:sz="4" w:space="0" w:color="000000"/>
            </w:tcBorders>
            <w:shd w:val="clear" w:color="auto" w:fill="auto"/>
            <w:vAlign w:val="bottom"/>
          </w:tcPr>
          <w:p w14:paraId="111C72CF"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0,7</w:t>
            </w:r>
          </w:p>
        </w:tc>
      </w:tr>
      <w:tr w:rsidR="00C82386" w14:paraId="5DB3B374" w14:textId="77777777">
        <w:trPr>
          <w:trHeight w:val="288"/>
          <w:jc w:val="center"/>
        </w:trPr>
        <w:tc>
          <w:tcPr>
            <w:tcW w:w="778" w:type="dxa"/>
            <w:tcBorders>
              <w:top w:val="nil"/>
              <w:left w:val="single" w:sz="4" w:space="0" w:color="000000"/>
              <w:bottom w:val="single" w:sz="4" w:space="0" w:color="000000"/>
              <w:right w:val="single" w:sz="4" w:space="0" w:color="000000"/>
            </w:tcBorders>
            <w:shd w:val="clear" w:color="auto" w:fill="auto"/>
            <w:vAlign w:val="bottom"/>
          </w:tcPr>
          <w:p w14:paraId="76C68246"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осінь</w:t>
            </w:r>
          </w:p>
        </w:tc>
        <w:tc>
          <w:tcPr>
            <w:tcW w:w="776" w:type="dxa"/>
            <w:tcBorders>
              <w:top w:val="nil"/>
              <w:left w:val="nil"/>
              <w:bottom w:val="single" w:sz="4" w:space="0" w:color="000000"/>
              <w:right w:val="single" w:sz="4" w:space="0" w:color="000000"/>
            </w:tcBorders>
            <w:shd w:val="clear" w:color="auto" w:fill="auto"/>
            <w:vAlign w:val="bottom"/>
          </w:tcPr>
          <w:p w14:paraId="3880A4E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7,3</w:t>
            </w:r>
          </w:p>
        </w:tc>
        <w:tc>
          <w:tcPr>
            <w:tcW w:w="776" w:type="dxa"/>
            <w:tcBorders>
              <w:top w:val="nil"/>
              <w:left w:val="nil"/>
              <w:bottom w:val="single" w:sz="4" w:space="0" w:color="000000"/>
              <w:right w:val="single" w:sz="4" w:space="0" w:color="000000"/>
            </w:tcBorders>
            <w:shd w:val="clear" w:color="auto" w:fill="auto"/>
            <w:vAlign w:val="bottom"/>
          </w:tcPr>
          <w:p w14:paraId="3A42F3EE"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7,5</w:t>
            </w:r>
          </w:p>
        </w:tc>
        <w:tc>
          <w:tcPr>
            <w:tcW w:w="847" w:type="dxa"/>
            <w:tcBorders>
              <w:top w:val="nil"/>
              <w:left w:val="nil"/>
              <w:bottom w:val="single" w:sz="4" w:space="0" w:color="000000"/>
              <w:right w:val="single" w:sz="4" w:space="0" w:color="000000"/>
            </w:tcBorders>
            <w:shd w:val="clear" w:color="auto" w:fill="auto"/>
            <w:vAlign w:val="bottom"/>
          </w:tcPr>
          <w:p w14:paraId="3594CC46"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0,2</w:t>
            </w:r>
          </w:p>
        </w:tc>
        <w:tc>
          <w:tcPr>
            <w:tcW w:w="778" w:type="dxa"/>
            <w:tcBorders>
              <w:top w:val="nil"/>
              <w:left w:val="nil"/>
              <w:bottom w:val="single" w:sz="4" w:space="0" w:color="000000"/>
              <w:right w:val="single" w:sz="4" w:space="0" w:color="000000"/>
            </w:tcBorders>
            <w:shd w:val="clear" w:color="auto" w:fill="auto"/>
            <w:vAlign w:val="bottom"/>
          </w:tcPr>
          <w:p w14:paraId="286D78F7"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осінь</w:t>
            </w:r>
          </w:p>
        </w:tc>
        <w:tc>
          <w:tcPr>
            <w:tcW w:w="776" w:type="dxa"/>
            <w:tcBorders>
              <w:top w:val="nil"/>
              <w:left w:val="nil"/>
              <w:bottom w:val="single" w:sz="4" w:space="0" w:color="000000"/>
              <w:right w:val="single" w:sz="4" w:space="0" w:color="000000"/>
            </w:tcBorders>
            <w:shd w:val="clear" w:color="auto" w:fill="auto"/>
            <w:vAlign w:val="bottom"/>
          </w:tcPr>
          <w:p w14:paraId="0AC665EA"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11,7</w:t>
            </w:r>
          </w:p>
        </w:tc>
        <w:tc>
          <w:tcPr>
            <w:tcW w:w="776" w:type="dxa"/>
            <w:tcBorders>
              <w:top w:val="nil"/>
              <w:left w:val="nil"/>
              <w:bottom w:val="single" w:sz="4" w:space="0" w:color="000000"/>
              <w:right w:val="single" w:sz="4" w:space="0" w:color="000000"/>
            </w:tcBorders>
            <w:shd w:val="clear" w:color="auto" w:fill="auto"/>
            <w:vAlign w:val="bottom"/>
          </w:tcPr>
          <w:p w14:paraId="78406EBD"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11,8</w:t>
            </w:r>
          </w:p>
        </w:tc>
        <w:tc>
          <w:tcPr>
            <w:tcW w:w="847" w:type="dxa"/>
            <w:tcBorders>
              <w:top w:val="nil"/>
              <w:left w:val="nil"/>
              <w:bottom w:val="single" w:sz="4" w:space="0" w:color="000000"/>
              <w:right w:val="single" w:sz="4" w:space="0" w:color="000000"/>
            </w:tcBorders>
            <w:shd w:val="clear" w:color="auto" w:fill="auto"/>
            <w:vAlign w:val="bottom"/>
          </w:tcPr>
          <w:p w14:paraId="5AE5335B"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0,1</w:t>
            </w:r>
          </w:p>
        </w:tc>
        <w:tc>
          <w:tcPr>
            <w:tcW w:w="778" w:type="dxa"/>
            <w:tcBorders>
              <w:top w:val="nil"/>
              <w:left w:val="nil"/>
              <w:bottom w:val="single" w:sz="4" w:space="0" w:color="000000"/>
              <w:right w:val="single" w:sz="4" w:space="0" w:color="000000"/>
            </w:tcBorders>
            <w:shd w:val="clear" w:color="auto" w:fill="auto"/>
            <w:vAlign w:val="bottom"/>
          </w:tcPr>
          <w:p w14:paraId="25F01D13" w14:textId="77777777" w:rsidR="00C82386" w:rsidRPr="00C8122B" w:rsidRDefault="00E66F64">
            <w:pPr>
              <w:spacing w:after="0"/>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осінь</w:t>
            </w:r>
          </w:p>
        </w:tc>
        <w:tc>
          <w:tcPr>
            <w:tcW w:w="776" w:type="dxa"/>
            <w:tcBorders>
              <w:top w:val="nil"/>
              <w:left w:val="nil"/>
              <w:bottom w:val="single" w:sz="4" w:space="0" w:color="000000"/>
              <w:right w:val="single" w:sz="4" w:space="0" w:color="000000"/>
            </w:tcBorders>
            <w:shd w:val="clear" w:color="auto" w:fill="auto"/>
            <w:vAlign w:val="bottom"/>
          </w:tcPr>
          <w:p w14:paraId="079834C7"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3,6</w:t>
            </w:r>
          </w:p>
        </w:tc>
        <w:tc>
          <w:tcPr>
            <w:tcW w:w="776" w:type="dxa"/>
            <w:tcBorders>
              <w:top w:val="nil"/>
              <w:left w:val="nil"/>
              <w:bottom w:val="single" w:sz="4" w:space="0" w:color="000000"/>
              <w:right w:val="single" w:sz="4" w:space="0" w:color="000000"/>
            </w:tcBorders>
            <w:shd w:val="clear" w:color="auto" w:fill="auto"/>
            <w:vAlign w:val="bottom"/>
          </w:tcPr>
          <w:p w14:paraId="752D65B8"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3,8</w:t>
            </w:r>
          </w:p>
        </w:tc>
        <w:tc>
          <w:tcPr>
            <w:tcW w:w="847" w:type="dxa"/>
            <w:tcBorders>
              <w:top w:val="nil"/>
              <w:left w:val="nil"/>
              <w:bottom w:val="single" w:sz="4" w:space="0" w:color="000000"/>
              <w:right w:val="single" w:sz="4" w:space="0" w:color="000000"/>
            </w:tcBorders>
            <w:shd w:val="clear" w:color="auto" w:fill="auto"/>
            <w:vAlign w:val="bottom"/>
          </w:tcPr>
          <w:p w14:paraId="69A44338" w14:textId="77777777" w:rsidR="00C82386" w:rsidRPr="00C8122B" w:rsidRDefault="00E66F64">
            <w:pPr>
              <w:spacing w:after="0"/>
              <w:jc w:val="center"/>
              <w:rPr>
                <w:rFonts w:ascii="Times New Roman" w:eastAsia="Times New Roman" w:hAnsi="Times New Roman" w:cs="Times New Roman"/>
                <w:color w:val="000000"/>
                <w:szCs w:val="24"/>
              </w:rPr>
            </w:pPr>
            <w:r w:rsidRPr="00C8122B">
              <w:rPr>
                <w:rFonts w:ascii="Times New Roman" w:eastAsia="Times New Roman" w:hAnsi="Times New Roman" w:cs="Times New Roman"/>
                <w:color w:val="000000"/>
                <w:szCs w:val="24"/>
              </w:rPr>
              <w:t>0,2</w:t>
            </w:r>
          </w:p>
        </w:tc>
      </w:tr>
    </w:tbl>
    <w:p w14:paraId="51F8497F" w14:textId="77777777" w:rsidR="00C82386" w:rsidRDefault="00C82386">
      <w:pPr>
        <w:spacing w:after="0"/>
        <w:jc w:val="center"/>
        <w:rPr>
          <w:rFonts w:ascii="Times New Roman" w:eastAsia="Times New Roman" w:hAnsi="Times New Roman" w:cs="Times New Roman"/>
          <w:sz w:val="24"/>
          <w:szCs w:val="24"/>
        </w:rPr>
      </w:pPr>
    </w:p>
    <w:p w14:paraId="3D287D9B"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2.4</w:t>
      </w:r>
    </w:p>
    <w:p w14:paraId="55676F6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Значення середньої місячної температури повітря та їх відхилення від норми по Житомирській області за період 2000-2015 рр.</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xml:space="preserve"> </w:t>
      </w:r>
    </w:p>
    <w:tbl>
      <w:tblPr>
        <w:tblStyle w:val="afff4"/>
        <w:tblW w:w="8729" w:type="dxa"/>
        <w:jc w:val="center"/>
        <w:tblInd w:w="0" w:type="dxa"/>
        <w:tblLayout w:type="fixed"/>
        <w:tblLook w:val="0400" w:firstRow="0" w:lastRow="0" w:firstColumn="0" w:lastColumn="0" w:noHBand="0" w:noVBand="1"/>
      </w:tblPr>
      <w:tblGrid>
        <w:gridCol w:w="1276"/>
        <w:gridCol w:w="567"/>
        <w:gridCol w:w="567"/>
        <w:gridCol w:w="567"/>
        <w:gridCol w:w="567"/>
        <w:gridCol w:w="607"/>
        <w:gridCol w:w="607"/>
        <w:gridCol w:w="607"/>
        <w:gridCol w:w="611"/>
        <w:gridCol w:w="607"/>
        <w:gridCol w:w="505"/>
        <w:gridCol w:w="567"/>
        <w:gridCol w:w="567"/>
        <w:gridCol w:w="507"/>
      </w:tblGrid>
      <w:tr w:rsidR="00C82386" w14:paraId="1F235CA4" w14:textId="77777777">
        <w:trPr>
          <w:trHeight w:val="288"/>
          <w:jc w:val="cent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C2AE424" w14:textId="77777777" w:rsidR="00C82386" w:rsidRPr="00C8122B" w:rsidRDefault="00E66F64">
            <w:pPr>
              <w:spacing w:after="0"/>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 </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147F2BB9"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І</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6DBD0862"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ІІ</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07F78FF1"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ІІІ</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3F59B93D"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IV</w:t>
            </w:r>
          </w:p>
        </w:tc>
        <w:tc>
          <w:tcPr>
            <w:tcW w:w="607" w:type="dxa"/>
            <w:tcBorders>
              <w:top w:val="single" w:sz="4" w:space="0" w:color="000000"/>
              <w:left w:val="nil"/>
              <w:bottom w:val="single" w:sz="4" w:space="0" w:color="000000"/>
              <w:right w:val="single" w:sz="4" w:space="0" w:color="000000"/>
            </w:tcBorders>
            <w:shd w:val="clear" w:color="auto" w:fill="auto"/>
            <w:vAlign w:val="center"/>
          </w:tcPr>
          <w:p w14:paraId="702424D6"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V</w:t>
            </w:r>
          </w:p>
        </w:tc>
        <w:tc>
          <w:tcPr>
            <w:tcW w:w="607" w:type="dxa"/>
            <w:tcBorders>
              <w:top w:val="single" w:sz="4" w:space="0" w:color="000000"/>
              <w:left w:val="nil"/>
              <w:bottom w:val="single" w:sz="4" w:space="0" w:color="000000"/>
              <w:right w:val="single" w:sz="4" w:space="0" w:color="000000"/>
            </w:tcBorders>
            <w:shd w:val="clear" w:color="auto" w:fill="auto"/>
            <w:vAlign w:val="center"/>
          </w:tcPr>
          <w:p w14:paraId="35A6111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VI</w:t>
            </w:r>
          </w:p>
        </w:tc>
        <w:tc>
          <w:tcPr>
            <w:tcW w:w="607" w:type="dxa"/>
            <w:tcBorders>
              <w:top w:val="single" w:sz="4" w:space="0" w:color="000000"/>
              <w:left w:val="nil"/>
              <w:bottom w:val="single" w:sz="4" w:space="0" w:color="000000"/>
              <w:right w:val="single" w:sz="4" w:space="0" w:color="000000"/>
            </w:tcBorders>
            <w:shd w:val="clear" w:color="auto" w:fill="auto"/>
            <w:vAlign w:val="center"/>
          </w:tcPr>
          <w:p w14:paraId="3EEB6A9D"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VII</w:t>
            </w:r>
          </w:p>
        </w:tc>
        <w:tc>
          <w:tcPr>
            <w:tcW w:w="611" w:type="dxa"/>
            <w:tcBorders>
              <w:top w:val="single" w:sz="4" w:space="0" w:color="000000"/>
              <w:left w:val="nil"/>
              <w:bottom w:val="single" w:sz="4" w:space="0" w:color="000000"/>
              <w:right w:val="single" w:sz="4" w:space="0" w:color="000000"/>
            </w:tcBorders>
            <w:shd w:val="clear" w:color="auto" w:fill="auto"/>
            <w:vAlign w:val="center"/>
          </w:tcPr>
          <w:p w14:paraId="6865E425"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VIII</w:t>
            </w:r>
          </w:p>
        </w:tc>
        <w:tc>
          <w:tcPr>
            <w:tcW w:w="607" w:type="dxa"/>
            <w:tcBorders>
              <w:top w:val="single" w:sz="4" w:space="0" w:color="000000"/>
              <w:left w:val="nil"/>
              <w:bottom w:val="single" w:sz="4" w:space="0" w:color="000000"/>
              <w:right w:val="single" w:sz="4" w:space="0" w:color="000000"/>
            </w:tcBorders>
            <w:shd w:val="clear" w:color="auto" w:fill="auto"/>
            <w:vAlign w:val="center"/>
          </w:tcPr>
          <w:p w14:paraId="27EE5ADA"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IX</w:t>
            </w:r>
          </w:p>
        </w:tc>
        <w:tc>
          <w:tcPr>
            <w:tcW w:w="505" w:type="dxa"/>
            <w:tcBorders>
              <w:top w:val="single" w:sz="4" w:space="0" w:color="000000"/>
              <w:left w:val="nil"/>
              <w:bottom w:val="single" w:sz="4" w:space="0" w:color="000000"/>
              <w:right w:val="single" w:sz="4" w:space="0" w:color="000000"/>
            </w:tcBorders>
            <w:shd w:val="clear" w:color="auto" w:fill="auto"/>
            <w:vAlign w:val="center"/>
          </w:tcPr>
          <w:p w14:paraId="7E2016E3"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X</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301AFD6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XI</w:t>
            </w:r>
          </w:p>
        </w:tc>
        <w:tc>
          <w:tcPr>
            <w:tcW w:w="567" w:type="dxa"/>
            <w:tcBorders>
              <w:top w:val="single" w:sz="4" w:space="0" w:color="000000"/>
              <w:left w:val="nil"/>
              <w:bottom w:val="single" w:sz="4" w:space="0" w:color="000000"/>
              <w:right w:val="single" w:sz="4" w:space="0" w:color="000000"/>
            </w:tcBorders>
            <w:shd w:val="clear" w:color="auto" w:fill="auto"/>
            <w:vAlign w:val="center"/>
          </w:tcPr>
          <w:p w14:paraId="1678F4E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XII</w:t>
            </w:r>
          </w:p>
        </w:tc>
        <w:tc>
          <w:tcPr>
            <w:tcW w:w="507" w:type="dxa"/>
            <w:tcBorders>
              <w:top w:val="single" w:sz="4" w:space="0" w:color="000000"/>
              <w:left w:val="nil"/>
              <w:bottom w:val="single" w:sz="4" w:space="0" w:color="000000"/>
              <w:right w:val="single" w:sz="4" w:space="0" w:color="000000"/>
            </w:tcBorders>
            <w:shd w:val="clear" w:color="auto" w:fill="auto"/>
            <w:vAlign w:val="center"/>
          </w:tcPr>
          <w:p w14:paraId="3958CFA9"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Рік</w:t>
            </w:r>
          </w:p>
        </w:tc>
      </w:tr>
      <w:tr w:rsidR="00C82386" w14:paraId="4BF28A57" w14:textId="77777777">
        <w:trPr>
          <w:trHeight w:val="288"/>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2AA5B5AE" w14:textId="77777777" w:rsidR="00C82386" w:rsidRPr="00C8122B" w:rsidRDefault="00E66F64">
            <w:pPr>
              <w:spacing w:after="0"/>
              <w:jc w:val="center"/>
              <w:rPr>
                <w:rFonts w:ascii="Times New Roman" w:eastAsia="Times New Roman" w:hAnsi="Times New Roman" w:cs="Times New Roman"/>
                <w:sz w:val="20"/>
              </w:rPr>
            </w:pPr>
            <w:r w:rsidRPr="00C8122B">
              <w:rPr>
                <w:rFonts w:ascii="Times New Roman" w:eastAsia="Times New Roman" w:hAnsi="Times New Roman" w:cs="Times New Roman"/>
                <w:sz w:val="20"/>
              </w:rPr>
              <w:t>1961-1990</w:t>
            </w:r>
          </w:p>
        </w:tc>
        <w:tc>
          <w:tcPr>
            <w:tcW w:w="567" w:type="dxa"/>
            <w:tcBorders>
              <w:top w:val="nil"/>
              <w:left w:val="nil"/>
              <w:bottom w:val="single" w:sz="4" w:space="0" w:color="000000"/>
              <w:right w:val="single" w:sz="4" w:space="0" w:color="000000"/>
            </w:tcBorders>
            <w:shd w:val="clear" w:color="auto" w:fill="auto"/>
            <w:vAlign w:val="bottom"/>
          </w:tcPr>
          <w:p w14:paraId="32378D3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-5,9</w:t>
            </w:r>
          </w:p>
        </w:tc>
        <w:tc>
          <w:tcPr>
            <w:tcW w:w="567" w:type="dxa"/>
            <w:tcBorders>
              <w:top w:val="nil"/>
              <w:left w:val="nil"/>
              <w:bottom w:val="single" w:sz="4" w:space="0" w:color="000000"/>
              <w:right w:val="single" w:sz="4" w:space="0" w:color="000000"/>
            </w:tcBorders>
            <w:shd w:val="clear" w:color="auto" w:fill="auto"/>
            <w:vAlign w:val="bottom"/>
          </w:tcPr>
          <w:p w14:paraId="1831F30B"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-4,5</w:t>
            </w:r>
          </w:p>
        </w:tc>
        <w:tc>
          <w:tcPr>
            <w:tcW w:w="567" w:type="dxa"/>
            <w:tcBorders>
              <w:top w:val="nil"/>
              <w:left w:val="nil"/>
              <w:bottom w:val="single" w:sz="4" w:space="0" w:color="000000"/>
              <w:right w:val="single" w:sz="4" w:space="0" w:color="000000"/>
            </w:tcBorders>
            <w:shd w:val="clear" w:color="auto" w:fill="auto"/>
            <w:vAlign w:val="bottom"/>
          </w:tcPr>
          <w:p w14:paraId="4F45A1F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0,1</w:t>
            </w:r>
          </w:p>
        </w:tc>
        <w:tc>
          <w:tcPr>
            <w:tcW w:w="567" w:type="dxa"/>
            <w:tcBorders>
              <w:top w:val="nil"/>
              <w:left w:val="nil"/>
              <w:bottom w:val="single" w:sz="4" w:space="0" w:color="000000"/>
              <w:right w:val="single" w:sz="4" w:space="0" w:color="000000"/>
            </w:tcBorders>
            <w:shd w:val="clear" w:color="auto" w:fill="auto"/>
            <w:vAlign w:val="bottom"/>
          </w:tcPr>
          <w:p w14:paraId="3D63910B"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7,7</w:t>
            </w:r>
          </w:p>
        </w:tc>
        <w:tc>
          <w:tcPr>
            <w:tcW w:w="607" w:type="dxa"/>
            <w:tcBorders>
              <w:top w:val="nil"/>
              <w:left w:val="nil"/>
              <w:bottom w:val="single" w:sz="4" w:space="0" w:color="000000"/>
              <w:right w:val="single" w:sz="4" w:space="0" w:color="000000"/>
            </w:tcBorders>
            <w:shd w:val="clear" w:color="auto" w:fill="auto"/>
            <w:vAlign w:val="bottom"/>
          </w:tcPr>
          <w:p w14:paraId="2FC026B1"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14,1</w:t>
            </w:r>
          </w:p>
        </w:tc>
        <w:tc>
          <w:tcPr>
            <w:tcW w:w="607" w:type="dxa"/>
            <w:tcBorders>
              <w:top w:val="nil"/>
              <w:left w:val="nil"/>
              <w:bottom w:val="single" w:sz="4" w:space="0" w:color="000000"/>
              <w:right w:val="single" w:sz="4" w:space="0" w:color="000000"/>
            </w:tcBorders>
            <w:shd w:val="clear" w:color="auto" w:fill="auto"/>
            <w:vAlign w:val="bottom"/>
          </w:tcPr>
          <w:p w14:paraId="79992A04"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17,0</w:t>
            </w:r>
          </w:p>
        </w:tc>
        <w:tc>
          <w:tcPr>
            <w:tcW w:w="607" w:type="dxa"/>
            <w:tcBorders>
              <w:top w:val="nil"/>
              <w:left w:val="nil"/>
              <w:bottom w:val="single" w:sz="4" w:space="0" w:color="000000"/>
              <w:right w:val="single" w:sz="4" w:space="0" w:color="000000"/>
            </w:tcBorders>
            <w:shd w:val="clear" w:color="auto" w:fill="auto"/>
            <w:vAlign w:val="bottom"/>
          </w:tcPr>
          <w:p w14:paraId="03EDD3D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18,0</w:t>
            </w:r>
          </w:p>
        </w:tc>
        <w:tc>
          <w:tcPr>
            <w:tcW w:w="611" w:type="dxa"/>
            <w:tcBorders>
              <w:top w:val="nil"/>
              <w:left w:val="nil"/>
              <w:bottom w:val="single" w:sz="4" w:space="0" w:color="000000"/>
              <w:right w:val="single" w:sz="4" w:space="0" w:color="000000"/>
            </w:tcBorders>
            <w:shd w:val="clear" w:color="auto" w:fill="auto"/>
            <w:vAlign w:val="bottom"/>
          </w:tcPr>
          <w:p w14:paraId="55E59B3A"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17,2</w:t>
            </w:r>
          </w:p>
        </w:tc>
        <w:tc>
          <w:tcPr>
            <w:tcW w:w="607" w:type="dxa"/>
            <w:tcBorders>
              <w:top w:val="nil"/>
              <w:left w:val="nil"/>
              <w:bottom w:val="single" w:sz="4" w:space="0" w:color="000000"/>
              <w:right w:val="single" w:sz="4" w:space="0" w:color="000000"/>
            </w:tcBorders>
            <w:shd w:val="clear" w:color="auto" w:fill="auto"/>
            <w:vAlign w:val="bottom"/>
          </w:tcPr>
          <w:p w14:paraId="6480E705"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12,8</w:t>
            </w:r>
          </w:p>
        </w:tc>
        <w:tc>
          <w:tcPr>
            <w:tcW w:w="505" w:type="dxa"/>
            <w:tcBorders>
              <w:top w:val="nil"/>
              <w:left w:val="nil"/>
              <w:bottom w:val="single" w:sz="4" w:space="0" w:color="000000"/>
              <w:right w:val="single" w:sz="4" w:space="0" w:color="000000"/>
            </w:tcBorders>
            <w:shd w:val="clear" w:color="auto" w:fill="auto"/>
            <w:vAlign w:val="bottom"/>
          </w:tcPr>
          <w:p w14:paraId="402B9AAF"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7,3</w:t>
            </w:r>
          </w:p>
        </w:tc>
        <w:tc>
          <w:tcPr>
            <w:tcW w:w="567" w:type="dxa"/>
            <w:tcBorders>
              <w:top w:val="nil"/>
              <w:left w:val="nil"/>
              <w:bottom w:val="single" w:sz="4" w:space="0" w:color="000000"/>
              <w:right w:val="single" w:sz="4" w:space="0" w:color="000000"/>
            </w:tcBorders>
            <w:shd w:val="clear" w:color="auto" w:fill="auto"/>
            <w:vAlign w:val="bottom"/>
          </w:tcPr>
          <w:p w14:paraId="63DA0CA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1,8</w:t>
            </w:r>
          </w:p>
        </w:tc>
        <w:tc>
          <w:tcPr>
            <w:tcW w:w="567" w:type="dxa"/>
            <w:tcBorders>
              <w:top w:val="nil"/>
              <w:left w:val="nil"/>
              <w:bottom w:val="single" w:sz="4" w:space="0" w:color="000000"/>
              <w:right w:val="single" w:sz="4" w:space="0" w:color="000000"/>
            </w:tcBorders>
            <w:shd w:val="clear" w:color="auto" w:fill="auto"/>
            <w:vAlign w:val="bottom"/>
          </w:tcPr>
          <w:p w14:paraId="3F2558A3"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-2,7</w:t>
            </w:r>
          </w:p>
        </w:tc>
        <w:tc>
          <w:tcPr>
            <w:tcW w:w="507" w:type="dxa"/>
            <w:tcBorders>
              <w:top w:val="nil"/>
              <w:left w:val="nil"/>
              <w:bottom w:val="single" w:sz="4" w:space="0" w:color="000000"/>
              <w:right w:val="single" w:sz="4" w:space="0" w:color="000000"/>
            </w:tcBorders>
            <w:shd w:val="clear" w:color="auto" w:fill="auto"/>
            <w:vAlign w:val="bottom"/>
          </w:tcPr>
          <w:p w14:paraId="16C62E7F"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6,9</w:t>
            </w:r>
          </w:p>
        </w:tc>
      </w:tr>
      <w:tr w:rsidR="00C82386" w14:paraId="1F56D2F8" w14:textId="77777777">
        <w:trPr>
          <w:trHeight w:val="288"/>
          <w:jc w:val="center"/>
        </w:trPr>
        <w:tc>
          <w:tcPr>
            <w:tcW w:w="1276" w:type="dxa"/>
            <w:tcBorders>
              <w:top w:val="nil"/>
              <w:left w:val="single" w:sz="4" w:space="0" w:color="000000"/>
              <w:bottom w:val="single" w:sz="4" w:space="0" w:color="000000"/>
              <w:right w:val="single" w:sz="4" w:space="0" w:color="000000"/>
            </w:tcBorders>
            <w:shd w:val="clear" w:color="auto" w:fill="auto"/>
            <w:vAlign w:val="bottom"/>
          </w:tcPr>
          <w:p w14:paraId="32B1FB0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2000-2015</w:t>
            </w:r>
          </w:p>
        </w:tc>
        <w:tc>
          <w:tcPr>
            <w:tcW w:w="567" w:type="dxa"/>
            <w:tcBorders>
              <w:top w:val="nil"/>
              <w:left w:val="nil"/>
              <w:bottom w:val="single" w:sz="4" w:space="0" w:color="000000"/>
              <w:right w:val="single" w:sz="4" w:space="0" w:color="000000"/>
            </w:tcBorders>
            <w:shd w:val="clear" w:color="auto" w:fill="auto"/>
            <w:vAlign w:val="bottom"/>
          </w:tcPr>
          <w:p w14:paraId="70F82A0F"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-3,4</w:t>
            </w:r>
          </w:p>
        </w:tc>
        <w:tc>
          <w:tcPr>
            <w:tcW w:w="567" w:type="dxa"/>
            <w:tcBorders>
              <w:top w:val="nil"/>
              <w:left w:val="nil"/>
              <w:bottom w:val="single" w:sz="4" w:space="0" w:color="000000"/>
              <w:right w:val="single" w:sz="4" w:space="0" w:color="000000"/>
            </w:tcBorders>
            <w:shd w:val="clear" w:color="auto" w:fill="auto"/>
            <w:vAlign w:val="bottom"/>
          </w:tcPr>
          <w:p w14:paraId="7B727E94"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-2,9</w:t>
            </w:r>
          </w:p>
        </w:tc>
        <w:tc>
          <w:tcPr>
            <w:tcW w:w="567" w:type="dxa"/>
            <w:tcBorders>
              <w:top w:val="nil"/>
              <w:left w:val="nil"/>
              <w:bottom w:val="single" w:sz="4" w:space="0" w:color="000000"/>
              <w:right w:val="single" w:sz="4" w:space="0" w:color="000000"/>
            </w:tcBorders>
            <w:shd w:val="clear" w:color="auto" w:fill="auto"/>
            <w:vAlign w:val="bottom"/>
          </w:tcPr>
          <w:p w14:paraId="726EDACA"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w:t>
            </w:r>
          </w:p>
        </w:tc>
        <w:tc>
          <w:tcPr>
            <w:tcW w:w="567" w:type="dxa"/>
            <w:tcBorders>
              <w:top w:val="nil"/>
              <w:left w:val="nil"/>
              <w:bottom w:val="single" w:sz="4" w:space="0" w:color="000000"/>
              <w:right w:val="single" w:sz="4" w:space="0" w:color="000000"/>
            </w:tcBorders>
            <w:shd w:val="clear" w:color="auto" w:fill="auto"/>
            <w:vAlign w:val="bottom"/>
          </w:tcPr>
          <w:p w14:paraId="21CC6E4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9,2</w:t>
            </w:r>
          </w:p>
        </w:tc>
        <w:tc>
          <w:tcPr>
            <w:tcW w:w="607" w:type="dxa"/>
            <w:tcBorders>
              <w:top w:val="nil"/>
              <w:left w:val="nil"/>
              <w:bottom w:val="single" w:sz="4" w:space="0" w:color="000000"/>
              <w:right w:val="single" w:sz="4" w:space="0" w:color="000000"/>
            </w:tcBorders>
            <w:shd w:val="clear" w:color="auto" w:fill="auto"/>
            <w:vAlign w:val="bottom"/>
          </w:tcPr>
          <w:p w14:paraId="3AB01747"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15,1</w:t>
            </w:r>
          </w:p>
        </w:tc>
        <w:tc>
          <w:tcPr>
            <w:tcW w:w="607" w:type="dxa"/>
            <w:tcBorders>
              <w:top w:val="nil"/>
              <w:left w:val="nil"/>
              <w:bottom w:val="single" w:sz="4" w:space="0" w:color="000000"/>
              <w:right w:val="single" w:sz="4" w:space="0" w:color="000000"/>
            </w:tcBorders>
            <w:shd w:val="clear" w:color="auto" w:fill="auto"/>
            <w:vAlign w:val="bottom"/>
          </w:tcPr>
          <w:p w14:paraId="1079C514"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17,8</w:t>
            </w:r>
          </w:p>
        </w:tc>
        <w:tc>
          <w:tcPr>
            <w:tcW w:w="607" w:type="dxa"/>
            <w:tcBorders>
              <w:top w:val="nil"/>
              <w:left w:val="nil"/>
              <w:bottom w:val="single" w:sz="4" w:space="0" w:color="000000"/>
              <w:right w:val="single" w:sz="4" w:space="0" w:color="000000"/>
            </w:tcBorders>
            <w:shd w:val="clear" w:color="auto" w:fill="auto"/>
            <w:vAlign w:val="bottom"/>
          </w:tcPr>
          <w:p w14:paraId="2A8A5247"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20,4</w:t>
            </w:r>
          </w:p>
        </w:tc>
        <w:tc>
          <w:tcPr>
            <w:tcW w:w="611" w:type="dxa"/>
            <w:tcBorders>
              <w:top w:val="nil"/>
              <w:left w:val="nil"/>
              <w:bottom w:val="single" w:sz="4" w:space="0" w:color="000000"/>
              <w:right w:val="single" w:sz="4" w:space="0" w:color="000000"/>
            </w:tcBorders>
            <w:shd w:val="clear" w:color="auto" w:fill="auto"/>
            <w:vAlign w:val="bottom"/>
          </w:tcPr>
          <w:p w14:paraId="1783489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19,1</w:t>
            </w:r>
          </w:p>
        </w:tc>
        <w:tc>
          <w:tcPr>
            <w:tcW w:w="607" w:type="dxa"/>
            <w:tcBorders>
              <w:top w:val="nil"/>
              <w:left w:val="nil"/>
              <w:bottom w:val="single" w:sz="4" w:space="0" w:color="000000"/>
              <w:right w:val="single" w:sz="4" w:space="0" w:color="000000"/>
            </w:tcBorders>
            <w:shd w:val="clear" w:color="auto" w:fill="auto"/>
            <w:vAlign w:val="bottom"/>
          </w:tcPr>
          <w:p w14:paraId="228541D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13,6</w:t>
            </w:r>
          </w:p>
        </w:tc>
        <w:tc>
          <w:tcPr>
            <w:tcW w:w="505" w:type="dxa"/>
            <w:tcBorders>
              <w:top w:val="nil"/>
              <w:left w:val="nil"/>
              <w:bottom w:val="single" w:sz="4" w:space="0" w:color="000000"/>
              <w:right w:val="single" w:sz="4" w:space="0" w:color="000000"/>
            </w:tcBorders>
            <w:shd w:val="clear" w:color="auto" w:fill="auto"/>
            <w:vAlign w:val="bottom"/>
          </w:tcPr>
          <w:p w14:paraId="6D3BC5A5"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7,8</w:t>
            </w:r>
          </w:p>
        </w:tc>
        <w:tc>
          <w:tcPr>
            <w:tcW w:w="567" w:type="dxa"/>
            <w:tcBorders>
              <w:top w:val="nil"/>
              <w:left w:val="nil"/>
              <w:bottom w:val="single" w:sz="4" w:space="0" w:color="000000"/>
              <w:right w:val="single" w:sz="4" w:space="0" w:color="000000"/>
            </w:tcBorders>
            <w:shd w:val="clear" w:color="auto" w:fill="auto"/>
            <w:vAlign w:val="bottom"/>
          </w:tcPr>
          <w:p w14:paraId="291A4467"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3,5</w:t>
            </w:r>
          </w:p>
        </w:tc>
        <w:tc>
          <w:tcPr>
            <w:tcW w:w="567" w:type="dxa"/>
            <w:tcBorders>
              <w:top w:val="nil"/>
              <w:left w:val="nil"/>
              <w:bottom w:val="single" w:sz="4" w:space="0" w:color="000000"/>
              <w:right w:val="single" w:sz="4" w:space="0" w:color="000000"/>
            </w:tcBorders>
            <w:shd w:val="clear" w:color="auto" w:fill="auto"/>
            <w:vAlign w:val="bottom"/>
          </w:tcPr>
          <w:p w14:paraId="6FBEE7D3"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-1,4</w:t>
            </w:r>
          </w:p>
        </w:tc>
        <w:tc>
          <w:tcPr>
            <w:tcW w:w="507" w:type="dxa"/>
            <w:tcBorders>
              <w:top w:val="nil"/>
              <w:left w:val="nil"/>
              <w:bottom w:val="single" w:sz="4" w:space="0" w:color="000000"/>
              <w:right w:val="single" w:sz="4" w:space="0" w:color="000000"/>
            </w:tcBorders>
            <w:shd w:val="clear" w:color="auto" w:fill="auto"/>
            <w:vAlign w:val="bottom"/>
          </w:tcPr>
          <w:p w14:paraId="09D083A4"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8,7</w:t>
            </w:r>
          </w:p>
        </w:tc>
      </w:tr>
      <w:tr w:rsidR="00C82386" w14:paraId="4A8AAF76" w14:textId="77777777">
        <w:trPr>
          <w:trHeight w:val="288"/>
          <w:jc w:val="center"/>
        </w:trPr>
        <w:tc>
          <w:tcPr>
            <w:tcW w:w="1276" w:type="dxa"/>
            <w:tcBorders>
              <w:top w:val="nil"/>
              <w:left w:val="single" w:sz="4" w:space="0" w:color="000000"/>
              <w:bottom w:val="single" w:sz="4" w:space="0" w:color="000000"/>
              <w:right w:val="single" w:sz="4" w:space="0" w:color="000000"/>
            </w:tcBorders>
            <w:shd w:val="clear" w:color="auto" w:fill="auto"/>
            <w:vAlign w:val="bottom"/>
          </w:tcPr>
          <w:p w14:paraId="60E823E5"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відхилення</w:t>
            </w:r>
          </w:p>
        </w:tc>
        <w:tc>
          <w:tcPr>
            <w:tcW w:w="567" w:type="dxa"/>
            <w:tcBorders>
              <w:top w:val="nil"/>
              <w:left w:val="nil"/>
              <w:bottom w:val="single" w:sz="4" w:space="0" w:color="000000"/>
              <w:right w:val="single" w:sz="4" w:space="0" w:color="000000"/>
            </w:tcBorders>
            <w:shd w:val="clear" w:color="auto" w:fill="auto"/>
            <w:vAlign w:val="bottom"/>
          </w:tcPr>
          <w:p w14:paraId="44B6040C"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2,5</w:t>
            </w:r>
          </w:p>
        </w:tc>
        <w:tc>
          <w:tcPr>
            <w:tcW w:w="567" w:type="dxa"/>
            <w:tcBorders>
              <w:top w:val="nil"/>
              <w:left w:val="nil"/>
              <w:bottom w:val="single" w:sz="4" w:space="0" w:color="000000"/>
              <w:right w:val="single" w:sz="4" w:space="0" w:color="000000"/>
            </w:tcBorders>
            <w:shd w:val="clear" w:color="auto" w:fill="auto"/>
            <w:vAlign w:val="bottom"/>
          </w:tcPr>
          <w:p w14:paraId="15C623D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1,6</w:t>
            </w:r>
          </w:p>
        </w:tc>
        <w:tc>
          <w:tcPr>
            <w:tcW w:w="567" w:type="dxa"/>
            <w:tcBorders>
              <w:top w:val="nil"/>
              <w:left w:val="nil"/>
              <w:bottom w:val="single" w:sz="4" w:space="0" w:color="000000"/>
              <w:right w:val="single" w:sz="4" w:space="0" w:color="000000"/>
            </w:tcBorders>
            <w:shd w:val="clear" w:color="auto" w:fill="auto"/>
            <w:vAlign w:val="bottom"/>
          </w:tcPr>
          <w:p w14:paraId="6D5AB784"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1,9</w:t>
            </w:r>
          </w:p>
        </w:tc>
        <w:tc>
          <w:tcPr>
            <w:tcW w:w="567" w:type="dxa"/>
            <w:tcBorders>
              <w:top w:val="nil"/>
              <w:left w:val="nil"/>
              <w:bottom w:val="single" w:sz="4" w:space="0" w:color="000000"/>
              <w:right w:val="single" w:sz="4" w:space="0" w:color="000000"/>
            </w:tcBorders>
            <w:shd w:val="clear" w:color="auto" w:fill="auto"/>
            <w:vAlign w:val="bottom"/>
          </w:tcPr>
          <w:p w14:paraId="4C3F21D0"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1,5</w:t>
            </w:r>
          </w:p>
        </w:tc>
        <w:tc>
          <w:tcPr>
            <w:tcW w:w="607" w:type="dxa"/>
            <w:tcBorders>
              <w:top w:val="nil"/>
              <w:left w:val="nil"/>
              <w:bottom w:val="single" w:sz="4" w:space="0" w:color="000000"/>
              <w:right w:val="single" w:sz="4" w:space="0" w:color="000000"/>
            </w:tcBorders>
            <w:shd w:val="clear" w:color="auto" w:fill="auto"/>
            <w:vAlign w:val="bottom"/>
          </w:tcPr>
          <w:p w14:paraId="2D0100E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1,0</w:t>
            </w:r>
          </w:p>
        </w:tc>
        <w:tc>
          <w:tcPr>
            <w:tcW w:w="607" w:type="dxa"/>
            <w:tcBorders>
              <w:top w:val="nil"/>
              <w:left w:val="nil"/>
              <w:bottom w:val="single" w:sz="4" w:space="0" w:color="000000"/>
              <w:right w:val="single" w:sz="4" w:space="0" w:color="000000"/>
            </w:tcBorders>
            <w:shd w:val="clear" w:color="auto" w:fill="auto"/>
            <w:vAlign w:val="bottom"/>
          </w:tcPr>
          <w:p w14:paraId="1A8C7DA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0,8</w:t>
            </w:r>
          </w:p>
        </w:tc>
        <w:tc>
          <w:tcPr>
            <w:tcW w:w="607" w:type="dxa"/>
            <w:tcBorders>
              <w:top w:val="nil"/>
              <w:left w:val="nil"/>
              <w:bottom w:val="single" w:sz="4" w:space="0" w:color="000000"/>
              <w:right w:val="single" w:sz="4" w:space="0" w:color="000000"/>
            </w:tcBorders>
            <w:shd w:val="clear" w:color="auto" w:fill="auto"/>
            <w:vAlign w:val="bottom"/>
          </w:tcPr>
          <w:p w14:paraId="1ABE34EF"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2,4</w:t>
            </w:r>
          </w:p>
        </w:tc>
        <w:tc>
          <w:tcPr>
            <w:tcW w:w="611" w:type="dxa"/>
            <w:tcBorders>
              <w:top w:val="nil"/>
              <w:left w:val="nil"/>
              <w:bottom w:val="single" w:sz="4" w:space="0" w:color="000000"/>
              <w:right w:val="single" w:sz="4" w:space="0" w:color="000000"/>
            </w:tcBorders>
            <w:shd w:val="clear" w:color="auto" w:fill="auto"/>
            <w:vAlign w:val="bottom"/>
          </w:tcPr>
          <w:p w14:paraId="0E017B8F"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1,9</w:t>
            </w:r>
          </w:p>
        </w:tc>
        <w:tc>
          <w:tcPr>
            <w:tcW w:w="607" w:type="dxa"/>
            <w:tcBorders>
              <w:top w:val="nil"/>
              <w:left w:val="nil"/>
              <w:bottom w:val="single" w:sz="4" w:space="0" w:color="000000"/>
              <w:right w:val="single" w:sz="4" w:space="0" w:color="000000"/>
            </w:tcBorders>
            <w:shd w:val="clear" w:color="auto" w:fill="auto"/>
            <w:vAlign w:val="bottom"/>
          </w:tcPr>
          <w:p w14:paraId="69EDE26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0,8</w:t>
            </w:r>
          </w:p>
        </w:tc>
        <w:tc>
          <w:tcPr>
            <w:tcW w:w="505" w:type="dxa"/>
            <w:tcBorders>
              <w:top w:val="nil"/>
              <w:left w:val="nil"/>
              <w:bottom w:val="single" w:sz="4" w:space="0" w:color="000000"/>
              <w:right w:val="single" w:sz="4" w:space="0" w:color="000000"/>
            </w:tcBorders>
            <w:shd w:val="clear" w:color="auto" w:fill="auto"/>
            <w:vAlign w:val="bottom"/>
          </w:tcPr>
          <w:p w14:paraId="6613983B"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0,5</w:t>
            </w:r>
          </w:p>
        </w:tc>
        <w:tc>
          <w:tcPr>
            <w:tcW w:w="567" w:type="dxa"/>
            <w:tcBorders>
              <w:top w:val="nil"/>
              <w:left w:val="nil"/>
              <w:bottom w:val="single" w:sz="4" w:space="0" w:color="000000"/>
              <w:right w:val="single" w:sz="4" w:space="0" w:color="000000"/>
            </w:tcBorders>
            <w:shd w:val="clear" w:color="auto" w:fill="auto"/>
            <w:vAlign w:val="bottom"/>
          </w:tcPr>
          <w:p w14:paraId="18C3F138"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1,7</w:t>
            </w:r>
          </w:p>
        </w:tc>
        <w:tc>
          <w:tcPr>
            <w:tcW w:w="567" w:type="dxa"/>
            <w:tcBorders>
              <w:top w:val="nil"/>
              <w:left w:val="nil"/>
              <w:bottom w:val="single" w:sz="4" w:space="0" w:color="000000"/>
              <w:right w:val="single" w:sz="4" w:space="0" w:color="000000"/>
            </w:tcBorders>
            <w:shd w:val="clear" w:color="auto" w:fill="auto"/>
            <w:vAlign w:val="bottom"/>
          </w:tcPr>
          <w:p w14:paraId="3009A665"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1,3</w:t>
            </w:r>
          </w:p>
        </w:tc>
        <w:tc>
          <w:tcPr>
            <w:tcW w:w="507" w:type="dxa"/>
            <w:tcBorders>
              <w:top w:val="nil"/>
              <w:left w:val="nil"/>
              <w:bottom w:val="single" w:sz="4" w:space="0" w:color="000000"/>
              <w:right w:val="single" w:sz="4" w:space="0" w:color="000000"/>
            </w:tcBorders>
            <w:shd w:val="clear" w:color="auto" w:fill="auto"/>
            <w:vAlign w:val="bottom"/>
          </w:tcPr>
          <w:p w14:paraId="7D413B3E" w14:textId="77777777" w:rsidR="00C82386" w:rsidRPr="00C8122B" w:rsidRDefault="00E66F64">
            <w:pPr>
              <w:spacing w:after="0"/>
              <w:jc w:val="center"/>
              <w:rPr>
                <w:rFonts w:ascii="Times New Roman" w:eastAsia="Times New Roman" w:hAnsi="Times New Roman" w:cs="Times New Roman"/>
                <w:color w:val="000000"/>
                <w:sz w:val="20"/>
              </w:rPr>
            </w:pPr>
            <w:r w:rsidRPr="00C8122B">
              <w:rPr>
                <w:rFonts w:ascii="Times New Roman" w:eastAsia="Times New Roman" w:hAnsi="Times New Roman" w:cs="Times New Roman"/>
                <w:color w:val="000000"/>
                <w:sz w:val="20"/>
              </w:rPr>
              <w:t>1,8</w:t>
            </w:r>
          </w:p>
        </w:tc>
      </w:tr>
    </w:tbl>
    <w:p w14:paraId="457A181C"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опадів у Житомирській області за 2000-2015 рр. порівняно з кліматичною нормою практично не змінилася (зменшилася на 3%), проте спостерігається зміна характеру випадання опадів, а також незначне зменшення їх кількості влітку (рисунок 2.1). Середня річна швидкість вітру за період 1981-2010 рр. була нижчою на 0,6 м/с, порівняно з кліматичною нормою.</w:t>
      </w:r>
    </w:p>
    <w:p w14:paraId="77FBC6A1" w14:textId="77777777" w:rsidR="00C82386" w:rsidRDefault="00AE33D7">
      <w:pPr>
        <w:spacing w:after="0" w:line="240" w:lineRule="auto"/>
        <w:jc w:val="center"/>
        <w:rPr>
          <w:rFonts w:ascii="Times New Roman" w:eastAsia="Times New Roman" w:hAnsi="Times New Roman" w:cs="Times New Roman"/>
          <w:sz w:val="24"/>
          <w:szCs w:val="24"/>
        </w:rPr>
      </w:pPr>
      <w:r w:rsidRPr="004A0EA0">
        <w:rPr>
          <w:noProof/>
          <w:lang w:val="ru-RU"/>
        </w:rPr>
        <w:lastRenderedPageBreak/>
        <w:drawing>
          <wp:inline distT="0" distB="0" distL="0" distR="0" wp14:anchorId="4814FF96" wp14:editId="689DF2AF">
            <wp:extent cx="5105400" cy="3333927"/>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8443" cy="3335914"/>
                    </a:xfrm>
                    <a:prstGeom prst="rect">
                      <a:avLst/>
                    </a:prstGeom>
                    <a:noFill/>
                    <a:ln>
                      <a:noFill/>
                    </a:ln>
                  </pic:spPr>
                </pic:pic>
              </a:graphicData>
            </a:graphic>
          </wp:inline>
        </w:drawing>
      </w:r>
    </w:p>
    <w:p w14:paraId="1100143D"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2.1. Зміна кількості опадів в Житомирській області за 2000-2015 рр. відносно кліматичної норми</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w:t>
      </w:r>
    </w:p>
    <w:p w14:paraId="4B15247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 атмосферних явищ, що в останні роки привертають все більше уваги, слід відмітити хвилі тепла (ХТ). Хвиля тепла – це атмосферне явище, що проявляється у вигляді аномально теплої погоди, яка зберігається протягом певного періоду і охоплює значні території. Хвилі тепла в останні роки привертають до себе все більше уваги вчених всього світу. Для цього є як мінімум кілька серйозних причин – зростання повторюваності цього явища по всьому світу в останні десятиріччя, негативний вплив на здоров’я людей, підвищення ризику виникнення лісових пожеж, зниження урожайності сільськогосподарських культур, формування чи посилення посух, підвищення рівня забруднення атмосферного повітря у містах тощо. З 1961 по 2015 рр. у Житомирі зафіксовано 25 випадків ХТ, 6 з яких спостерігалися в період 1961-1990 рр. і 19 – за період 1991-2015 рр. (рисунок 2.2). </w:t>
      </w:r>
    </w:p>
    <w:p w14:paraId="05253EA1" w14:textId="77777777" w:rsidR="00C82386" w:rsidRDefault="00AE33D7">
      <w:pPr>
        <w:spacing w:after="0" w:line="240" w:lineRule="auto"/>
        <w:jc w:val="center"/>
        <w:rPr>
          <w:rFonts w:ascii="Times New Roman" w:eastAsia="Times New Roman" w:hAnsi="Times New Roman" w:cs="Times New Roman"/>
          <w:sz w:val="28"/>
          <w:szCs w:val="28"/>
        </w:rPr>
      </w:pPr>
      <w:r w:rsidRPr="004A0EA0">
        <w:rPr>
          <w:noProof/>
          <w:lang w:val="ru-RU"/>
        </w:rPr>
        <w:lastRenderedPageBreak/>
        <w:drawing>
          <wp:inline distT="0" distB="0" distL="0" distR="0" wp14:anchorId="0E741193" wp14:editId="15D2DA65">
            <wp:extent cx="4953000" cy="3234407"/>
            <wp:effectExtent l="0" t="0" r="0" b="44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853" cy="3234964"/>
                    </a:xfrm>
                    <a:prstGeom prst="rect">
                      <a:avLst/>
                    </a:prstGeom>
                    <a:noFill/>
                    <a:ln>
                      <a:noFill/>
                    </a:ln>
                  </pic:spPr>
                </pic:pic>
              </a:graphicData>
            </a:graphic>
          </wp:inline>
        </w:drawing>
      </w:r>
    </w:p>
    <w:p w14:paraId="00E065F5"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2.2. Кількість випадків ХТ в м. Житомир за період 1961-2015 рр.</w:t>
      </w:r>
      <w:r>
        <w:rPr>
          <w:rFonts w:ascii="Times New Roman" w:eastAsia="Times New Roman" w:hAnsi="Times New Roman" w:cs="Times New Roman"/>
          <w:sz w:val="24"/>
          <w:szCs w:val="24"/>
          <w:vertAlign w:val="superscript"/>
        </w:rPr>
        <w:footnoteReference w:id="7"/>
      </w:r>
    </w:p>
    <w:p w14:paraId="3BB415B6" w14:textId="77777777" w:rsidR="00C82386" w:rsidRDefault="00E66F64">
      <w:pPr>
        <w:spacing w:before="120" w:after="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Проекції температури повітря та кількості опадів в ХХІ столітті на основі RCP-сценаріїв.</w:t>
      </w:r>
      <w:r>
        <w:rPr>
          <w:rFonts w:ascii="Times New Roman" w:eastAsia="Times New Roman" w:hAnsi="Times New Roman" w:cs="Times New Roman"/>
          <w:sz w:val="24"/>
          <w:szCs w:val="24"/>
        </w:rPr>
        <w:t xml:space="preserve"> </w:t>
      </w:r>
    </w:p>
    <w:p w14:paraId="06B1B95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отримання прогнозів еволюції клімату, моделі клімату використовують інформацію, описану в сценаріях викидів парникових газів та викидів забруднювальних речовин в атмосферу і моделей землекористування. На сьогоднішній день загальноприйнятими сценаріями є репрезентативні траєкторії концентрації парникових газів (RCP), прийняті у 5-му звіті міжурядової групи експертів з питань змін клімату (МГЕЗК) в 2014 році, які замінюють проекти спеціального звіту щодо сценаріїв викидів (SRES), опублікованих у 2000 році. RCP-сценарії являють собою увесь спектр можливих майбутніх траєкторій викидів парникових газів. Різному зростанню кількості населення та розвитку виробництва енергії, продуктів харчування та землекористування відповідають різні можливі траєкторії викидів. </w:t>
      </w:r>
    </w:p>
    <w:p w14:paraId="6B1F215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Сніжком С.І. та ін. (2020)</w:t>
      </w:r>
      <w:r>
        <w:rPr>
          <w:rFonts w:ascii="Times New Roman" w:eastAsia="Times New Roman" w:hAnsi="Times New Roman" w:cs="Times New Roman"/>
          <w:sz w:val="24"/>
          <w:szCs w:val="24"/>
          <w:vertAlign w:val="superscript"/>
        </w:rPr>
        <w:footnoteReference w:id="8"/>
      </w:r>
      <w:r>
        <w:rPr>
          <w:rFonts w:ascii="Times New Roman" w:eastAsia="Times New Roman" w:hAnsi="Times New Roman" w:cs="Times New Roman"/>
          <w:sz w:val="24"/>
          <w:szCs w:val="24"/>
        </w:rPr>
        <w:t xml:space="preserve"> встановлено тенденції зміни регіонального клімату на території Північного регіону України (до якого належить Житомир) в ХХІ столітті на основі проекцій полів приземної температури повітря та кількості опадів з використанням сучасних RCP-сценаріїв та глобальної кліматичної моделі GFDL-ESM2M. Найбільш оптимістичний сценарій RCP 2,6 щодо мінімального зростання радіаційного форсингу</w:t>
      </w:r>
      <w:r>
        <w:rPr>
          <w:rFonts w:ascii="Times New Roman" w:eastAsia="Times New Roman" w:hAnsi="Times New Roman" w:cs="Times New Roman"/>
          <w:sz w:val="24"/>
          <w:szCs w:val="24"/>
          <w:vertAlign w:val="superscript"/>
        </w:rPr>
        <w:footnoteReference w:id="9"/>
      </w:r>
      <w:r>
        <w:rPr>
          <w:rFonts w:ascii="Times New Roman" w:eastAsia="Times New Roman" w:hAnsi="Times New Roman" w:cs="Times New Roman"/>
          <w:sz w:val="24"/>
          <w:szCs w:val="24"/>
        </w:rPr>
        <w:t xml:space="preserve"> 2.6 Вт/м2 до кінця століття з найбільш раннім піком емісії парникових газів близько 2020 р. для прогнозування не використовувався, оскільки вже у 2018 р. стало зрозуміло, що передбачені цим сценарієм заходи з пом’якшення глобального потепління не виконуються. </w:t>
      </w:r>
    </w:p>
    <w:p w14:paraId="244E899B" w14:textId="77777777" w:rsidR="00C82386" w:rsidRDefault="00E66F64">
      <w:pPr>
        <w:pBdr>
          <w:top w:val="nil"/>
          <w:left w:val="nil"/>
          <w:bottom w:val="nil"/>
          <w:right w:val="nil"/>
          <w:between w:val="nil"/>
        </w:pBdr>
        <w:tabs>
          <w:tab w:val="left" w:pos="504"/>
        </w:tabs>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 якості референтного часового періоду згідно рекомендацій проєкту ISIMIP використано часовий інтервал з 1981 по 2010 рр. Відносно цього періоду визнач</w:t>
      </w:r>
      <w:r>
        <w:rPr>
          <w:rFonts w:ascii="Times New Roman" w:eastAsia="Times New Roman" w:hAnsi="Times New Roman" w:cs="Times New Roman"/>
          <w:sz w:val="24"/>
          <w:szCs w:val="24"/>
        </w:rPr>
        <w:t>ено</w:t>
      </w:r>
      <w:r>
        <w:rPr>
          <w:rFonts w:ascii="Times New Roman" w:eastAsia="Times New Roman" w:hAnsi="Times New Roman" w:cs="Times New Roman"/>
          <w:color w:val="000000"/>
          <w:sz w:val="24"/>
          <w:szCs w:val="24"/>
        </w:rPr>
        <w:t xml:space="preserve"> зміни характеристик клімату північного регіону України до 2100 р.</w:t>
      </w:r>
    </w:p>
    <w:p w14:paraId="7401BCF9" w14:textId="77777777" w:rsidR="00C82386" w:rsidRDefault="00E66F64">
      <w:pPr>
        <w:pBdr>
          <w:top w:val="nil"/>
          <w:left w:val="nil"/>
          <w:bottom w:val="nil"/>
          <w:right w:val="nil"/>
          <w:between w:val="nil"/>
        </w:pBdr>
        <w:tabs>
          <w:tab w:val="left" w:pos="504"/>
        </w:tabs>
        <w:spacing w:before="240" w:after="0"/>
        <w:jc w:val="both"/>
        <w:rPr>
          <w:rFonts w:ascii="Times New Roman" w:eastAsia="Times New Roman" w:hAnsi="Times New Roman" w:cs="Times New Roman"/>
          <w:i/>
          <w:color w:val="000000"/>
          <w:sz w:val="24"/>
          <w:szCs w:val="24"/>
        </w:rPr>
      </w:pPr>
      <w:bookmarkStart w:id="19" w:name="bookmark=id.3j2qqm3" w:colFirst="0" w:colLast="0"/>
      <w:bookmarkEnd w:id="19"/>
      <w:r>
        <w:rPr>
          <w:rFonts w:ascii="Times New Roman" w:eastAsia="Times New Roman" w:hAnsi="Times New Roman" w:cs="Times New Roman"/>
          <w:i/>
          <w:color w:val="000000"/>
          <w:sz w:val="24"/>
          <w:szCs w:val="24"/>
        </w:rPr>
        <w:t xml:space="preserve">Проекції змін температури повітря за intermediate сценарієм (RCP4.5). </w:t>
      </w:r>
    </w:p>
    <w:p w14:paraId="01BB891B" w14:textId="77777777" w:rsidR="00C82386" w:rsidRDefault="00E66F64">
      <w:pPr>
        <w:pBdr>
          <w:top w:val="nil"/>
          <w:left w:val="nil"/>
          <w:bottom w:val="nil"/>
          <w:right w:val="nil"/>
          <w:between w:val="nil"/>
        </w:pBdr>
        <w:tabs>
          <w:tab w:val="left" w:pos="504"/>
        </w:tabs>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2011-2040 рр. – у Північному регіоні температура повітря буде зростати. Середні місячні значення температури повітря найбільше зростуть у холодний період року: у січні (на 4,1°С), лютому (на 2,0°С). В теплий період року зміни термічного режиму будуть значно меншими – в травні очікується зростання на 0,6°С, в липні – на 0,8°С, в червні взагалі не очікується зростання середньої температури. </w:t>
      </w:r>
    </w:p>
    <w:p w14:paraId="128792F9" w14:textId="77777777" w:rsidR="00C82386" w:rsidRDefault="00E66F64">
      <w:pPr>
        <w:pBdr>
          <w:top w:val="nil"/>
          <w:left w:val="nil"/>
          <w:bottom w:val="nil"/>
          <w:right w:val="nil"/>
          <w:between w:val="nil"/>
        </w:pBdr>
        <w:tabs>
          <w:tab w:val="left" w:pos="504"/>
        </w:tabs>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2041-2070 рр. – проекції змін приземної температури повітря вказують на однозначне потепління в усі місяці року (рис.2.3). Очікується зростання середньої річної температури на 3,1°С, значно теплішим стане холодний період року – максимальне зростання температури повітря очікується в зимові місяці: у січні та грудні – на 3,1°С, у лютому – на 3,2°С. Найменші зміни прогнозуються для травня, червня та липня. А в червні навіть очікується незначне зниження температури (на 0,2°С). </w:t>
      </w:r>
    </w:p>
    <w:p w14:paraId="761E1CD8" w14:textId="77777777" w:rsidR="00C82386" w:rsidRDefault="00E66F64">
      <w:pPr>
        <w:pBdr>
          <w:top w:val="nil"/>
          <w:left w:val="nil"/>
          <w:bottom w:val="nil"/>
          <w:right w:val="nil"/>
          <w:between w:val="nil"/>
        </w:pBdr>
        <w:tabs>
          <w:tab w:val="left" w:pos="504"/>
        </w:tabs>
        <w:spacing w:after="12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2071-2100 рр. – на території регіону прогнозується підвищення середньої річної температури на 2,2°С (рис.3). Найбільше зростання очікується у січні – на 3,3°С, мінімальний ріст – у червні та липні – на 0,5°С та 0,2°С відповідно. В перехідні сезони очікується нерівномірне зростання температури в різні місяці. Наприклад, весною від 0,6°С у березні до 2,1°С у травні, а восени від 1,6°С у вересні до 2,1°С у жовтні.</w:t>
      </w:r>
    </w:p>
    <w:p w14:paraId="7C4578C3" w14:textId="77777777" w:rsidR="00C82386" w:rsidRDefault="00E66F64">
      <w:pPr>
        <w:spacing w:after="0" w:line="240" w:lineRule="auto"/>
        <w:jc w:val="center"/>
        <w:rPr>
          <w:rFonts w:ascii="Times New Roman" w:eastAsia="Times New Roman" w:hAnsi="Times New Roman" w:cs="Times New Roman"/>
          <w:sz w:val="24"/>
          <w:szCs w:val="24"/>
        </w:rPr>
      </w:pPr>
      <w:r>
        <w:rPr>
          <w:noProof/>
          <w:lang w:val="ru-RU"/>
        </w:rPr>
        <w:drawing>
          <wp:inline distT="0" distB="0" distL="0" distR="0" wp14:anchorId="55110BB0" wp14:editId="09FA4538">
            <wp:extent cx="5505791" cy="3162875"/>
            <wp:effectExtent l="0" t="0" r="0" b="0"/>
            <wp:docPr id="2144251930" name="Диаграмма 21442519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036B91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2.3. Проекції змін середніх місячних температур повітря у різні 30-річні періоди 21 століття за intermediate -сценарієм відносно базового 1981-2010 рр.</w:t>
      </w:r>
      <w:r>
        <w:rPr>
          <w:rFonts w:ascii="Times New Roman" w:eastAsia="Times New Roman" w:hAnsi="Times New Roman" w:cs="Times New Roman"/>
          <w:sz w:val="24"/>
          <w:szCs w:val="24"/>
          <w:vertAlign w:val="superscript"/>
        </w:rPr>
        <w:footnoteReference w:id="10"/>
      </w:r>
    </w:p>
    <w:p w14:paraId="1E668E21" w14:textId="77777777" w:rsidR="00C82386" w:rsidRDefault="00E66F64">
      <w:pPr>
        <w:pBdr>
          <w:top w:val="nil"/>
          <w:left w:val="nil"/>
          <w:bottom w:val="nil"/>
          <w:right w:val="nil"/>
          <w:between w:val="nil"/>
        </w:pBdr>
        <w:tabs>
          <w:tab w:val="left" w:pos="504"/>
        </w:tabs>
        <w:spacing w:before="240" w:after="0"/>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Проекції змін температури повітря за high-end сценарієм (RCP 8,5). </w:t>
      </w:r>
    </w:p>
    <w:p w14:paraId="5F67505E" w14:textId="77777777" w:rsidR="00C82386" w:rsidRDefault="00E66F64">
      <w:pPr>
        <w:pBdr>
          <w:top w:val="nil"/>
          <w:left w:val="nil"/>
          <w:bottom w:val="nil"/>
          <w:right w:val="nil"/>
          <w:between w:val="nil"/>
        </w:pBdr>
        <w:tabs>
          <w:tab w:val="left" w:pos="504"/>
        </w:tabs>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2011-2040 рр. – згідно проекцій середня річна температура в регіоні зросте на 2,0°С. Найбільше потепління слід очікувати в січні та грудні – 2,5°С та 2,0°С відповідно (рис.2.4). </w:t>
      </w:r>
      <w:r>
        <w:rPr>
          <w:rFonts w:ascii="Times New Roman" w:eastAsia="Times New Roman" w:hAnsi="Times New Roman" w:cs="Times New Roman"/>
          <w:color w:val="000000"/>
          <w:sz w:val="24"/>
          <w:szCs w:val="24"/>
        </w:rPr>
        <w:lastRenderedPageBreak/>
        <w:t xml:space="preserve">З серпня по листопад очікується зростання в межах 1,6–1,8°С, в інші місяці року – температура підвищиться менш ніж на 1,0°С. Найменше зміниться температура повітря у березні (+0,2°С). </w:t>
      </w:r>
    </w:p>
    <w:p w14:paraId="198311D3" w14:textId="77777777" w:rsidR="00C82386" w:rsidRDefault="00E66F64">
      <w:pPr>
        <w:pBdr>
          <w:top w:val="nil"/>
          <w:left w:val="nil"/>
          <w:bottom w:val="nil"/>
          <w:right w:val="nil"/>
          <w:between w:val="nil"/>
        </w:pBdr>
        <w:tabs>
          <w:tab w:val="left" w:pos="504"/>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2041-2070 рр. – на території регіону прогнозується підвищення середньої річної температури на 2,5°С. Проекції зміни температурного режиму вказують на найбільше зростання температури в січні та лютому – на 4,2°С і 3,8°С відповідно. Восени очікується зростання температури в межах 2,8-3,4°С, навесні – від 1,6°С до 2,2°С в різні місяці. Найменших змін слід очікувати в червні – на 0,7°С.</w:t>
      </w:r>
    </w:p>
    <w:p w14:paraId="544F7FCD" w14:textId="77777777" w:rsidR="00C82386" w:rsidRDefault="00E66F64">
      <w:pPr>
        <w:pBdr>
          <w:top w:val="nil"/>
          <w:left w:val="nil"/>
          <w:bottom w:val="nil"/>
          <w:right w:val="nil"/>
          <w:between w:val="nil"/>
        </w:pBdr>
        <w:tabs>
          <w:tab w:val="left" w:pos="504"/>
        </w:tabs>
        <w:spacing w:after="120"/>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2071-2100 рр. – очікується зростання середньої річної температури на 3,6°С. Середні значення приземної температури повітря максимально </w:t>
      </w:r>
      <w:r>
        <w:rPr>
          <w:rFonts w:ascii="Times New Roman" w:eastAsia="Times New Roman" w:hAnsi="Times New Roman" w:cs="Times New Roman"/>
          <w:sz w:val="24"/>
          <w:szCs w:val="24"/>
        </w:rPr>
        <w:t>підвищаться</w:t>
      </w:r>
      <w:r>
        <w:rPr>
          <w:rFonts w:ascii="Times New Roman" w:eastAsia="Times New Roman" w:hAnsi="Times New Roman" w:cs="Times New Roman"/>
          <w:color w:val="000000"/>
          <w:sz w:val="24"/>
          <w:szCs w:val="24"/>
        </w:rPr>
        <w:t xml:space="preserve"> у січні (на 6,4°С) та вересні (на 5,1°С). Найменше зростання очікується в червні та липні – на 1,6°С та 1,7°С, відповідно. </w:t>
      </w:r>
    </w:p>
    <w:p w14:paraId="08E6C580" w14:textId="77777777" w:rsidR="00C82386" w:rsidRDefault="00E66F64">
      <w:pPr>
        <w:pBdr>
          <w:top w:val="nil"/>
          <w:left w:val="nil"/>
          <w:bottom w:val="nil"/>
          <w:right w:val="nil"/>
          <w:between w:val="nil"/>
        </w:pBdr>
        <w:tabs>
          <w:tab w:val="left" w:pos="504"/>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val="ru-RU"/>
        </w:rPr>
        <w:drawing>
          <wp:inline distT="0" distB="0" distL="0" distR="0" wp14:anchorId="613E267F" wp14:editId="2857B5F9">
            <wp:extent cx="5219700" cy="3086100"/>
            <wp:effectExtent l="0" t="0" r="0" b="0"/>
            <wp:docPr id="2144251932" name="Диаграмма 21442519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83373CD" w14:textId="77777777" w:rsidR="00C82386" w:rsidRDefault="00E66F64">
      <w:pPr>
        <w:pBdr>
          <w:top w:val="nil"/>
          <w:left w:val="nil"/>
          <w:bottom w:val="nil"/>
          <w:right w:val="nil"/>
          <w:between w:val="nil"/>
        </w:pBdr>
        <w:tabs>
          <w:tab w:val="left" w:pos="504"/>
        </w:tabs>
        <w:spacing w:after="0"/>
        <w:jc w:val="both"/>
        <w:rPr>
          <w:rFonts w:ascii="Times New Roman" w:eastAsia="Times New Roman" w:hAnsi="Times New Roman" w:cs="Times New Roman"/>
          <w:color w:val="000000"/>
          <w:sz w:val="24"/>
          <w:szCs w:val="24"/>
        </w:rPr>
      </w:pPr>
      <w:bookmarkStart w:id="20" w:name="_heading=h.1y810tw" w:colFirst="0" w:colLast="0"/>
      <w:bookmarkEnd w:id="20"/>
      <w:r>
        <w:rPr>
          <w:rFonts w:ascii="Times New Roman" w:eastAsia="Times New Roman" w:hAnsi="Times New Roman" w:cs="Times New Roman"/>
          <w:color w:val="000000"/>
          <w:sz w:val="24"/>
          <w:szCs w:val="24"/>
        </w:rPr>
        <w:t xml:space="preserve">Рис.2.4. Проекції змін середніх місячних температур повітря у різні 30-річні періоди 21 століття за high-end -сценарієм відносно базового 1981-2010 рр. </w:t>
      </w:r>
    </w:p>
    <w:p w14:paraId="08EE5113" w14:textId="77777777" w:rsidR="00C82386" w:rsidRDefault="00E66F64">
      <w:pPr>
        <w:tabs>
          <w:tab w:val="left" w:pos="567"/>
        </w:tabs>
        <w:spacing w:before="120" w:after="0"/>
        <w:ind w:firstLine="709"/>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Проекції зміни кількості опадів у північному регіоні України в ХХІ ст. за intermediate сценарієм (RCP 4,5). </w:t>
      </w:r>
    </w:p>
    <w:p w14:paraId="39A8F1F6" w14:textId="77777777" w:rsidR="00C82386" w:rsidRDefault="00E66F64">
      <w:pPr>
        <w:tabs>
          <w:tab w:val="left" w:pos="567"/>
        </w:tabs>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2011-2040 рр. – згідно проекцій суттєвих змін середньої річної кількості опадів порівняно з періодом 1981-2010 рр. не очікується (зростання на 2.9%), проте в окремі місяці зміни кількості опадів коливаються від -27,5% до +22,5%. Зокрема, найсуттєвіше зростання очікується в травні і червні – на 13,0% та 30,6% відповідно. Найбільше зниження кількості опадів прогнозується в осінні місяці – від 12,1% у вересні до 21,1% у жовтні (рис. 2.5).</w:t>
      </w:r>
    </w:p>
    <w:p w14:paraId="21573CB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2041-2070 рр. – в цей період середня річна кількість опадів також зміниться несуттєво – на 4,0%, проте зміни кількості опадів в окремі місяці будуть ще більшими, ніж в попередньому періоді – від +38,8% в червні до – 23,4% – листопаді. Згідно проекцій, зниження кількості опадів слід очікувати у березні та з серпня по листопад, у липні кількість опадів залишиться практично без змін, а в інші місяці має відбуватися зростання кількості опадів. </w:t>
      </w:r>
    </w:p>
    <w:p w14:paraId="2AC103D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2071-2100 рр. – згідно проекцій в цей період річна кількість опадів зросте майже на 10%, проте як і в попередні періоди слід очікувати нерівномірних змін кількості опадів протягом року – від +35,8% у червні до -21,4% у жовтні. Зниження кількості опадів </w:t>
      </w:r>
      <w:r>
        <w:rPr>
          <w:rFonts w:ascii="Times New Roman" w:eastAsia="Times New Roman" w:hAnsi="Times New Roman" w:cs="Times New Roman"/>
          <w:sz w:val="24"/>
          <w:szCs w:val="24"/>
        </w:rPr>
        <w:lastRenderedPageBreak/>
        <w:t>очікується з серпня по листопад (в межах 11,4-21,4°С). В березні кількість опадів очікується майже на рівні референсного періоду, в інші місяці – зростання різної інтенсивності.</w:t>
      </w:r>
    </w:p>
    <w:p w14:paraId="49BDDE6C" w14:textId="77777777" w:rsidR="00C82386" w:rsidRDefault="00E66F64">
      <w:pPr>
        <w:spacing w:after="0" w:line="240" w:lineRule="auto"/>
        <w:jc w:val="center"/>
        <w:rPr>
          <w:rFonts w:ascii="Times New Roman" w:eastAsia="Times New Roman" w:hAnsi="Times New Roman" w:cs="Times New Roman"/>
          <w:sz w:val="28"/>
          <w:szCs w:val="28"/>
        </w:rPr>
      </w:pPr>
      <w:r>
        <w:rPr>
          <w:noProof/>
          <w:lang w:val="ru-RU"/>
        </w:rPr>
        <w:drawing>
          <wp:inline distT="0" distB="0" distL="0" distR="0" wp14:anchorId="47ECD125" wp14:editId="6320616A">
            <wp:extent cx="5524500" cy="3124200"/>
            <wp:effectExtent l="0" t="0" r="0" b="0"/>
            <wp:docPr id="2144251931" name="Диаграмма 21442519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40AA45D"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2.5. Проекції змін середньомісячної кількості опадів за періодами intermediate сценарію відносно базового 1981-2010 рр.</w:t>
      </w:r>
    </w:p>
    <w:p w14:paraId="77503011"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Проекції зміни кількості опадів у північному регіоні України в ХХІ ст. за high-end сценарієм (RCP 8,5). </w:t>
      </w:r>
      <w:r>
        <w:rPr>
          <w:rFonts w:ascii="Times New Roman" w:eastAsia="Times New Roman" w:hAnsi="Times New Roman" w:cs="Times New Roman"/>
          <w:sz w:val="24"/>
          <w:szCs w:val="24"/>
        </w:rPr>
        <w:t>2011-2040 рр. – згідно проекцій в цей період річна кількість опадів зросте на 12.2 %, проте в окремі місяці зміни кількості опадів коливаються від -8,3 до +18,3%. В січні та з серпня по листопад очікується зменшення кількості опадів, в липні кількість опадів очікується майже на рівні референсного періоду</w:t>
      </w:r>
      <w:r>
        <w:rPr>
          <w:rFonts w:ascii="Times New Roman" w:eastAsia="Times New Roman" w:hAnsi="Times New Roman" w:cs="Times New Roman"/>
          <w:sz w:val="24"/>
          <w:szCs w:val="24"/>
          <w:vertAlign w:val="superscript"/>
        </w:rPr>
        <w:footnoteReference w:id="11"/>
      </w:r>
      <w:r>
        <w:rPr>
          <w:rFonts w:ascii="Times New Roman" w:eastAsia="Times New Roman" w:hAnsi="Times New Roman" w:cs="Times New Roman"/>
          <w:sz w:val="24"/>
          <w:szCs w:val="24"/>
        </w:rPr>
        <w:t>, в інші місяці – зростання (рис. 2.6).</w:t>
      </w:r>
    </w:p>
    <w:p w14:paraId="5A50E36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2041-2070 рр. – в цей період середня річна кількість опадів також дещо зросте – майже на 11 %, проте зміни кількості опадів в окремі місяці будуть ще більшими, ніж в попередньому періоді – від +37.3% в червні до –27.1% у вересні. Згідно проекцій, зниження кількості опадів слід очікувати з серпня по листопад, а також – у березні, квітні та січні, а в інші місяці має відбуватися зростання кількості опадів. </w:t>
      </w:r>
    </w:p>
    <w:p w14:paraId="6C31B220" w14:textId="77777777" w:rsidR="00C82386" w:rsidRDefault="00E66F64">
      <w:pPr>
        <w:spacing w:after="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2071-2100 рр. – згідно проекцій в цей період річна кількість опадів зросте на 6.5%, проте як і в попередні періоди слід очікувати нерівномірних змін кількості опадів протягом року – від +35.8% у лютому і +34.7% у червні до -33.3% у серпні, -33.1%  у вересні та -31.2% у жовтні. Зниження кількості опадів очікується з липня по листопад та в квітні. В березні кількість опадів очікується майже на рівні референсного періоду, в інші місяці – зростання. </w:t>
      </w:r>
    </w:p>
    <w:p w14:paraId="498B542F" w14:textId="77777777" w:rsidR="00C82386" w:rsidRDefault="00E66F64">
      <w:pPr>
        <w:spacing w:after="0" w:line="240" w:lineRule="auto"/>
        <w:jc w:val="center"/>
        <w:rPr>
          <w:rFonts w:ascii="Times New Roman" w:eastAsia="Times New Roman" w:hAnsi="Times New Roman" w:cs="Times New Roman"/>
          <w:sz w:val="28"/>
          <w:szCs w:val="28"/>
        </w:rPr>
      </w:pPr>
      <w:r>
        <w:rPr>
          <w:noProof/>
          <w:lang w:val="ru-RU"/>
        </w:rPr>
        <w:lastRenderedPageBreak/>
        <w:drawing>
          <wp:inline distT="0" distB="0" distL="0" distR="0" wp14:anchorId="6C460BB4" wp14:editId="563BDD51">
            <wp:extent cx="5181600" cy="3276600"/>
            <wp:effectExtent l="0" t="0" r="0" b="0"/>
            <wp:docPr id="2144251934" name="Диаграмма 21442519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12971E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2.6. Проекції змін середньомісячної кількості опадів по регіонах за періодами high-end сценарію відносно базового 1981-2010 рр.</w:t>
      </w:r>
    </w:p>
    <w:p w14:paraId="2E039B29" w14:textId="77777777" w:rsidR="00C82386" w:rsidRDefault="00E66F64">
      <w:pPr>
        <w:spacing w:before="24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Отже, за всіма сценаріями слід очікувати перерозподіл кількості опадів впродовж року – найбільше збільшиться кількість літніх опадів (червень), у той час як восени буде спостерігатися значне зменшення їх випадання (вересень-листопад). Отримані результати свідчать, що при застосуванні інформації про очікувані зміни кількості опадів слід використовувати принаймні сезонні, а краще – місячні дані проекцій майбутніх змін режиму зволоження.</w:t>
      </w:r>
    </w:p>
    <w:p w14:paraId="5B64517B" w14:textId="77777777" w:rsidR="00C82386" w:rsidRDefault="00E66F64">
      <w:pPr>
        <w:keepNext/>
        <w:keepLines/>
        <w:numPr>
          <w:ilvl w:val="1"/>
          <w:numId w:val="1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21" w:name="_heading=h.4i7ojhp" w:colFirst="0" w:colLast="0"/>
      <w:bookmarkEnd w:id="21"/>
      <w:r>
        <w:rPr>
          <w:rFonts w:ascii="Times New Roman" w:eastAsia="Times New Roman" w:hAnsi="Times New Roman" w:cs="Times New Roman"/>
          <w:b/>
          <w:color w:val="000000"/>
          <w:sz w:val="24"/>
          <w:szCs w:val="24"/>
        </w:rPr>
        <w:t>Оцінка соціально-економічного потенціалу громади</w:t>
      </w:r>
    </w:p>
    <w:p w14:paraId="3296BC01"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 1937 року Житомир є адміністративним центром Житомирської області. Місто відіграє важливу економічну та науково-культурну роль в усьому </w:t>
      </w: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оліському регіоні Волині і є в ньому найбільшим. </w:t>
      </w:r>
    </w:p>
    <w:p w14:paraId="5BB74C20"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системі моделювання дев’яти великих соціально-економічних районів України Житомир та Житомирська область віднесена до Столичного (або Центрального-поліського) соціально-економічного району, центром якого є Київ. Київ у цій системі виступає як центр потужного ядра, що визначально впливає і впливатиме надалі на соціально-економічну систему Житомира та Житомирської області.</w:t>
      </w:r>
    </w:p>
    <w:p w14:paraId="21F058B2" w14:textId="77777777" w:rsidR="00C82386" w:rsidRDefault="00E66F64">
      <w:pPr>
        <w:pBdr>
          <w:top w:val="nil"/>
          <w:left w:val="nil"/>
          <w:bottom w:val="nil"/>
          <w:right w:val="nil"/>
          <w:between w:val="nil"/>
        </w:pBdr>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Населення Житомирської міської територіальної громади станом на 2020 складає 266,75 тис. осіб, включаючи Житомир з населенням 264,3 тис. осіб та село Вереси, з населенням 2,45 тис. осіб.</w:t>
      </w:r>
    </w:p>
    <w:p w14:paraId="1C875BD0" w14:textId="77777777" w:rsidR="00C82386" w:rsidRDefault="004341E7" w:rsidP="00F461B1">
      <w:pPr>
        <w:spacing w:after="0"/>
        <w:ind w:hanging="284"/>
        <w:jc w:val="center"/>
        <w:rPr>
          <w:rFonts w:ascii="Times New Roman" w:eastAsia="Times New Roman" w:hAnsi="Times New Roman" w:cs="Times New Roman"/>
          <w:sz w:val="24"/>
          <w:szCs w:val="24"/>
        </w:rPr>
      </w:pPr>
      <w:sdt>
        <w:sdtPr>
          <w:tag w:val="goog_rdk_12"/>
          <w:id w:val="-1942208176"/>
          <w:showingPlcHdr/>
        </w:sdtPr>
        <w:sdtEndPr/>
        <w:sdtContent>
          <w:r w:rsidR="00AE10A4">
            <w:t xml:space="preserve">     </w:t>
          </w:r>
        </w:sdtContent>
      </w:sdt>
      <w:r w:rsidR="00F461B1">
        <w:rPr>
          <w:noProof/>
          <w:lang w:val="ru-RU"/>
        </w:rPr>
        <w:drawing>
          <wp:inline distT="0" distB="0" distL="0" distR="0" wp14:anchorId="51A6600A" wp14:editId="76BF43E2">
            <wp:extent cx="5136543" cy="2743200"/>
            <wp:effectExtent l="0" t="0" r="698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FDA086B" w14:textId="77777777" w:rsidR="00C82386" w:rsidRDefault="00E66F64">
      <w:pPr>
        <w:spacing w:after="12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Рис.2.7.Динаміка кількості населення у період 2010-2020 рр.</w:t>
      </w:r>
    </w:p>
    <w:p w14:paraId="3A8199C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всього періоду 2010-2020 рр. кількість населення міста Житомир залишалась стабільною, хоча демонструвала невелику тенденцію до зменшення. Так за рік в середньому населення Житомира зменшувалося на 0,3%. З урахуванням включення до Житомирської міської ОТГ селища Вереси та розраховуючи на збереження тенденцій, для подальшого планування енергетичних витрат в рамках ПДСЕРК можемо розглядати модель з незмінною кількістю населення.</w:t>
      </w:r>
    </w:p>
    <w:p w14:paraId="18F56E3E"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2019 році була прийнята Концепція інтегрованого розвитку </w:t>
      </w:r>
      <w:r w:rsidR="00F461B1">
        <w:rPr>
          <w:rFonts w:ascii="Times New Roman" w:eastAsia="Times New Roman" w:hAnsi="Times New Roman" w:cs="Times New Roman"/>
          <w:color w:val="000000"/>
          <w:sz w:val="24"/>
          <w:szCs w:val="24"/>
        </w:rPr>
        <w:t>м. </w:t>
      </w:r>
      <w:r>
        <w:rPr>
          <w:rFonts w:ascii="Times New Roman" w:eastAsia="Times New Roman" w:hAnsi="Times New Roman" w:cs="Times New Roman"/>
          <w:color w:val="000000"/>
          <w:sz w:val="24"/>
          <w:szCs w:val="24"/>
        </w:rPr>
        <w:t xml:space="preserve">Житомира </w:t>
      </w:r>
      <w:r w:rsidR="00F461B1">
        <w:rPr>
          <w:rFonts w:ascii="Times New Roman" w:eastAsia="Times New Roman" w:hAnsi="Times New Roman" w:cs="Times New Roman"/>
          <w:color w:val="000000"/>
          <w:sz w:val="24"/>
          <w:szCs w:val="24"/>
        </w:rPr>
        <w:t xml:space="preserve"> до </w:t>
      </w:r>
      <w:r>
        <w:rPr>
          <w:rFonts w:ascii="Times New Roman" w:eastAsia="Times New Roman" w:hAnsi="Times New Roman" w:cs="Times New Roman"/>
          <w:color w:val="000000"/>
          <w:sz w:val="24"/>
          <w:szCs w:val="24"/>
        </w:rPr>
        <w:t>2030 рок</w:t>
      </w:r>
      <w:r w:rsidR="00F461B1">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z w:val="24"/>
          <w:szCs w:val="24"/>
        </w:rPr>
        <w:t xml:space="preserve"> – стратегічний документ просторового та соціально-економічного розвитку Житомира, в рамках якої визначені основні пріоритети розвитку – «Ефективне місто», «Інноваційне місто», «Комфортне місто», «Активне місто», «Зелене місто», «Інклюзивне місто». Майбутній міський розвиток націлений на підвищення привабливості Житомира як місця для життя і роботи, а також залучення інвестицій, підвищення економічної потужності міста та регіону. В Концепції враховані Глобальні цілі сталого розвитку, які ухвалені державами-членами Організації Об’єднаних Націй. Це створює основу для сприяння економічному розвитку в поєднанні з соціальною справедливістю і дотриманням екологічного балансу в природі.</w:t>
      </w:r>
    </w:p>
    <w:p w14:paraId="1A92F92C" w14:textId="77777777" w:rsidR="00C82386" w:rsidRDefault="00E66F64">
      <w:pPr>
        <w:pBdr>
          <w:top w:val="nil"/>
          <w:left w:val="nil"/>
          <w:bottom w:val="nil"/>
          <w:right w:val="nil"/>
          <w:between w:val="nil"/>
        </w:pBdr>
        <w:spacing w:after="0"/>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2.5.</w:t>
      </w:r>
    </w:p>
    <w:p w14:paraId="136DCCC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Узагальнені дані щодо зайнятості населення, безробіття та заробітної плати найманих працівників у Житомирі, 2010-2020 рр.</w:t>
      </w:r>
    </w:p>
    <w:tbl>
      <w:tblPr>
        <w:tblStyle w:val="afff5"/>
        <w:tblW w:w="96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1"/>
        <w:gridCol w:w="652"/>
        <w:gridCol w:w="652"/>
        <w:gridCol w:w="652"/>
        <w:gridCol w:w="652"/>
        <w:gridCol w:w="652"/>
        <w:gridCol w:w="652"/>
        <w:gridCol w:w="652"/>
        <w:gridCol w:w="652"/>
        <w:gridCol w:w="652"/>
        <w:gridCol w:w="652"/>
        <w:gridCol w:w="701"/>
      </w:tblGrid>
      <w:tr w:rsidR="00C82386" w14:paraId="3BD38F3C" w14:textId="77777777">
        <w:trPr>
          <w:trHeight w:val="300"/>
          <w:jc w:val="center"/>
        </w:trPr>
        <w:tc>
          <w:tcPr>
            <w:tcW w:w="2411" w:type="dxa"/>
            <w:vMerge w:val="restart"/>
            <w:vAlign w:val="center"/>
          </w:tcPr>
          <w:p w14:paraId="7654AB54"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Назва показника</w:t>
            </w:r>
          </w:p>
        </w:tc>
        <w:tc>
          <w:tcPr>
            <w:tcW w:w="7221" w:type="dxa"/>
            <w:gridSpan w:val="11"/>
            <w:vAlign w:val="center"/>
          </w:tcPr>
          <w:p w14:paraId="293D9D9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Роки</w:t>
            </w:r>
          </w:p>
        </w:tc>
      </w:tr>
      <w:tr w:rsidR="00C82386" w14:paraId="3E325711" w14:textId="77777777">
        <w:trPr>
          <w:trHeight w:val="300"/>
          <w:jc w:val="center"/>
        </w:trPr>
        <w:tc>
          <w:tcPr>
            <w:tcW w:w="2411" w:type="dxa"/>
            <w:vMerge/>
            <w:vAlign w:val="center"/>
          </w:tcPr>
          <w:p w14:paraId="3E2AC16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652" w:type="dxa"/>
            <w:tcMar>
              <w:left w:w="57" w:type="dxa"/>
              <w:right w:w="57" w:type="dxa"/>
            </w:tcMar>
            <w:vAlign w:val="center"/>
          </w:tcPr>
          <w:p w14:paraId="094B10C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2010</w:t>
            </w:r>
          </w:p>
        </w:tc>
        <w:tc>
          <w:tcPr>
            <w:tcW w:w="652" w:type="dxa"/>
            <w:tcMar>
              <w:left w:w="57" w:type="dxa"/>
              <w:right w:w="57" w:type="dxa"/>
            </w:tcMar>
            <w:vAlign w:val="center"/>
          </w:tcPr>
          <w:p w14:paraId="1FD01D4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2011</w:t>
            </w:r>
          </w:p>
        </w:tc>
        <w:tc>
          <w:tcPr>
            <w:tcW w:w="652" w:type="dxa"/>
            <w:tcMar>
              <w:left w:w="57" w:type="dxa"/>
              <w:right w:w="57" w:type="dxa"/>
            </w:tcMar>
            <w:vAlign w:val="center"/>
          </w:tcPr>
          <w:p w14:paraId="0E00FFD9"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2012</w:t>
            </w:r>
          </w:p>
        </w:tc>
        <w:tc>
          <w:tcPr>
            <w:tcW w:w="652" w:type="dxa"/>
            <w:tcMar>
              <w:left w:w="57" w:type="dxa"/>
              <w:right w:w="57" w:type="dxa"/>
            </w:tcMar>
            <w:vAlign w:val="center"/>
          </w:tcPr>
          <w:p w14:paraId="5763D862"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2013</w:t>
            </w:r>
          </w:p>
        </w:tc>
        <w:tc>
          <w:tcPr>
            <w:tcW w:w="652" w:type="dxa"/>
            <w:tcMar>
              <w:left w:w="57" w:type="dxa"/>
              <w:right w:w="57" w:type="dxa"/>
            </w:tcMar>
            <w:vAlign w:val="center"/>
          </w:tcPr>
          <w:p w14:paraId="2C711C6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2014</w:t>
            </w:r>
          </w:p>
        </w:tc>
        <w:tc>
          <w:tcPr>
            <w:tcW w:w="652" w:type="dxa"/>
            <w:tcMar>
              <w:left w:w="57" w:type="dxa"/>
              <w:right w:w="57" w:type="dxa"/>
            </w:tcMar>
            <w:vAlign w:val="center"/>
          </w:tcPr>
          <w:p w14:paraId="0A5BEF2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2015</w:t>
            </w:r>
          </w:p>
        </w:tc>
        <w:tc>
          <w:tcPr>
            <w:tcW w:w="652" w:type="dxa"/>
            <w:tcMar>
              <w:left w:w="57" w:type="dxa"/>
              <w:right w:w="57" w:type="dxa"/>
            </w:tcMar>
            <w:vAlign w:val="center"/>
          </w:tcPr>
          <w:p w14:paraId="03F3043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2016</w:t>
            </w:r>
          </w:p>
        </w:tc>
        <w:tc>
          <w:tcPr>
            <w:tcW w:w="652" w:type="dxa"/>
            <w:tcMar>
              <w:left w:w="57" w:type="dxa"/>
              <w:right w:w="57" w:type="dxa"/>
            </w:tcMar>
            <w:vAlign w:val="center"/>
          </w:tcPr>
          <w:p w14:paraId="1CF653C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2017</w:t>
            </w:r>
          </w:p>
        </w:tc>
        <w:tc>
          <w:tcPr>
            <w:tcW w:w="652" w:type="dxa"/>
            <w:tcMar>
              <w:left w:w="57" w:type="dxa"/>
              <w:right w:w="57" w:type="dxa"/>
            </w:tcMar>
            <w:vAlign w:val="center"/>
          </w:tcPr>
          <w:p w14:paraId="30F9CFC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2018</w:t>
            </w:r>
          </w:p>
        </w:tc>
        <w:tc>
          <w:tcPr>
            <w:tcW w:w="652" w:type="dxa"/>
            <w:tcMar>
              <w:left w:w="57" w:type="dxa"/>
              <w:right w:w="57" w:type="dxa"/>
            </w:tcMar>
            <w:vAlign w:val="center"/>
          </w:tcPr>
          <w:p w14:paraId="7AA55CEF"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2019</w:t>
            </w:r>
          </w:p>
        </w:tc>
        <w:tc>
          <w:tcPr>
            <w:tcW w:w="701" w:type="dxa"/>
          </w:tcPr>
          <w:p w14:paraId="34EB33E3"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2020</w:t>
            </w:r>
          </w:p>
        </w:tc>
      </w:tr>
      <w:tr w:rsidR="00C82386" w14:paraId="54263CD8" w14:textId="77777777">
        <w:trPr>
          <w:trHeight w:val="600"/>
          <w:jc w:val="center"/>
        </w:trPr>
        <w:tc>
          <w:tcPr>
            <w:tcW w:w="2411" w:type="dxa"/>
            <w:tcMar>
              <w:left w:w="108" w:type="dxa"/>
            </w:tcMar>
            <w:vAlign w:val="center"/>
          </w:tcPr>
          <w:p w14:paraId="2C430B95"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Чисельність зайнятого населення загалом по місту (розрахунково) , тис.</w:t>
            </w:r>
            <w:r w:rsidR="00677211">
              <w:rPr>
                <w:rFonts w:ascii="Times New Roman" w:eastAsia="Times New Roman" w:hAnsi="Times New Roman" w:cs="Times New Roman"/>
              </w:rPr>
              <w:t xml:space="preserve"> </w:t>
            </w:r>
            <w:r>
              <w:rPr>
                <w:rFonts w:ascii="Times New Roman" w:eastAsia="Times New Roman" w:hAnsi="Times New Roman" w:cs="Times New Roman"/>
              </w:rPr>
              <w:t>осіб *</w:t>
            </w:r>
          </w:p>
        </w:tc>
        <w:tc>
          <w:tcPr>
            <w:tcW w:w="652" w:type="dxa"/>
            <w:shd w:val="clear" w:color="auto" w:fill="FFFFFF"/>
            <w:tcMar>
              <w:left w:w="57" w:type="dxa"/>
              <w:right w:w="57" w:type="dxa"/>
            </w:tcMar>
            <w:vAlign w:val="center"/>
          </w:tcPr>
          <w:p w14:paraId="232015E4"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20F49F9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639B8D44"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61875DF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212DAF8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127,5</w:t>
            </w:r>
          </w:p>
        </w:tc>
        <w:tc>
          <w:tcPr>
            <w:tcW w:w="652" w:type="dxa"/>
            <w:shd w:val="clear" w:color="auto" w:fill="FFFFFF"/>
            <w:tcMar>
              <w:left w:w="57" w:type="dxa"/>
              <w:right w:w="57" w:type="dxa"/>
            </w:tcMar>
            <w:vAlign w:val="center"/>
          </w:tcPr>
          <w:p w14:paraId="70B33769"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121,7</w:t>
            </w:r>
          </w:p>
        </w:tc>
        <w:tc>
          <w:tcPr>
            <w:tcW w:w="652" w:type="dxa"/>
            <w:shd w:val="clear" w:color="auto" w:fill="FFFFFF"/>
            <w:tcMar>
              <w:left w:w="57" w:type="dxa"/>
              <w:right w:w="57" w:type="dxa"/>
            </w:tcMar>
            <w:vAlign w:val="center"/>
          </w:tcPr>
          <w:p w14:paraId="2661BCE5"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119,6</w:t>
            </w:r>
          </w:p>
        </w:tc>
        <w:tc>
          <w:tcPr>
            <w:tcW w:w="652" w:type="dxa"/>
            <w:shd w:val="clear" w:color="auto" w:fill="FFFFFF"/>
            <w:tcMar>
              <w:left w:w="57" w:type="dxa"/>
              <w:right w:w="57" w:type="dxa"/>
            </w:tcMar>
            <w:vAlign w:val="center"/>
          </w:tcPr>
          <w:p w14:paraId="0E985983"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113,1</w:t>
            </w:r>
          </w:p>
        </w:tc>
        <w:tc>
          <w:tcPr>
            <w:tcW w:w="652" w:type="dxa"/>
            <w:shd w:val="clear" w:color="auto" w:fill="FFFFFF"/>
            <w:tcMar>
              <w:left w:w="57" w:type="dxa"/>
              <w:right w:w="57" w:type="dxa"/>
            </w:tcMar>
            <w:vAlign w:val="center"/>
          </w:tcPr>
          <w:p w14:paraId="05AEB289"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113,7</w:t>
            </w:r>
          </w:p>
        </w:tc>
        <w:tc>
          <w:tcPr>
            <w:tcW w:w="652" w:type="dxa"/>
            <w:shd w:val="clear" w:color="auto" w:fill="FFFFFF"/>
            <w:tcMar>
              <w:left w:w="57" w:type="dxa"/>
              <w:right w:w="57" w:type="dxa"/>
            </w:tcMar>
            <w:vAlign w:val="center"/>
          </w:tcPr>
          <w:p w14:paraId="1A03F13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115,2</w:t>
            </w:r>
          </w:p>
        </w:tc>
        <w:tc>
          <w:tcPr>
            <w:tcW w:w="701" w:type="dxa"/>
            <w:shd w:val="clear" w:color="auto" w:fill="FFFFFF"/>
            <w:vAlign w:val="center"/>
          </w:tcPr>
          <w:p w14:paraId="244A5ED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color w:val="000000"/>
              </w:rPr>
              <w:t>103,1</w:t>
            </w:r>
          </w:p>
        </w:tc>
      </w:tr>
      <w:tr w:rsidR="00C82386" w14:paraId="680A5FF5" w14:textId="77777777">
        <w:trPr>
          <w:trHeight w:val="600"/>
          <w:jc w:val="center"/>
        </w:trPr>
        <w:tc>
          <w:tcPr>
            <w:tcW w:w="2411" w:type="dxa"/>
            <w:tcMar>
              <w:left w:w="108" w:type="dxa"/>
            </w:tcMar>
            <w:vAlign w:val="center"/>
          </w:tcPr>
          <w:p w14:paraId="59F90E46"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Середньооблікова кількість штатних працівників, тис.</w:t>
            </w:r>
            <w:r w:rsidR="00677211">
              <w:rPr>
                <w:rFonts w:ascii="Times New Roman" w:eastAsia="Times New Roman" w:hAnsi="Times New Roman" w:cs="Times New Roman"/>
              </w:rPr>
              <w:t xml:space="preserve"> </w:t>
            </w:r>
            <w:r>
              <w:rPr>
                <w:rFonts w:ascii="Times New Roman" w:eastAsia="Times New Roman" w:hAnsi="Times New Roman" w:cs="Times New Roman"/>
              </w:rPr>
              <w:t>осіб</w:t>
            </w:r>
          </w:p>
        </w:tc>
        <w:tc>
          <w:tcPr>
            <w:tcW w:w="652" w:type="dxa"/>
            <w:shd w:val="clear" w:color="auto" w:fill="FFFFFF"/>
            <w:tcMar>
              <w:left w:w="57" w:type="dxa"/>
              <w:right w:w="57" w:type="dxa"/>
            </w:tcMar>
            <w:vAlign w:val="center"/>
          </w:tcPr>
          <w:p w14:paraId="42A56B2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89,4</w:t>
            </w:r>
          </w:p>
        </w:tc>
        <w:tc>
          <w:tcPr>
            <w:tcW w:w="652" w:type="dxa"/>
            <w:shd w:val="clear" w:color="auto" w:fill="FFFFFF"/>
            <w:tcMar>
              <w:left w:w="57" w:type="dxa"/>
              <w:right w:w="57" w:type="dxa"/>
            </w:tcMar>
            <w:vAlign w:val="center"/>
          </w:tcPr>
          <w:p w14:paraId="5F0D455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88,1</w:t>
            </w:r>
          </w:p>
        </w:tc>
        <w:tc>
          <w:tcPr>
            <w:tcW w:w="652" w:type="dxa"/>
            <w:shd w:val="clear" w:color="auto" w:fill="FFFFFF"/>
            <w:tcMar>
              <w:left w:w="57" w:type="dxa"/>
              <w:right w:w="57" w:type="dxa"/>
            </w:tcMar>
            <w:vAlign w:val="center"/>
          </w:tcPr>
          <w:p w14:paraId="1B2AB41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86,5</w:t>
            </w:r>
          </w:p>
        </w:tc>
        <w:tc>
          <w:tcPr>
            <w:tcW w:w="652" w:type="dxa"/>
            <w:shd w:val="clear" w:color="auto" w:fill="FFFFFF"/>
            <w:tcMar>
              <w:left w:w="57" w:type="dxa"/>
              <w:right w:w="57" w:type="dxa"/>
            </w:tcMar>
            <w:vAlign w:val="center"/>
          </w:tcPr>
          <w:p w14:paraId="504C804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85,2</w:t>
            </w:r>
          </w:p>
        </w:tc>
        <w:tc>
          <w:tcPr>
            <w:tcW w:w="652" w:type="dxa"/>
            <w:shd w:val="clear" w:color="auto" w:fill="FFFFFF"/>
            <w:tcMar>
              <w:left w:w="57" w:type="dxa"/>
              <w:right w:w="57" w:type="dxa"/>
            </w:tcMar>
            <w:vAlign w:val="center"/>
          </w:tcPr>
          <w:p w14:paraId="21E1B8B3"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83,8</w:t>
            </w:r>
          </w:p>
        </w:tc>
        <w:tc>
          <w:tcPr>
            <w:tcW w:w="652" w:type="dxa"/>
            <w:shd w:val="clear" w:color="auto" w:fill="FFFFFF"/>
            <w:tcMar>
              <w:left w:w="57" w:type="dxa"/>
              <w:right w:w="57" w:type="dxa"/>
            </w:tcMar>
            <w:vAlign w:val="center"/>
          </w:tcPr>
          <w:p w14:paraId="6B777880"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79,9</w:t>
            </w:r>
          </w:p>
        </w:tc>
        <w:tc>
          <w:tcPr>
            <w:tcW w:w="652" w:type="dxa"/>
            <w:shd w:val="clear" w:color="auto" w:fill="FFFFFF"/>
            <w:tcMar>
              <w:left w:w="57" w:type="dxa"/>
              <w:right w:w="57" w:type="dxa"/>
            </w:tcMar>
            <w:vAlign w:val="center"/>
          </w:tcPr>
          <w:p w14:paraId="6156BFA8"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78,3</w:t>
            </w:r>
          </w:p>
        </w:tc>
        <w:tc>
          <w:tcPr>
            <w:tcW w:w="652" w:type="dxa"/>
            <w:shd w:val="clear" w:color="auto" w:fill="FFFFFF"/>
            <w:tcMar>
              <w:left w:w="57" w:type="dxa"/>
              <w:right w:w="57" w:type="dxa"/>
            </w:tcMar>
            <w:vAlign w:val="center"/>
          </w:tcPr>
          <w:p w14:paraId="5803854B"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75,2</w:t>
            </w:r>
          </w:p>
        </w:tc>
        <w:tc>
          <w:tcPr>
            <w:tcW w:w="652" w:type="dxa"/>
            <w:shd w:val="clear" w:color="auto" w:fill="FFFFFF"/>
            <w:tcMar>
              <w:left w:w="57" w:type="dxa"/>
              <w:right w:w="57" w:type="dxa"/>
            </w:tcMar>
            <w:vAlign w:val="center"/>
          </w:tcPr>
          <w:p w14:paraId="1A1D725A"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75,3</w:t>
            </w:r>
          </w:p>
        </w:tc>
        <w:tc>
          <w:tcPr>
            <w:tcW w:w="652" w:type="dxa"/>
            <w:shd w:val="clear" w:color="auto" w:fill="FFFFFF"/>
            <w:tcMar>
              <w:left w:w="57" w:type="dxa"/>
              <w:right w:w="57" w:type="dxa"/>
            </w:tcMar>
            <w:vAlign w:val="center"/>
          </w:tcPr>
          <w:p w14:paraId="76B8B3F2"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75,9</w:t>
            </w:r>
          </w:p>
        </w:tc>
        <w:tc>
          <w:tcPr>
            <w:tcW w:w="701" w:type="dxa"/>
            <w:shd w:val="clear" w:color="auto" w:fill="FFFFFF"/>
            <w:vAlign w:val="center"/>
          </w:tcPr>
          <w:p w14:paraId="26DC2F2C"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75,0</w:t>
            </w:r>
          </w:p>
        </w:tc>
      </w:tr>
      <w:tr w:rsidR="00C82386" w14:paraId="024B2B07" w14:textId="77777777">
        <w:trPr>
          <w:trHeight w:val="286"/>
          <w:jc w:val="center"/>
        </w:trPr>
        <w:tc>
          <w:tcPr>
            <w:tcW w:w="2411" w:type="dxa"/>
            <w:tcMar>
              <w:left w:w="108" w:type="dxa"/>
            </w:tcMar>
            <w:vAlign w:val="center"/>
          </w:tcPr>
          <w:p w14:paraId="711023F3"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Кількість фізичних осіб-підприємців, що здійснюють діяльність,</w:t>
            </w:r>
            <w:r>
              <w:rPr>
                <w:rFonts w:ascii="Times New Roman" w:eastAsia="Times New Roman" w:hAnsi="Times New Roman" w:cs="Times New Roman"/>
              </w:rPr>
              <w:br/>
              <w:t>тис.</w:t>
            </w:r>
            <w:r w:rsidR="00677211">
              <w:rPr>
                <w:rFonts w:ascii="Times New Roman" w:eastAsia="Times New Roman" w:hAnsi="Times New Roman" w:cs="Times New Roman"/>
              </w:rPr>
              <w:t xml:space="preserve"> </w:t>
            </w:r>
            <w:r>
              <w:rPr>
                <w:rFonts w:ascii="Times New Roman" w:eastAsia="Times New Roman" w:hAnsi="Times New Roman" w:cs="Times New Roman"/>
              </w:rPr>
              <w:t>осіб</w:t>
            </w:r>
          </w:p>
        </w:tc>
        <w:tc>
          <w:tcPr>
            <w:tcW w:w="652" w:type="dxa"/>
            <w:shd w:val="clear" w:color="auto" w:fill="FFFFFF"/>
            <w:tcMar>
              <w:left w:w="57" w:type="dxa"/>
              <w:right w:w="57" w:type="dxa"/>
            </w:tcMar>
            <w:vAlign w:val="center"/>
          </w:tcPr>
          <w:p w14:paraId="13401B57"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1D65880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5B209A4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0CCBB44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7DCF750F"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17,0</w:t>
            </w:r>
          </w:p>
        </w:tc>
        <w:tc>
          <w:tcPr>
            <w:tcW w:w="652" w:type="dxa"/>
            <w:shd w:val="clear" w:color="auto" w:fill="FFFFFF"/>
            <w:tcMar>
              <w:left w:w="57" w:type="dxa"/>
              <w:right w:w="57" w:type="dxa"/>
            </w:tcMar>
            <w:vAlign w:val="center"/>
          </w:tcPr>
          <w:p w14:paraId="1ACAB0E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17,4</w:t>
            </w:r>
          </w:p>
        </w:tc>
        <w:tc>
          <w:tcPr>
            <w:tcW w:w="652" w:type="dxa"/>
            <w:shd w:val="clear" w:color="auto" w:fill="FFFFFF"/>
            <w:tcMar>
              <w:left w:w="57" w:type="dxa"/>
              <w:right w:w="57" w:type="dxa"/>
            </w:tcMar>
            <w:vAlign w:val="center"/>
          </w:tcPr>
          <w:p w14:paraId="6CF1F392"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16,8</w:t>
            </w:r>
          </w:p>
        </w:tc>
        <w:tc>
          <w:tcPr>
            <w:tcW w:w="652" w:type="dxa"/>
            <w:shd w:val="clear" w:color="auto" w:fill="FFFFFF"/>
            <w:tcMar>
              <w:left w:w="57" w:type="dxa"/>
              <w:right w:w="57" w:type="dxa"/>
            </w:tcMar>
            <w:vAlign w:val="center"/>
          </w:tcPr>
          <w:p w14:paraId="191A1DD4"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14,3</w:t>
            </w:r>
          </w:p>
        </w:tc>
        <w:tc>
          <w:tcPr>
            <w:tcW w:w="652" w:type="dxa"/>
            <w:shd w:val="clear" w:color="auto" w:fill="FFFFFF"/>
            <w:tcMar>
              <w:left w:w="57" w:type="dxa"/>
              <w:right w:w="57" w:type="dxa"/>
            </w:tcMar>
            <w:vAlign w:val="center"/>
          </w:tcPr>
          <w:p w14:paraId="19F7162D"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13,5</w:t>
            </w:r>
          </w:p>
        </w:tc>
        <w:tc>
          <w:tcPr>
            <w:tcW w:w="652" w:type="dxa"/>
            <w:shd w:val="clear" w:color="auto" w:fill="auto"/>
            <w:tcMar>
              <w:left w:w="57" w:type="dxa"/>
              <w:right w:w="57" w:type="dxa"/>
            </w:tcMar>
            <w:vAlign w:val="center"/>
          </w:tcPr>
          <w:p w14:paraId="371A6CC1"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14,0</w:t>
            </w:r>
          </w:p>
        </w:tc>
        <w:tc>
          <w:tcPr>
            <w:tcW w:w="701" w:type="dxa"/>
            <w:shd w:val="clear" w:color="auto" w:fill="FFFFFF"/>
            <w:vAlign w:val="center"/>
          </w:tcPr>
          <w:p w14:paraId="0BCAE8A1"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16,8</w:t>
            </w:r>
          </w:p>
        </w:tc>
      </w:tr>
      <w:tr w:rsidR="00C82386" w14:paraId="56EF54C7" w14:textId="77777777">
        <w:trPr>
          <w:trHeight w:val="600"/>
          <w:jc w:val="center"/>
        </w:trPr>
        <w:tc>
          <w:tcPr>
            <w:tcW w:w="2411" w:type="dxa"/>
            <w:tcMar>
              <w:left w:w="108" w:type="dxa"/>
            </w:tcMar>
            <w:vAlign w:val="center"/>
          </w:tcPr>
          <w:p w14:paraId="18BE6A69"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lastRenderedPageBreak/>
              <w:t>Кількість зайнятих працівників у фізичних осіб-підприємців, тис.</w:t>
            </w:r>
            <w:r w:rsidR="00E34ACB">
              <w:rPr>
                <w:rFonts w:ascii="Times New Roman" w:eastAsia="Times New Roman" w:hAnsi="Times New Roman" w:cs="Times New Roman"/>
              </w:rPr>
              <w:t> </w:t>
            </w:r>
            <w:r>
              <w:rPr>
                <w:rFonts w:ascii="Times New Roman" w:eastAsia="Times New Roman" w:hAnsi="Times New Roman" w:cs="Times New Roman"/>
              </w:rPr>
              <w:t>осіб</w:t>
            </w:r>
          </w:p>
        </w:tc>
        <w:tc>
          <w:tcPr>
            <w:tcW w:w="652" w:type="dxa"/>
            <w:shd w:val="clear" w:color="auto" w:fill="FFFFFF"/>
            <w:tcMar>
              <w:left w:w="57" w:type="dxa"/>
              <w:right w:w="57" w:type="dxa"/>
            </w:tcMar>
            <w:vAlign w:val="center"/>
          </w:tcPr>
          <w:p w14:paraId="5C0500D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46FDCF2F"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120215D2"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750BC14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5F0380A9"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26,7</w:t>
            </w:r>
          </w:p>
        </w:tc>
        <w:tc>
          <w:tcPr>
            <w:tcW w:w="652" w:type="dxa"/>
            <w:shd w:val="clear" w:color="auto" w:fill="FFFFFF"/>
            <w:tcMar>
              <w:left w:w="57" w:type="dxa"/>
              <w:right w:w="57" w:type="dxa"/>
            </w:tcMar>
            <w:vAlign w:val="center"/>
          </w:tcPr>
          <w:p w14:paraId="246BBD92"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24,4</w:t>
            </w:r>
          </w:p>
        </w:tc>
        <w:tc>
          <w:tcPr>
            <w:tcW w:w="652" w:type="dxa"/>
            <w:shd w:val="clear" w:color="auto" w:fill="FFFFFF"/>
            <w:tcMar>
              <w:left w:w="57" w:type="dxa"/>
              <w:right w:w="57" w:type="dxa"/>
            </w:tcMar>
            <w:vAlign w:val="center"/>
          </w:tcPr>
          <w:p w14:paraId="54544C46"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24,5</w:t>
            </w:r>
          </w:p>
        </w:tc>
        <w:tc>
          <w:tcPr>
            <w:tcW w:w="652" w:type="dxa"/>
            <w:shd w:val="clear" w:color="auto" w:fill="FFFFFF"/>
            <w:tcMar>
              <w:left w:w="57" w:type="dxa"/>
              <w:right w:w="57" w:type="dxa"/>
            </w:tcMar>
            <w:vAlign w:val="center"/>
          </w:tcPr>
          <w:p w14:paraId="40FF0926"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23,6</w:t>
            </w:r>
          </w:p>
        </w:tc>
        <w:tc>
          <w:tcPr>
            <w:tcW w:w="652" w:type="dxa"/>
            <w:shd w:val="clear" w:color="auto" w:fill="FFFFFF"/>
            <w:tcMar>
              <w:left w:w="57" w:type="dxa"/>
              <w:right w:w="57" w:type="dxa"/>
            </w:tcMar>
            <w:vAlign w:val="center"/>
          </w:tcPr>
          <w:p w14:paraId="130EC9FA"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24,9</w:t>
            </w:r>
          </w:p>
        </w:tc>
        <w:tc>
          <w:tcPr>
            <w:tcW w:w="652" w:type="dxa"/>
            <w:shd w:val="clear" w:color="auto" w:fill="FFFFFF"/>
            <w:tcMar>
              <w:left w:w="57" w:type="dxa"/>
              <w:right w:w="57" w:type="dxa"/>
            </w:tcMar>
            <w:vAlign w:val="center"/>
          </w:tcPr>
          <w:p w14:paraId="39674720"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25,3</w:t>
            </w:r>
          </w:p>
        </w:tc>
        <w:tc>
          <w:tcPr>
            <w:tcW w:w="701" w:type="dxa"/>
            <w:shd w:val="clear" w:color="auto" w:fill="FFFFFF"/>
            <w:vAlign w:val="center"/>
          </w:tcPr>
          <w:p w14:paraId="4A205F28"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67D341C7" w14:textId="77777777">
        <w:trPr>
          <w:trHeight w:val="600"/>
          <w:jc w:val="center"/>
        </w:trPr>
        <w:tc>
          <w:tcPr>
            <w:tcW w:w="2411" w:type="dxa"/>
            <w:tcMar>
              <w:left w:w="108" w:type="dxa"/>
            </w:tcMar>
            <w:vAlign w:val="center"/>
          </w:tcPr>
          <w:p w14:paraId="36942891"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 xml:space="preserve">Чисельність зареєстрованих безробітних </w:t>
            </w:r>
          </w:p>
          <w:p w14:paraId="6CE50715"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(на кінець року), осіб</w:t>
            </w:r>
          </w:p>
        </w:tc>
        <w:tc>
          <w:tcPr>
            <w:tcW w:w="652" w:type="dxa"/>
            <w:shd w:val="clear" w:color="auto" w:fill="FFFFFF"/>
            <w:tcMar>
              <w:left w:w="57" w:type="dxa"/>
              <w:right w:w="57" w:type="dxa"/>
            </w:tcMar>
            <w:vAlign w:val="center"/>
          </w:tcPr>
          <w:p w14:paraId="294DAA9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2347</w:t>
            </w:r>
          </w:p>
        </w:tc>
        <w:tc>
          <w:tcPr>
            <w:tcW w:w="652" w:type="dxa"/>
            <w:shd w:val="clear" w:color="auto" w:fill="FFFFFF"/>
            <w:tcMar>
              <w:left w:w="57" w:type="dxa"/>
              <w:right w:w="57" w:type="dxa"/>
            </w:tcMar>
            <w:vAlign w:val="center"/>
          </w:tcPr>
          <w:p w14:paraId="239717C9"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7678502F"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00A916EF"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1629</w:t>
            </w:r>
          </w:p>
        </w:tc>
        <w:tc>
          <w:tcPr>
            <w:tcW w:w="652" w:type="dxa"/>
            <w:shd w:val="clear" w:color="auto" w:fill="FFFFFF"/>
            <w:tcMar>
              <w:left w:w="57" w:type="dxa"/>
              <w:right w:w="57" w:type="dxa"/>
            </w:tcMar>
            <w:vAlign w:val="center"/>
          </w:tcPr>
          <w:p w14:paraId="71E18C0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1815</w:t>
            </w:r>
          </w:p>
        </w:tc>
        <w:tc>
          <w:tcPr>
            <w:tcW w:w="652" w:type="dxa"/>
            <w:shd w:val="clear" w:color="auto" w:fill="FFFFFF"/>
            <w:tcMar>
              <w:left w:w="57" w:type="dxa"/>
              <w:right w:w="57" w:type="dxa"/>
            </w:tcMar>
            <w:vAlign w:val="center"/>
          </w:tcPr>
          <w:p w14:paraId="74C644D5"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2130</w:t>
            </w:r>
          </w:p>
        </w:tc>
        <w:tc>
          <w:tcPr>
            <w:tcW w:w="652" w:type="dxa"/>
            <w:shd w:val="clear" w:color="auto" w:fill="FFFFFF"/>
            <w:tcMar>
              <w:left w:w="57" w:type="dxa"/>
              <w:right w:w="57" w:type="dxa"/>
            </w:tcMar>
            <w:vAlign w:val="center"/>
          </w:tcPr>
          <w:p w14:paraId="754B85A7"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1397</w:t>
            </w:r>
          </w:p>
        </w:tc>
        <w:tc>
          <w:tcPr>
            <w:tcW w:w="652" w:type="dxa"/>
            <w:shd w:val="clear" w:color="auto" w:fill="FFFFFF"/>
            <w:tcMar>
              <w:left w:w="57" w:type="dxa"/>
              <w:right w:w="57" w:type="dxa"/>
            </w:tcMar>
            <w:vAlign w:val="center"/>
          </w:tcPr>
          <w:p w14:paraId="6D53559F"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1157</w:t>
            </w:r>
          </w:p>
        </w:tc>
        <w:tc>
          <w:tcPr>
            <w:tcW w:w="652" w:type="dxa"/>
            <w:shd w:val="clear" w:color="auto" w:fill="FFFFFF"/>
            <w:tcMar>
              <w:left w:w="57" w:type="dxa"/>
              <w:right w:w="57" w:type="dxa"/>
            </w:tcMar>
            <w:vAlign w:val="center"/>
          </w:tcPr>
          <w:p w14:paraId="31089BA4"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1236</w:t>
            </w:r>
          </w:p>
        </w:tc>
        <w:tc>
          <w:tcPr>
            <w:tcW w:w="652" w:type="dxa"/>
            <w:shd w:val="clear" w:color="auto" w:fill="FFFFFF"/>
            <w:tcMar>
              <w:left w:w="57" w:type="dxa"/>
              <w:right w:w="57" w:type="dxa"/>
            </w:tcMar>
            <w:vAlign w:val="center"/>
          </w:tcPr>
          <w:p w14:paraId="3247A531"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1321</w:t>
            </w:r>
          </w:p>
        </w:tc>
        <w:tc>
          <w:tcPr>
            <w:tcW w:w="701" w:type="dxa"/>
            <w:shd w:val="clear" w:color="auto" w:fill="FFFFFF"/>
            <w:vAlign w:val="center"/>
          </w:tcPr>
          <w:p w14:paraId="01990EA3" w14:textId="77777777" w:rsidR="00C82386" w:rsidRDefault="00E66F64">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2041</w:t>
            </w:r>
          </w:p>
        </w:tc>
      </w:tr>
      <w:tr w:rsidR="00C82386" w14:paraId="2DABC65C" w14:textId="77777777">
        <w:trPr>
          <w:trHeight w:val="600"/>
          <w:jc w:val="center"/>
        </w:trPr>
        <w:tc>
          <w:tcPr>
            <w:tcW w:w="2411" w:type="dxa"/>
            <w:tcMar>
              <w:left w:w="108" w:type="dxa"/>
            </w:tcMar>
            <w:vAlign w:val="center"/>
          </w:tcPr>
          <w:p w14:paraId="2E8F62D6"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Потреба підприємств у працівниках на заміщення вільних робочих місць</w:t>
            </w:r>
          </w:p>
          <w:p w14:paraId="4DCF6E21"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(на кінець року), вакансії</w:t>
            </w:r>
          </w:p>
        </w:tc>
        <w:tc>
          <w:tcPr>
            <w:tcW w:w="652" w:type="dxa"/>
            <w:shd w:val="clear" w:color="auto" w:fill="FFFFFF"/>
            <w:tcMar>
              <w:left w:w="57" w:type="dxa"/>
              <w:right w:w="57" w:type="dxa"/>
            </w:tcMar>
            <w:vAlign w:val="center"/>
          </w:tcPr>
          <w:p w14:paraId="29C0BF4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926</w:t>
            </w:r>
          </w:p>
        </w:tc>
        <w:tc>
          <w:tcPr>
            <w:tcW w:w="652" w:type="dxa"/>
            <w:shd w:val="clear" w:color="auto" w:fill="FFFFFF"/>
            <w:tcMar>
              <w:left w:w="57" w:type="dxa"/>
              <w:right w:w="57" w:type="dxa"/>
            </w:tcMar>
            <w:vAlign w:val="center"/>
          </w:tcPr>
          <w:p w14:paraId="6276F81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0918300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7FF7FDD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67D23E3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07AA338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410</w:t>
            </w:r>
          </w:p>
        </w:tc>
        <w:tc>
          <w:tcPr>
            <w:tcW w:w="652" w:type="dxa"/>
            <w:shd w:val="clear" w:color="auto" w:fill="FFFFFF"/>
            <w:tcMar>
              <w:left w:w="57" w:type="dxa"/>
              <w:right w:w="57" w:type="dxa"/>
            </w:tcMar>
            <w:vAlign w:val="center"/>
          </w:tcPr>
          <w:p w14:paraId="27879092"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607</w:t>
            </w:r>
          </w:p>
        </w:tc>
        <w:tc>
          <w:tcPr>
            <w:tcW w:w="652" w:type="dxa"/>
            <w:shd w:val="clear" w:color="auto" w:fill="FFFFFF"/>
            <w:tcMar>
              <w:left w:w="57" w:type="dxa"/>
              <w:right w:w="57" w:type="dxa"/>
            </w:tcMar>
            <w:vAlign w:val="center"/>
          </w:tcPr>
          <w:p w14:paraId="16C1F24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630</w:t>
            </w:r>
          </w:p>
        </w:tc>
        <w:tc>
          <w:tcPr>
            <w:tcW w:w="652" w:type="dxa"/>
            <w:shd w:val="clear" w:color="auto" w:fill="FFFFFF"/>
            <w:tcMar>
              <w:left w:w="57" w:type="dxa"/>
              <w:right w:w="57" w:type="dxa"/>
            </w:tcMar>
            <w:vAlign w:val="center"/>
          </w:tcPr>
          <w:p w14:paraId="297955D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635</w:t>
            </w:r>
          </w:p>
        </w:tc>
        <w:tc>
          <w:tcPr>
            <w:tcW w:w="652" w:type="dxa"/>
            <w:shd w:val="clear" w:color="auto" w:fill="FFFFFF"/>
            <w:tcMar>
              <w:left w:w="57" w:type="dxa"/>
              <w:right w:w="57" w:type="dxa"/>
            </w:tcMar>
            <w:vAlign w:val="center"/>
          </w:tcPr>
          <w:p w14:paraId="2EDE8866"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639</w:t>
            </w:r>
          </w:p>
        </w:tc>
        <w:tc>
          <w:tcPr>
            <w:tcW w:w="701" w:type="dxa"/>
            <w:shd w:val="clear" w:color="auto" w:fill="FFFFFF"/>
            <w:vAlign w:val="center"/>
          </w:tcPr>
          <w:p w14:paraId="2A23777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459</w:t>
            </w:r>
          </w:p>
        </w:tc>
      </w:tr>
      <w:tr w:rsidR="00C82386" w14:paraId="08314AD5" w14:textId="77777777">
        <w:trPr>
          <w:trHeight w:val="600"/>
          <w:jc w:val="center"/>
        </w:trPr>
        <w:tc>
          <w:tcPr>
            <w:tcW w:w="2411" w:type="dxa"/>
            <w:tcMar>
              <w:left w:w="108" w:type="dxa"/>
            </w:tcMar>
            <w:vAlign w:val="center"/>
          </w:tcPr>
          <w:p w14:paraId="31E589FE"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Середньомісячна номінальна заробітна плата найманих працівників, грн.</w:t>
            </w:r>
          </w:p>
        </w:tc>
        <w:tc>
          <w:tcPr>
            <w:tcW w:w="652" w:type="dxa"/>
            <w:shd w:val="clear" w:color="auto" w:fill="FFFFFF"/>
            <w:tcMar>
              <w:left w:w="57" w:type="dxa"/>
              <w:right w:w="57" w:type="dxa"/>
            </w:tcMar>
            <w:vAlign w:val="center"/>
          </w:tcPr>
          <w:p w14:paraId="4DEBB58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1967</w:t>
            </w:r>
          </w:p>
        </w:tc>
        <w:tc>
          <w:tcPr>
            <w:tcW w:w="652" w:type="dxa"/>
            <w:shd w:val="clear" w:color="auto" w:fill="FFFFFF"/>
            <w:tcMar>
              <w:left w:w="57" w:type="dxa"/>
              <w:right w:w="57" w:type="dxa"/>
            </w:tcMar>
            <w:vAlign w:val="center"/>
          </w:tcPr>
          <w:p w14:paraId="66A0F215"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652" w:type="dxa"/>
            <w:shd w:val="clear" w:color="auto" w:fill="FFFFFF"/>
            <w:tcMar>
              <w:left w:w="57" w:type="dxa"/>
              <w:right w:w="57" w:type="dxa"/>
            </w:tcMar>
            <w:vAlign w:val="center"/>
          </w:tcPr>
          <w:p w14:paraId="4774063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2589</w:t>
            </w:r>
          </w:p>
        </w:tc>
        <w:tc>
          <w:tcPr>
            <w:tcW w:w="652" w:type="dxa"/>
            <w:shd w:val="clear" w:color="auto" w:fill="FFFFFF"/>
            <w:tcMar>
              <w:left w:w="57" w:type="dxa"/>
              <w:right w:w="57" w:type="dxa"/>
            </w:tcMar>
            <w:vAlign w:val="center"/>
          </w:tcPr>
          <w:p w14:paraId="4920409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2785</w:t>
            </w:r>
          </w:p>
        </w:tc>
        <w:tc>
          <w:tcPr>
            <w:tcW w:w="652" w:type="dxa"/>
            <w:shd w:val="clear" w:color="auto" w:fill="FFFFFF"/>
            <w:tcMar>
              <w:left w:w="57" w:type="dxa"/>
              <w:right w:w="57" w:type="dxa"/>
            </w:tcMar>
            <w:vAlign w:val="center"/>
          </w:tcPr>
          <w:p w14:paraId="755B4A1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3008</w:t>
            </w:r>
          </w:p>
        </w:tc>
        <w:tc>
          <w:tcPr>
            <w:tcW w:w="652" w:type="dxa"/>
            <w:shd w:val="clear" w:color="auto" w:fill="FFFFFF"/>
            <w:tcMar>
              <w:left w:w="57" w:type="dxa"/>
              <w:right w:w="57" w:type="dxa"/>
            </w:tcMar>
            <w:vAlign w:val="center"/>
          </w:tcPr>
          <w:p w14:paraId="4A36D8C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3495</w:t>
            </w:r>
          </w:p>
        </w:tc>
        <w:tc>
          <w:tcPr>
            <w:tcW w:w="652" w:type="dxa"/>
            <w:shd w:val="clear" w:color="auto" w:fill="FFFFFF"/>
            <w:tcMar>
              <w:left w:w="57" w:type="dxa"/>
              <w:right w:w="57" w:type="dxa"/>
            </w:tcMar>
            <w:vAlign w:val="center"/>
          </w:tcPr>
          <w:p w14:paraId="35283F5D"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4333</w:t>
            </w:r>
          </w:p>
        </w:tc>
        <w:tc>
          <w:tcPr>
            <w:tcW w:w="652" w:type="dxa"/>
            <w:shd w:val="clear" w:color="auto" w:fill="FFFFFF"/>
            <w:tcMar>
              <w:left w:w="57" w:type="dxa"/>
              <w:right w:w="57" w:type="dxa"/>
            </w:tcMar>
            <w:vAlign w:val="center"/>
          </w:tcPr>
          <w:p w14:paraId="6413952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6228</w:t>
            </w:r>
          </w:p>
        </w:tc>
        <w:tc>
          <w:tcPr>
            <w:tcW w:w="652" w:type="dxa"/>
            <w:shd w:val="clear" w:color="auto" w:fill="FFFFFF"/>
            <w:tcMar>
              <w:left w:w="57" w:type="dxa"/>
              <w:right w:w="57" w:type="dxa"/>
            </w:tcMar>
            <w:vAlign w:val="center"/>
          </w:tcPr>
          <w:p w14:paraId="5E4E9046"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7836</w:t>
            </w:r>
          </w:p>
        </w:tc>
        <w:tc>
          <w:tcPr>
            <w:tcW w:w="652" w:type="dxa"/>
            <w:shd w:val="clear" w:color="auto" w:fill="FFFFFF"/>
            <w:tcMar>
              <w:left w:w="57" w:type="dxa"/>
              <w:right w:w="57" w:type="dxa"/>
            </w:tcMar>
            <w:vAlign w:val="center"/>
          </w:tcPr>
          <w:p w14:paraId="0701BEB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9097</w:t>
            </w:r>
          </w:p>
        </w:tc>
        <w:tc>
          <w:tcPr>
            <w:tcW w:w="701" w:type="dxa"/>
            <w:shd w:val="clear" w:color="auto" w:fill="FFFFFF"/>
            <w:tcMar>
              <w:left w:w="51" w:type="dxa"/>
              <w:right w:w="51" w:type="dxa"/>
            </w:tcMar>
            <w:vAlign w:val="center"/>
          </w:tcPr>
          <w:p w14:paraId="68FE8B4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11308</w:t>
            </w:r>
          </w:p>
        </w:tc>
      </w:tr>
    </w:tbl>
    <w:p w14:paraId="66107769" w14:textId="77777777" w:rsidR="00C82386" w:rsidRDefault="00E66F64">
      <w:pPr>
        <w:spacing w:after="0" w:line="240" w:lineRule="auto"/>
        <w:ind w:right="-448"/>
        <w:rPr>
          <w:rFonts w:ascii="Times New Roman" w:eastAsia="Times New Roman" w:hAnsi="Times New Roman" w:cs="Times New Roman"/>
          <w:sz w:val="18"/>
          <w:szCs w:val="18"/>
        </w:rPr>
      </w:pPr>
      <w:r>
        <w:rPr>
          <w:sz w:val="18"/>
          <w:szCs w:val="18"/>
        </w:rPr>
        <w:t xml:space="preserve">* </w:t>
      </w:r>
      <w:r>
        <w:rPr>
          <w:rFonts w:ascii="Times New Roman" w:eastAsia="Times New Roman" w:hAnsi="Times New Roman" w:cs="Times New Roman"/>
          <w:sz w:val="18"/>
          <w:szCs w:val="18"/>
        </w:rPr>
        <w:t>Чисельність зайнятого населення загалом по місту тис. осіб (середньооблікова кількість штатних працівників, тис. осіб+ кількість фізичних осіб-підприємців, тис. осіб+ кількість зайнятих працівників у фізичних осіб-підприємців).</w:t>
      </w:r>
    </w:p>
    <w:p w14:paraId="20C1F387" w14:textId="77777777" w:rsidR="00C82386" w:rsidRDefault="00E66F64">
      <w:pPr>
        <w:spacing w:before="240"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Середня кількість штатних працівників зменшується, особливо це помітно у 2014-2015 роках. Але за 2019-2020 роки тенденція змінилася і кількість штатних працівників почала збільшуватися. Кількість вільних вакансій на підприємствах, установах, організаціях міста з 2015 року залишалась стабільною. Але існував професійно-кваліфікаційний дисбаланс між попитом та пропозицією робочої сили. Гостро відчувався дефіцит кваліфікованих робітників та працівників робітничих спеціальностей. </w:t>
      </w:r>
    </w:p>
    <w:p w14:paraId="4BA84999" w14:textId="77777777" w:rsidR="00C82386" w:rsidRDefault="004341E7">
      <w:pPr>
        <w:spacing w:after="0" w:line="240" w:lineRule="auto"/>
        <w:jc w:val="center"/>
        <w:rPr>
          <w:rFonts w:ascii="Times New Roman" w:eastAsia="Times New Roman" w:hAnsi="Times New Roman" w:cs="Times New Roman"/>
          <w:sz w:val="28"/>
          <w:szCs w:val="28"/>
        </w:rPr>
      </w:pPr>
      <w:sdt>
        <w:sdtPr>
          <w:tag w:val="goog_rdk_13"/>
          <w:id w:val="1589268872"/>
          <w:showingPlcHdr/>
        </w:sdtPr>
        <w:sdtEndPr/>
        <w:sdtContent>
          <w:r w:rsidR="00EE5296">
            <w:t xml:space="preserve">     </w:t>
          </w:r>
        </w:sdtContent>
      </w:sdt>
      <w:r w:rsidR="00E66F64">
        <w:rPr>
          <w:noProof/>
          <w:lang w:val="ru-RU"/>
        </w:rPr>
        <w:drawing>
          <wp:inline distT="0" distB="0" distL="0" distR="0" wp14:anchorId="229C36A8" wp14:editId="5DE980C1">
            <wp:extent cx="4591050" cy="2762250"/>
            <wp:effectExtent l="0" t="0" r="0" b="0"/>
            <wp:docPr id="2144251937" name="Диаграмма 21442519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21C5E55"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2.8. Середня кількість штатних працівників за період 2010-2020 роки у м. Житомирі.</w:t>
      </w:r>
    </w:p>
    <w:p w14:paraId="655B9DFF" w14:textId="77777777" w:rsidR="00C82386" w:rsidRDefault="00E66F64">
      <w:pPr>
        <w:spacing w:before="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Середньомісячна заробітна плата одного штатного працівника підприємств, установ, організацій протягом 2010-2020 років постійно зростала і, незважаючи на інфляцію, впливала на ріст добробуту житомирян. </w:t>
      </w:r>
    </w:p>
    <w:p w14:paraId="06C9258B" w14:textId="77777777" w:rsidR="00C82386" w:rsidRDefault="00E66F64">
      <w:pPr>
        <w:spacing w:before="120" w:after="0"/>
        <w:ind w:firstLine="709"/>
        <w:jc w:val="both"/>
        <w:rPr>
          <w:b/>
          <w:highlight w:val="white"/>
        </w:rPr>
      </w:pPr>
      <w:r>
        <w:rPr>
          <w:rFonts w:ascii="Times New Roman" w:eastAsia="Times New Roman" w:hAnsi="Times New Roman" w:cs="Times New Roman"/>
          <w:sz w:val="24"/>
          <w:szCs w:val="24"/>
          <w:highlight w:val="white"/>
        </w:rPr>
        <w:t>Житомир є багатопрофільним містом, з розвиненим малим та середнім бізнесом.</w:t>
      </w:r>
      <w:r>
        <w:rPr>
          <w:b/>
          <w:sz w:val="24"/>
          <w:szCs w:val="24"/>
          <w:highlight w:val="white"/>
        </w:rPr>
        <w:t xml:space="preserve"> </w:t>
      </w:r>
      <w:r>
        <w:rPr>
          <w:rFonts w:ascii="Times New Roman" w:eastAsia="Times New Roman" w:hAnsi="Times New Roman" w:cs="Times New Roman"/>
          <w:sz w:val="24"/>
          <w:szCs w:val="24"/>
          <w:highlight w:val="white"/>
        </w:rPr>
        <w:t>Станом на 2020 рік у Житомирі здійснювали господарську діяльність 2895 підприємств, з них 3 великих, 130 середніх, 2762 малих.</w:t>
      </w:r>
    </w:p>
    <w:p w14:paraId="6DB1FA2B" w14:textId="77777777" w:rsidR="00C82386" w:rsidRDefault="00E66F64">
      <w:pPr>
        <w:spacing w:after="0"/>
        <w:ind w:firstLine="708"/>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У місті функціонує 31 комунальне підприємство, 7 з яких представляють житлово-комунальне господарство (КП «Житомиртеплокомуненерго», КП «Житомирводоканал», </w:t>
      </w:r>
      <w:r>
        <w:rPr>
          <w:rFonts w:ascii="Times New Roman" w:eastAsia="Times New Roman" w:hAnsi="Times New Roman" w:cs="Times New Roman"/>
          <w:sz w:val="24"/>
          <w:szCs w:val="24"/>
          <w:highlight w:val="white"/>
        </w:rPr>
        <w:t>Комунальне виробниче житлове ремонтно-експлуатаційне підприємство № 1 та інші), 3 підприємства транспорту, 4 підприємства, що займаються благоустроєм, медичні комунальні заклади, підприємства, які працюють за напрямками культури, спорту та інші</w:t>
      </w:r>
      <w:r>
        <w:rPr>
          <w:rFonts w:ascii="Times New Roman" w:eastAsia="Times New Roman" w:hAnsi="Times New Roman" w:cs="Times New Roman"/>
          <w:b/>
          <w:sz w:val="24"/>
          <w:szCs w:val="24"/>
        </w:rPr>
        <w:t>.</w:t>
      </w:r>
    </w:p>
    <w:p w14:paraId="5FD7380F" w14:textId="77777777" w:rsidR="00C82386" w:rsidRDefault="00C82386">
      <w:pPr>
        <w:spacing w:after="0"/>
        <w:jc w:val="right"/>
        <w:rPr>
          <w:rFonts w:ascii="Times New Roman" w:eastAsia="Times New Roman" w:hAnsi="Times New Roman" w:cs="Times New Roman"/>
          <w:sz w:val="24"/>
          <w:szCs w:val="24"/>
        </w:rPr>
      </w:pPr>
    </w:p>
    <w:p w14:paraId="5E8E7BC7"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2.6.</w:t>
      </w:r>
    </w:p>
    <w:p w14:paraId="1B2F637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Узагальнені дані щодо економічного розвитку Житомира  </w:t>
      </w:r>
      <w:r>
        <w:rPr>
          <w:rFonts w:ascii="Times New Roman" w:eastAsia="Times New Roman" w:hAnsi="Times New Roman" w:cs="Times New Roman"/>
          <w:sz w:val="24"/>
          <w:szCs w:val="24"/>
        </w:rPr>
        <w:br/>
        <w:t>за період 2010 – 2020 рр. (станом на кінець року)</w:t>
      </w:r>
    </w:p>
    <w:tbl>
      <w:tblPr>
        <w:tblStyle w:val="afff6"/>
        <w:tblW w:w="9782" w:type="dxa"/>
        <w:tblInd w:w="-4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9"/>
        <w:gridCol w:w="680"/>
        <w:gridCol w:w="680"/>
        <w:gridCol w:w="680"/>
        <w:gridCol w:w="680"/>
        <w:gridCol w:w="680"/>
        <w:gridCol w:w="680"/>
        <w:gridCol w:w="680"/>
        <w:gridCol w:w="680"/>
        <w:gridCol w:w="680"/>
        <w:gridCol w:w="680"/>
        <w:gridCol w:w="713"/>
      </w:tblGrid>
      <w:tr w:rsidR="00C82386" w14:paraId="006959C7" w14:textId="77777777">
        <w:trPr>
          <w:trHeight w:val="300"/>
        </w:trPr>
        <w:tc>
          <w:tcPr>
            <w:tcW w:w="2269" w:type="dxa"/>
            <w:vMerge w:val="restart"/>
            <w:vAlign w:val="center"/>
          </w:tcPr>
          <w:p w14:paraId="04070AA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Назва показника</w:t>
            </w:r>
          </w:p>
        </w:tc>
        <w:tc>
          <w:tcPr>
            <w:tcW w:w="7513" w:type="dxa"/>
            <w:gridSpan w:val="11"/>
            <w:vAlign w:val="center"/>
          </w:tcPr>
          <w:p w14:paraId="1D311E6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Роки</w:t>
            </w:r>
          </w:p>
        </w:tc>
      </w:tr>
      <w:tr w:rsidR="00C82386" w14:paraId="38521B0C" w14:textId="77777777">
        <w:trPr>
          <w:trHeight w:val="530"/>
        </w:trPr>
        <w:tc>
          <w:tcPr>
            <w:tcW w:w="2269" w:type="dxa"/>
            <w:vMerge/>
            <w:vAlign w:val="center"/>
          </w:tcPr>
          <w:p w14:paraId="64A5C56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680" w:type="dxa"/>
            <w:vAlign w:val="center"/>
          </w:tcPr>
          <w:p w14:paraId="46934E1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2010</w:t>
            </w:r>
          </w:p>
        </w:tc>
        <w:tc>
          <w:tcPr>
            <w:tcW w:w="680" w:type="dxa"/>
            <w:vAlign w:val="center"/>
          </w:tcPr>
          <w:p w14:paraId="1C27EE1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2011</w:t>
            </w:r>
          </w:p>
        </w:tc>
        <w:tc>
          <w:tcPr>
            <w:tcW w:w="680" w:type="dxa"/>
            <w:vAlign w:val="center"/>
          </w:tcPr>
          <w:p w14:paraId="42E606D4"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2012</w:t>
            </w:r>
          </w:p>
        </w:tc>
        <w:tc>
          <w:tcPr>
            <w:tcW w:w="680" w:type="dxa"/>
            <w:tcMar>
              <w:left w:w="57" w:type="dxa"/>
              <w:right w:w="57" w:type="dxa"/>
            </w:tcMar>
            <w:vAlign w:val="center"/>
          </w:tcPr>
          <w:p w14:paraId="0DA0D36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2013</w:t>
            </w:r>
          </w:p>
        </w:tc>
        <w:tc>
          <w:tcPr>
            <w:tcW w:w="680" w:type="dxa"/>
            <w:tcMar>
              <w:left w:w="57" w:type="dxa"/>
              <w:right w:w="57" w:type="dxa"/>
            </w:tcMar>
            <w:vAlign w:val="center"/>
          </w:tcPr>
          <w:p w14:paraId="6DD9D3FA"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2014</w:t>
            </w:r>
          </w:p>
        </w:tc>
        <w:tc>
          <w:tcPr>
            <w:tcW w:w="680" w:type="dxa"/>
            <w:tcMar>
              <w:left w:w="57" w:type="dxa"/>
              <w:right w:w="57" w:type="dxa"/>
            </w:tcMar>
            <w:vAlign w:val="center"/>
          </w:tcPr>
          <w:p w14:paraId="58A6104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2015</w:t>
            </w:r>
          </w:p>
        </w:tc>
        <w:tc>
          <w:tcPr>
            <w:tcW w:w="680" w:type="dxa"/>
            <w:tcMar>
              <w:left w:w="57" w:type="dxa"/>
              <w:right w:w="57" w:type="dxa"/>
            </w:tcMar>
            <w:vAlign w:val="center"/>
          </w:tcPr>
          <w:p w14:paraId="75CC9584"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2016</w:t>
            </w:r>
          </w:p>
        </w:tc>
        <w:tc>
          <w:tcPr>
            <w:tcW w:w="680" w:type="dxa"/>
            <w:tcMar>
              <w:left w:w="57" w:type="dxa"/>
              <w:right w:w="57" w:type="dxa"/>
            </w:tcMar>
            <w:vAlign w:val="center"/>
          </w:tcPr>
          <w:p w14:paraId="4490DB98"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2017</w:t>
            </w:r>
          </w:p>
        </w:tc>
        <w:tc>
          <w:tcPr>
            <w:tcW w:w="680" w:type="dxa"/>
            <w:tcMar>
              <w:left w:w="57" w:type="dxa"/>
              <w:right w:w="57" w:type="dxa"/>
            </w:tcMar>
            <w:vAlign w:val="center"/>
          </w:tcPr>
          <w:p w14:paraId="04452CC4"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2018</w:t>
            </w:r>
          </w:p>
        </w:tc>
        <w:tc>
          <w:tcPr>
            <w:tcW w:w="680" w:type="dxa"/>
            <w:tcMar>
              <w:left w:w="57" w:type="dxa"/>
              <w:right w:w="57" w:type="dxa"/>
            </w:tcMar>
            <w:vAlign w:val="center"/>
          </w:tcPr>
          <w:p w14:paraId="6CD306C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2019</w:t>
            </w:r>
          </w:p>
        </w:tc>
        <w:tc>
          <w:tcPr>
            <w:tcW w:w="713" w:type="dxa"/>
            <w:vAlign w:val="center"/>
          </w:tcPr>
          <w:p w14:paraId="76B92876"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2020</w:t>
            </w:r>
          </w:p>
        </w:tc>
      </w:tr>
      <w:tr w:rsidR="00C82386" w14:paraId="6A41242A" w14:textId="77777777">
        <w:trPr>
          <w:trHeight w:val="300"/>
        </w:trPr>
        <w:tc>
          <w:tcPr>
            <w:tcW w:w="2269" w:type="dxa"/>
          </w:tcPr>
          <w:p w14:paraId="40E46FA7"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Кількість юридичних осіб, всього</w:t>
            </w:r>
          </w:p>
        </w:tc>
        <w:tc>
          <w:tcPr>
            <w:tcW w:w="680" w:type="dxa"/>
            <w:vAlign w:val="center"/>
          </w:tcPr>
          <w:p w14:paraId="169C40C6"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9185*</w:t>
            </w:r>
          </w:p>
        </w:tc>
        <w:tc>
          <w:tcPr>
            <w:tcW w:w="680" w:type="dxa"/>
            <w:vAlign w:val="center"/>
          </w:tcPr>
          <w:p w14:paraId="036D9D03"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9499</w:t>
            </w:r>
          </w:p>
        </w:tc>
        <w:tc>
          <w:tcPr>
            <w:tcW w:w="680" w:type="dxa"/>
            <w:vAlign w:val="center"/>
          </w:tcPr>
          <w:p w14:paraId="1F2D2E98"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9689</w:t>
            </w:r>
          </w:p>
        </w:tc>
        <w:tc>
          <w:tcPr>
            <w:tcW w:w="680" w:type="dxa"/>
            <w:tcMar>
              <w:left w:w="57" w:type="dxa"/>
              <w:right w:w="57" w:type="dxa"/>
            </w:tcMar>
            <w:vAlign w:val="center"/>
          </w:tcPr>
          <w:p w14:paraId="23614108"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9912</w:t>
            </w:r>
          </w:p>
        </w:tc>
        <w:tc>
          <w:tcPr>
            <w:tcW w:w="680" w:type="dxa"/>
            <w:tcMar>
              <w:left w:w="57" w:type="dxa"/>
              <w:right w:w="57" w:type="dxa"/>
            </w:tcMar>
            <w:vAlign w:val="center"/>
          </w:tcPr>
          <w:p w14:paraId="65089224"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9569</w:t>
            </w:r>
          </w:p>
        </w:tc>
        <w:tc>
          <w:tcPr>
            <w:tcW w:w="680" w:type="dxa"/>
            <w:tcMar>
              <w:left w:w="57" w:type="dxa"/>
              <w:right w:w="57" w:type="dxa"/>
            </w:tcMar>
            <w:vAlign w:val="center"/>
          </w:tcPr>
          <w:p w14:paraId="14DB5EC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9943</w:t>
            </w:r>
          </w:p>
        </w:tc>
        <w:tc>
          <w:tcPr>
            <w:tcW w:w="680" w:type="dxa"/>
            <w:tcMar>
              <w:left w:w="57" w:type="dxa"/>
              <w:right w:w="57" w:type="dxa"/>
            </w:tcMar>
            <w:vAlign w:val="center"/>
          </w:tcPr>
          <w:p w14:paraId="3ED08B48"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10680</w:t>
            </w:r>
          </w:p>
        </w:tc>
        <w:tc>
          <w:tcPr>
            <w:tcW w:w="680" w:type="dxa"/>
            <w:tcMar>
              <w:left w:w="57" w:type="dxa"/>
              <w:right w:w="57" w:type="dxa"/>
            </w:tcMar>
            <w:vAlign w:val="center"/>
          </w:tcPr>
          <w:p w14:paraId="617C1475"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11404</w:t>
            </w:r>
          </w:p>
        </w:tc>
        <w:tc>
          <w:tcPr>
            <w:tcW w:w="680" w:type="dxa"/>
            <w:tcMar>
              <w:left w:w="57" w:type="dxa"/>
              <w:right w:w="57" w:type="dxa"/>
            </w:tcMar>
            <w:vAlign w:val="center"/>
          </w:tcPr>
          <w:p w14:paraId="7029BB65"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12047</w:t>
            </w:r>
          </w:p>
        </w:tc>
        <w:tc>
          <w:tcPr>
            <w:tcW w:w="680" w:type="dxa"/>
            <w:tcMar>
              <w:left w:w="57" w:type="dxa"/>
              <w:right w:w="57" w:type="dxa"/>
            </w:tcMar>
            <w:vAlign w:val="center"/>
          </w:tcPr>
          <w:p w14:paraId="0C070B4E"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12777</w:t>
            </w:r>
          </w:p>
        </w:tc>
        <w:tc>
          <w:tcPr>
            <w:tcW w:w="713" w:type="dxa"/>
            <w:shd w:val="clear" w:color="auto" w:fill="auto"/>
            <w:vAlign w:val="center"/>
          </w:tcPr>
          <w:p w14:paraId="05495B53"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13076</w:t>
            </w:r>
          </w:p>
        </w:tc>
      </w:tr>
      <w:tr w:rsidR="00C82386" w14:paraId="30502905" w14:textId="77777777">
        <w:trPr>
          <w:trHeight w:val="300"/>
        </w:trPr>
        <w:tc>
          <w:tcPr>
            <w:tcW w:w="2269" w:type="dxa"/>
          </w:tcPr>
          <w:p w14:paraId="6015551E"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Зареєстровані фізичні особи-підприємці, що здійснюють діяльність</w:t>
            </w:r>
          </w:p>
        </w:tc>
        <w:tc>
          <w:tcPr>
            <w:tcW w:w="680" w:type="dxa"/>
            <w:shd w:val="clear" w:color="auto" w:fill="auto"/>
            <w:vAlign w:val="center"/>
          </w:tcPr>
          <w:p w14:paraId="2D6F5563"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 w:type="dxa"/>
            <w:shd w:val="clear" w:color="auto" w:fill="auto"/>
            <w:vAlign w:val="center"/>
          </w:tcPr>
          <w:p w14:paraId="232B899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 w:type="dxa"/>
            <w:shd w:val="clear" w:color="auto" w:fill="auto"/>
            <w:vAlign w:val="center"/>
          </w:tcPr>
          <w:p w14:paraId="584B0CE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 w:type="dxa"/>
            <w:shd w:val="clear" w:color="auto" w:fill="auto"/>
            <w:tcMar>
              <w:left w:w="57" w:type="dxa"/>
              <w:right w:w="57" w:type="dxa"/>
            </w:tcMar>
            <w:vAlign w:val="center"/>
          </w:tcPr>
          <w:p w14:paraId="523B9F1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 w:type="dxa"/>
            <w:tcMar>
              <w:left w:w="57" w:type="dxa"/>
              <w:right w:w="57" w:type="dxa"/>
            </w:tcMar>
            <w:vAlign w:val="center"/>
          </w:tcPr>
          <w:p w14:paraId="5453EC28"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17042</w:t>
            </w:r>
          </w:p>
        </w:tc>
        <w:tc>
          <w:tcPr>
            <w:tcW w:w="680" w:type="dxa"/>
            <w:tcMar>
              <w:left w:w="57" w:type="dxa"/>
              <w:right w:w="57" w:type="dxa"/>
            </w:tcMar>
            <w:vAlign w:val="center"/>
          </w:tcPr>
          <w:p w14:paraId="3297A574"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17445</w:t>
            </w:r>
          </w:p>
        </w:tc>
        <w:tc>
          <w:tcPr>
            <w:tcW w:w="680" w:type="dxa"/>
            <w:tcMar>
              <w:left w:w="57" w:type="dxa"/>
              <w:right w:w="57" w:type="dxa"/>
            </w:tcMar>
            <w:vAlign w:val="center"/>
          </w:tcPr>
          <w:p w14:paraId="7EB334B2"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16808</w:t>
            </w:r>
          </w:p>
        </w:tc>
        <w:tc>
          <w:tcPr>
            <w:tcW w:w="680" w:type="dxa"/>
            <w:tcMar>
              <w:left w:w="57" w:type="dxa"/>
              <w:right w:w="57" w:type="dxa"/>
            </w:tcMar>
            <w:vAlign w:val="center"/>
          </w:tcPr>
          <w:p w14:paraId="3BF97D89"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14323</w:t>
            </w:r>
          </w:p>
        </w:tc>
        <w:tc>
          <w:tcPr>
            <w:tcW w:w="680" w:type="dxa"/>
            <w:tcMar>
              <w:left w:w="57" w:type="dxa"/>
              <w:right w:w="57" w:type="dxa"/>
            </w:tcMar>
            <w:vAlign w:val="center"/>
          </w:tcPr>
          <w:p w14:paraId="6D51C7C2"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13481</w:t>
            </w:r>
          </w:p>
        </w:tc>
        <w:tc>
          <w:tcPr>
            <w:tcW w:w="680" w:type="dxa"/>
            <w:shd w:val="clear" w:color="auto" w:fill="auto"/>
            <w:tcMar>
              <w:left w:w="57" w:type="dxa"/>
              <w:right w:w="57" w:type="dxa"/>
            </w:tcMar>
            <w:vAlign w:val="center"/>
          </w:tcPr>
          <w:p w14:paraId="75695941"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13993</w:t>
            </w:r>
          </w:p>
        </w:tc>
        <w:tc>
          <w:tcPr>
            <w:tcW w:w="713" w:type="dxa"/>
            <w:shd w:val="clear" w:color="auto" w:fill="auto"/>
            <w:vAlign w:val="center"/>
          </w:tcPr>
          <w:p w14:paraId="65921583"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16800</w:t>
            </w:r>
          </w:p>
        </w:tc>
      </w:tr>
      <w:tr w:rsidR="00C82386" w14:paraId="777EDA9D" w14:textId="77777777">
        <w:trPr>
          <w:trHeight w:val="300"/>
        </w:trPr>
        <w:tc>
          <w:tcPr>
            <w:tcW w:w="2269" w:type="dxa"/>
          </w:tcPr>
          <w:p w14:paraId="0E4263E9"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Обсяг реалізованої продукції (товарів та послуг), млрд. грн.</w:t>
            </w:r>
          </w:p>
        </w:tc>
        <w:tc>
          <w:tcPr>
            <w:tcW w:w="680" w:type="dxa"/>
            <w:shd w:val="clear" w:color="auto" w:fill="auto"/>
            <w:vAlign w:val="center"/>
          </w:tcPr>
          <w:p w14:paraId="23FF92E0"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680" w:type="dxa"/>
            <w:vAlign w:val="center"/>
          </w:tcPr>
          <w:p w14:paraId="1EB25BD1"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w:t>
            </w:r>
          </w:p>
        </w:tc>
        <w:tc>
          <w:tcPr>
            <w:tcW w:w="680" w:type="dxa"/>
            <w:vAlign w:val="center"/>
          </w:tcPr>
          <w:p w14:paraId="3B791C7F"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w:t>
            </w:r>
          </w:p>
        </w:tc>
        <w:tc>
          <w:tcPr>
            <w:tcW w:w="680" w:type="dxa"/>
            <w:tcMar>
              <w:left w:w="57" w:type="dxa"/>
              <w:right w:w="57" w:type="dxa"/>
            </w:tcMar>
            <w:vAlign w:val="center"/>
          </w:tcPr>
          <w:p w14:paraId="3046F720"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w:t>
            </w:r>
          </w:p>
        </w:tc>
        <w:tc>
          <w:tcPr>
            <w:tcW w:w="680" w:type="dxa"/>
            <w:tcMar>
              <w:left w:w="57" w:type="dxa"/>
              <w:right w:w="57" w:type="dxa"/>
            </w:tcMar>
            <w:vAlign w:val="center"/>
          </w:tcPr>
          <w:p w14:paraId="2D8348F0" w14:textId="77777777" w:rsidR="00C82386" w:rsidRDefault="00C82386">
            <w:pPr>
              <w:spacing w:after="0"/>
              <w:jc w:val="center"/>
              <w:rPr>
                <w:rFonts w:ascii="Times New Roman" w:eastAsia="Times New Roman" w:hAnsi="Times New Roman" w:cs="Times New Roman"/>
                <w:sz w:val="16"/>
                <w:szCs w:val="16"/>
              </w:rPr>
            </w:pPr>
          </w:p>
          <w:p w14:paraId="2091EF83"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w:t>
            </w:r>
            <w:r>
              <w:rPr>
                <w:rFonts w:ascii="Times New Roman" w:eastAsia="Times New Roman" w:hAnsi="Times New Roman" w:cs="Times New Roman"/>
                <w:sz w:val="16"/>
                <w:szCs w:val="16"/>
              </w:rPr>
              <w:br/>
              <w:t xml:space="preserve"> **</w:t>
            </w:r>
          </w:p>
        </w:tc>
        <w:tc>
          <w:tcPr>
            <w:tcW w:w="680" w:type="dxa"/>
            <w:tcMar>
              <w:left w:w="57" w:type="dxa"/>
              <w:right w:w="57" w:type="dxa"/>
            </w:tcMar>
            <w:vAlign w:val="center"/>
          </w:tcPr>
          <w:p w14:paraId="199E43A4"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w:t>
            </w:r>
          </w:p>
        </w:tc>
        <w:tc>
          <w:tcPr>
            <w:tcW w:w="680" w:type="dxa"/>
            <w:tcMar>
              <w:left w:w="57" w:type="dxa"/>
              <w:right w:w="57" w:type="dxa"/>
            </w:tcMar>
            <w:vAlign w:val="center"/>
          </w:tcPr>
          <w:p w14:paraId="6795B641"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30,2</w:t>
            </w:r>
          </w:p>
        </w:tc>
        <w:tc>
          <w:tcPr>
            <w:tcW w:w="680" w:type="dxa"/>
            <w:tcMar>
              <w:left w:w="57" w:type="dxa"/>
              <w:right w:w="57" w:type="dxa"/>
            </w:tcMar>
            <w:vAlign w:val="center"/>
          </w:tcPr>
          <w:p w14:paraId="757DC6FC"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37,6</w:t>
            </w:r>
          </w:p>
        </w:tc>
        <w:tc>
          <w:tcPr>
            <w:tcW w:w="680" w:type="dxa"/>
            <w:tcMar>
              <w:left w:w="28" w:type="dxa"/>
              <w:right w:w="28" w:type="dxa"/>
            </w:tcMar>
            <w:vAlign w:val="center"/>
          </w:tcPr>
          <w:p w14:paraId="7547968C"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46,79</w:t>
            </w:r>
          </w:p>
        </w:tc>
        <w:tc>
          <w:tcPr>
            <w:tcW w:w="680" w:type="dxa"/>
            <w:tcMar>
              <w:left w:w="28" w:type="dxa"/>
              <w:right w:w="28" w:type="dxa"/>
            </w:tcMar>
            <w:vAlign w:val="center"/>
          </w:tcPr>
          <w:p w14:paraId="5667735E"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39,4</w:t>
            </w:r>
          </w:p>
        </w:tc>
        <w:tc>
          <w:tcPr>
            <w:tcW w:w="713" w:type="dxa"/>
            <w:shd w:val="clear" w:color="auto" w:fill="auto"/>
            <w:vAlign w:val="center"/>
          </w:tcPr>
          <w:p w14:paraId="59C1B663" w14:textId="77777777" w:rsidR="00C82386" w:rsidRDefault="00E66F64">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w:t>
            </w:r>
          </w:p>
        </w:tc>
      </w:tr>
      <w:tr w:rsidR="00C82386" w14:paraId="4775800C" w14:textId="77777777">
        <w:trPr>
          <w:trHeight w:val="300"/>
        </w:trPr>
        <w:tc>
          <w:tcPr>
            <w:tcW w:w="2269" w:type="dxa"/>
          </w:tcPr>
          <w:p w14:paraId="5895B364"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Обсяги експорту, млн. дол. </w:t>
            </w:r>
          </w:p>
        </w:tc>
        <w:tc>
          <w:tcPr>
            <w:tcW w:w="680" w:type="dxa"/>
            <w:vAlign w:val="center"/>
          </w:tcPr>
          <w:p w14:paraId="020FF500"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134,7</w:t>
            </w:r>
          </w:p>
        </w:tc>
        <w:tc>
          <w:tcPr>
            <w:tcW w:w="680" w:type="dxa"/>
            <w:vAlign w:val="center"/>
          </w:tcPr>
          <w:p w14:paraId="3936A32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166,7</w:t>
            </w:r>
          </w:p>
        </w:tc>
        <w:tc>
          <w:tcPr>
            <w:tcW w:w="680" w:type="dxa"/>
            <w:vAlign w:val="center"/>
          </w:tcPr>
          <w:p w14:paraId="001E7BD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163,8</w:t>
            </w:r>
          </w:p>
        </w:tc>
        <w:tc>
          <w:tcPr>
            <w:tcW w:w="680" w:type="dxa"/>
            <w:tcMar>
              <w:left w:w="57" w:type="dxa"/>
              <w:right w:w="57" w:type="dxa"/>
            </w:tcMar>
            <w:vAlign w:val="center"/>
          </w:tcPr>
          <w:p w14:paraId="2C82DCE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178,0</w:t>
            </w:r>
          </w:p>
        </w:tc>
        <w:tc>
          <w:tcPr>
            <w:tcW w:w="680" w:type="dxa"/>
            <w:tcMar>
              <w:left w:w="57" w:type="dxa"/>
              <w:right w:w="57" w:type="dxa"/>
            </w:tcMar>
            <w:vAlign w:val="center"/>
          </w:tcPr>
          <w:p w14:paraId="33622B72"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179,5</w:t>
            </w:r>
          </w:p>
        </w:tc>
        <w:tc>
          <w:tcPr>
            <w:tcW w:w="680" w:type="dxa"/>
            <w:tcMar>
              <w:left w:w="57" w:type="dxa"/>
              <w:right w:w="57" w:type="dxa"/>
            </w:tcMar>
            <w:vAlign w:val="center"/>
          </w:tcPr>
          <w:p w14:paraId="582970E1"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142,1</w:t>
            </w:r>
          </w:p>
        </w:tc>
        <w:tc>
          <w:tcPr>
            <w:tcW w:w="680" w:type="dxa"/>
            <w:tcMar>
              <w:left w:w="57" w:type="dxa"/>
              <w:right w:w="57" w:type="dxa"/>
            </w:tcMar>
            <w:vAlign w:val="center"/>
          </w:tcPr>
          <w:p w14:paraId="48DC57F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147,8</w:t>
            </w:r>
          </w:p>
        </w:tc>
        <w:tc>
          <w:tcPr>
            <w:tcW w:w="680" w:type="dxa"/>
            <w:tcMar>
              <w:left w:w="57" w:type="dxa"/>
              <w:right w:w="57" w:type="dxa"/>
            </w:tcMar>
            <w:vAlign w:val="center"/>
          </w:tcPr>
          <w:p w14:paraId="482815C5" w14:textId="77777777" w:rsidR="00C82386" w:rsidRDefault="00E66F64">
            <w:pPr>
              <w:spacing w:after="0"/>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156,1</w:t>
            </w:r>
          </w:p>
        </w:tc>
        <w:tc>
          <w:tcPr>
            <w:tcW w:w="680" w:type="dxa"/>
            <w:tcMar>
              <w:left w:w="57" w:type="dxa"/>
              <w:right w:w="57" w:type="dxa"/>
            </w:tcMar>
            <w:vAlign w:val="center"/>
          </w:tcPr>
          <w:p w14:paraId="44D7FB63" w14:textId="77777777" w:rsidR="00C82386" w:rsidRDefault="00E66F64">
            <w:pPr>
              <w:spacing w:after="0"/>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176,6</w:t>
            </w:r>
          </w:p>
        </w:tc>
        <w:tc>
          <w:tcPr>
            <w:tcW w:w="680" w:type="dxa"/>
            <w:tcMar>
              <w:left w:w="57" w:type="dxa"/>
              <w:right w:w="57" w:type="dxa"/>
            </w:tcMar>
            <w:vAlign w:val="center"/>
          </w:tcPr>
          <w:p w14:paraId="2CD3D01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212,3</w:t>
            </w:r>
          </w:p>
        </w:tc>
        <w:tc>
          <w:tcPr>
            <w:tcW w:w="713" w:type="dxa"/>
            <w:vAlign w:val="center"/>
          </w:tcPr>
          <w:p w14:paraId="54E3EFD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157,4</w:t>
            </w:r>
          </w:p>
        </w:tc>
      </w:tr>
      <w:tr w:rsidR="00C82386" w14:paraId="571FE636" w14:textId="77777777">
        <w:trPr>
          <w:trHeight w:val="300"/>
        </w:trPr>
        <w:tc>
          <w:tcPr>
            <w:tcW w:w="2269" w:type="dxa"/>
          </w:tcPr>
          <w:p w14:paraId="01BE1DE3"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Обсяги імпорту, млн. дол.</w:t>
            </w:r>
          </w:p>
        </w:tc>
        <w:tc>
          <w:tcPr>
            <w:tcW w:w="680" w:type="dxa"/>
            <w:vAlign w:val="center"/>
          </w:tcPr>
          <w:p w14:paraId="758D328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119,1</w:t>
            </w:r>
          </w:p>
        </w:tc>
        <w:tc>
          <w:tcPr>
            <w:tcW w:w="680" w:type="dxa"/>
            <w:vAlign w:val="center"/>
          </w:tcPr>
          <w:p w14:paraId="44D9480E"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167,5</w:t>
            </w:r>
          </w:p>
        </w:tc>
        <w:tc>
          <w:tcPr>
            <w:tcW w:w="680" w:type="dxa"/>
            <w:vAlign w:val="center"/>
          </w:tcPr>
          <w:p w14:paraId="5EAE232A"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161,7</w:t>
            </w:r>
          </w:p>
        </w:tc>
        <w:tc>
          <w:tcPr>
            <w:tcW w:w="680" w:type="dxa"/>
            <w:tcMar>
              <w:left w:w="57" w:type="dxa"/>
              <w:right w:w="57" w:type="dxa"/>
            </w:tcMar>
            <w:vAlign w:val="center"/>
          </w:tcPr>
          <w:p w14:paraId="5987F98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165,1</w:t>
            </w:r>
          </w:p>
        </w:tc>
        <w:tc>
          <w:tcPr>
            <w:tcW w:w="680" w:type="dxa"/>
            <w:tcMar>
              <w:left w:w="57" w:type="dxa"/>
              <w:right w:w="57" w:type="dxa"/>
            </w:tcMar>
            <w:vAlign w:val="center"/>
          </w:tcPr>
          <w:p w14:paraId="507D29EE"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126,8</w:t>
            </w:r>
          </w:p>
        </w:tc>
        <w:tc>
          <w:tcPr>
            <w:tcW w:w="680" w:type="dxa"/>
            <w:tcMar>
              <w:left w:w="57" w:type="dxa"/>
              <w:right w:w="57" w:type="dxa"/>
            </w:tcMar>
            <w:vAlign w:val="center"/>
          </w:tcPr>
          <w:p w14:paraId="6CBE6088"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86,3</w:t>
            </w:r>
          </w:p>
        </w:tc>
        <w:tc>
          <w:tcPr>
            <w:tcW w:w="680" w:type="dxa"/>
            <w:tcMar>
              <w:left w:w="57" w:type="dxa"/>
              <w:right w:w="57" w:type="dxa"/>
            </w:tcMar>
            <w:vAlign w:val="center"/>
          </w:tcPr>
          <w:p w14:paraId="5E8A2FC6"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120,7</w:t>
            </w:r>
          </w:p>
        </w:tc>
        <w:tc>
          <w:tcPr>
            <w:tcW w:w="680" w:type="dxa"/>
            <w:tcMar>
              <w:left w:w="57" w:type="dxa"/>
              <w:right w:w="57" w:type="dxa"/>
            </w:tcMar>
            <w:vAlign w:val="center"/>
          </w:tcPr>
          <w:p w14:paraId="7657AE32" w14:textId="77777777" w:rsidR="00C82386" w:rsidRDefault="00E66F64">
            <w:pPr>
              <w:spacing w:after="0"/>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168,3</w:t>
            </w:r>
          </w:p>
        </w:tc>
        <w:tc>
          <w:tcPr>
            <w:tcW w:w="680" w:type="dxa"/>
            <w:tcMar>
              <w:left w:w="57" w:type="dxa"/>
              <w:right w:w="57" w:type="dxa"/>
            </w:tcMar>
            <w:vAlign w:val="center"/>
          </w:tcPr>
          <w:p w14:paraId="1CC2AA41" w14:textId="77777777" w:rsidR="00C82386" w:rsidRDefault="00E66F64">
            <w:pPr>
              <w:spacing w:after="0"/>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111,9</w:t>
            </w:r>
          </w:p>
        </w:tc>
        <w:tc>
          <w:tcPr>
            <w:tcW w:w="680" w:type="dxa"/>
            <w:tcMar>
              <w:left w:w="57" w:type="dxa"/>
              <w:right w:w="57" w:type="dxa"/>
            </w:tcMar>
            <w:vAlign w:val="center"/>
          </w:tcPr>
          <w:p w14:paraId="730A3D47"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230,3</w:t>
            </w:r>
          </w:p>
        </w:tc>
        <w:tc>
          <w:tcPr>
            <w:tcW w:w="713" w:type="dxa"/>
            <w:vAlign w:val="center"/>
          </w:tcPr>
          <w:p w14:paraId="6ADDB970"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193,3</w:t>
            </w:r>
          </w:p>
        </w:tc>
      </w:tr>
      <w:tr w:rsidR="00C82386" w14:paraId="3C9C6609" w14:textId="77777777">
        <w:trPr>
          <w:trHeight w:val="600"/>
        </w:trPr>
        <w:tc>
          <w:tcPr>
            <w:tcW w:w="2269" w:type="dxa"/>
          </w:tcPr>
          <w:p w14:paraId="7DCF8E70"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Обсяг прямих іноземних інвестицій наростаючим підсумком, млн. дол. </w:t>
            </w:r>
          </w:p>
        </w:tc>
        <w:tc>
          <w:tcPr>
            <w:tcW w:w="680" w:type="dxa"/>
            <w:vAlign w:val="center"/>
          </w:tcPr>
          <w:p w14:paraId="1E986350"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64,1</w:t>
            </w:r>
          </w:p>
        </w:tc>
        <w:tc>
          <w:tcPr>
            <w:tcW w:w="680" w:type="dxa"/>
            <w:vAlign w:val="center"/>
          </w:tcPr>
          <w:p w14:paraId="5726BB05"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93,7</w:t>
            </w:r>
          </w:p>
        </w:tc>
        <w:tc>
          <w:tcPr>
            <w:tcW w:w="680" w:type="dxa"/>
            <w:vAlign w:val="center"/>
          </w:tcPr>
          <w:p w14:paraId="03E1892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95,3</w:t>
            </w:r>
          </w:p>
        </w:tc>
        <w:tc>
          <w:tcPr>
            <w:tcW w:w="680" w:type="dxa"/>
            <w:tcMar>
              <w:left w:w="57" w:type="dxa"/>
              <w:right w:w="57" w:type="dxa"/>
            </w:tcMar>
            <w:vAlign w:val="center"/>
          </w:tcPr>
          <w:p w14:paraId="7E5885C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119,5</w:t>
            </w:r>
          </w:p>
        </w:tc>
        <w:tc>
          <w:tcPr>
            <w:tcW w:w="680" w:type="dxa"/>
            <w:tcMar>
              <w:left w:w="57" w:type="dxa"/>
              <w:right w:w="57" w:type="dxa"/>
            </w:tcMar>
            <w:vAlign w:val="center"/>
          </w:tcPr>
          <w:p w14:paraId="2511C604"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96,6</w:t>
            </w:r>
          </w:p>
        </w:tc>
        <w:tc>
          <w:tcPr>
            <w:tcW w:w="680" w:type="dxa"/>
            <w:tcMar>
              <w:left w:w="57" w:type="dxa"/>
              <w:right w:w="57" w:type="dxa"/>
            </w:tcMar>
            <w:vAlign w:val="center"/>
          </w:tcPr>
          <w:p w14:paraId="35E6584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82,3</w:t>
            </w:r>
          </w:p>
        </w:tc>
        <w:tc>
          <w:tcPr>
            <w:tcW w:w="680" w:type="dxa"/>
            <w:tcMar>
              <w:left w:w="57" w:type="dxa"/>
              <w:right w:w="57" w:type="dxa"/>
            </w:tcMar>
            <w:vAlign w:val="center"/>
          </w:tcPr>
          <w:p w14:paraId="60D65B6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80,2</w:t>
            </w:r>
          </w:p>
        </w:tc>
        <w:tc>
          <w:tcPr>
            <w:tcW w:w="680" w:type="dxa"/>
            <w:tcMar>
              <w:left w:w="57" w:type="dxa"/>
              <w:right w:w="57" w:type="dxa"/>
            </w:tcMar>
            <w:vAlign w:val="center"/>
          </w:tcPr>
          <w:p w14:paraId="1A7EACE2"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84,5</w:t>
            </w:r>
          </w:p>
        </w:tc>
        <w:tc>
          <w:tcPr>
            <w:tcW w:w="680" w:type="dxa"/>
            <w:tcMar>
              <w:left w:w="57" w:type="dxa"/>
              <w:right w:w="57" w:type="dxa"/>
            </w:tcMar>
            <w:vAlign w:val="center"/>
          </w:tcPr>
          <w:p w14:paraId="08BB21B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94,1</w:t>
            </w:r>
          </w:p>
        </w:tc>
        <w:tc>
          <w:tcPr>
            <w:tcW w:w="680" w:type="dxa"/>
            <w:tcMar>
              <w:left w:w="57" w:type="dxa"/>
              <w:right w:w="57" w:type="dxa"/>
            </w:tcMar>
            <w:vAlign w:val="center"/>
          </w:tcPr>
          <w:p w14:paraId="0E09F5A7"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105,2</w:t>
            </w:r>
          </w:p>
        </w:tc>
        <w:tc>
          <w:tcPr>
            <w:tcW w:w="713" w:type="dxa"/>
            <w:shd w:val="clear" w:color="auto" w:fill="auto"/>
            <w:vAlign w:val="center"/>
          </w:tcPr>
          <w:p w14:paraId="2F21BEA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C82386" w14:paraId="53DC36E3" w14:textId="77777777">
        <w:trPr>
          <w:trHeight w:val="600"/>
        </w:trPr>
        <w:tc>
          <w:tcPr>
            <w:tcW w:w="2269" w:type="dxa"/>
          </w:tcPr>
          <w:p w14:paraId="57033EC9"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Обсяг капітальних інвестицій за рахунок усіх джерел фінансування, млн. грн</w:t>
            </w:r>
          </w:p>
        </w:tc>
        <w:tc>
          <w:tcPr>
            <w:tcW w:w="680" w:type="dxa"/>
            <w:vAlign w:val="center"/>
          </w:tcPr>
          <w:p w14:paraId="328C84DB"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742,2</w:t>
            </w:r>
          </w:p>
        </w:tc>
        <w:tc>
          <w:tcPr>
            <w:tcW w:w="680" w:type="dxa"/>
            <w:vAlign w:val="center"/>
          </w:tcPr>
          <w:p w14:paraId="53D1853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950,1</w:t>
            </w:r>
          </w:p>
        </w:tc>
        <w:tc>
          <w:tcPr>
            <w:tcW w:w="680" w:type="dxa"/>
            <w:vAlign w:val="center"/>
          </w:tcPr>
          <w:p w14:paraId="27F1AAD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953,7</w:t>
            </w:r>
          </w:p>
        </w:tc>
        <w:tc>
          <w:tcPr>
            <w:tcW w:w="680" w:type="dxa"/>
            <w:tcMar>
              <w:left w:w="57" w:type="dxa"/>
              <w:right w:w="57" w:type="dxa"/>
            </w:tcMar>
            <w:vAlign w:val="center"/>
          </w:tcPr>
          <w:p w14:paraId="7D34A61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887,9</w:t>
            </w:r>
          </w:p>
        </w:tc>
        <w:tc>
          <w:tcPr>
            <w:tcW w:w="680" w:type="dxa"/>
            <w:tcMar>
              <w:left w:w="57" w:type="dxa"/>
              <w:right w:w="57" w:type="dxa"/>
            </w:tcMar>
            <w:vAlign w:val="center"/>
          </w:tcPr>
          <w:p w14:paraId="67D5B1D3"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954,3</w:t>
            </w:r>
          </w:p>
        </w:tc>
        <w:tc>
          <w:tcPr>
            <w:tcW w:w="680" w:type="dxa"/>
            <w:tcMar>
              <w:left w:w="57" w:type="dxa"/>
              <w:right w:w="57" w:type="dxa"/>
            </w:tcMar>
            <w:vAlign w:val="center"/>
          </w:tcPr>
          <w:p w14:paraId="0C13DF45"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1128,7</w:t>
            </w:r>
          </w:p>
        </w:tc>
        <w:tc>
          <w:tcPr>
            <w:tcW w:w="680" w:type="dxa"/>
            <w:tcMar>
              <w:left w:w="57" w:type="dxa"/>
              <w:right w:w="57" w:type="dxa"/>
            </w:tcMar>
            <w:vAlign w:val="center"/>
          </w:tcPr>
          <w:p w14:paraId="716917F4"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1606,3</w:t>
            </w:r>
          </w:p>
        </w:tc>
        <w:tc>
          <w:tcPr>
            <w:tcW w:w="680" w:type="dxa"/>
            <w:tcMar>
              <w:left w:w="28" w:type="dxa"/>
              <w:right w:w="28" w:type="dxa"/>
            </w:tcMar>
            <w:vAlign w:val="center"/>
          </w:tcPr>
          <w:p w14:paraId="67C8ED31"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2288,6</w:t>
            </w:r>
          </w:p>
        </w:tc>
        <w:tc>
          <w:tcPr>
            <w:tcW w:w="680" w:type="dxa"/>
            <w:tcMar>
              <w:left w:w="28" w:type="dxa"/>
              <w:right w:w="28" w:type="dxa"/>
            </w:tcMar>
            <w:vAlign w:val="center"/>
          </w:tcPr>
          <w:p w14:paraId="22404CE4"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3088,4</w:t>
            </w:r>
          </w:p>
        </w:tc>
        <w:tc>
          <w:tcPr>
            <w:tcW w:w="680" w:type="dxa"/>
            <w:tcMar>
              <w:left w:w="57" w:type="dxa"/>
              <w:right w:w="57" w:type="dxa"/>
            </w:tcMar>
            <w:vAlign w:val="center"/>
          </w:tcPr>
          <w:p w14:paraId="17D2835F"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3177,8</w:t>
            </w:r>
          </w:p>
        </w:tc>
        <w:tc>
          <w:tcPr>
            <w:tcW w:w="713" w:type="dxa"/>
            <w:shd w:val="clear" w:color="auto" w:fill="auto"/>
            <w:vAlign w:val="center"/>
          </w:tcPr>
          <w:p w14:paraId="0206A45D"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bl>
    <w:p w14:paraId="423277A9" w14:textId="77777777" w:rsidR="00C82386" w:rsidRDefault="00E66F64">
      <w:pPr>
        <w:pBdr>
          <w:top w:val="nil"/>
          <w:left w:val="nil"/>
          <w:bottom w:val="nil"/>
          <w:right w:val="nil"/>
          <w:between w:val="nil"/>
        </w:pBdr>
        <w:spacing w:after="0"/>
        <w:rPr>
          <w:rFonts w:ascii="Times New Roman" w:eastAsia="Times New Roman" w:hAnsi="Times New Roman" w:cs="Times New Roman"/>
          <w:color w:val="000000"/>
        </w:rPr>
      </w:pPr>
      <w:r>
        <w:rPr>
          <w:color w:val="000000"/>
        </w:rPr>
        <w:t>*</w:t>
      </w:r>
      <w:r>
        <w:rPr>
          <w:rFonts w:ascii="Times New Roman" w:eastAsia="Times New Roman" w:hAnsi="Times New Roman" w:cs="Times New Roman"/>
          <w:color w:val="000000"/>
        </w:rPr>
        <w:t>Кількість підприємств та організацій</w:t>
      </w:r>
    </w:p>
    <w:p w14:paraId="25256D08" w14:textId="77777777" w:rsidR="00C82386" w:rsidRDefault="00E66F64">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**Обсяг реалізації товарів, робіт, послуг підприємств та ФОП</w:t>
      </w:r>
    </w:p>
    <w:p w14:paraId="27D48F32"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обсягами реалізації</w:t>
      </w:r>
      <w:r>
        <w:rPr>
          <w:rFonts w:ascii="Times New Roman" w:eastAsia="Times New Roman" w:hAnsi="Times New Roman" w:cs="Times New Roman"/>
          <w:sz w:val="28"/>
          <w:szCs w:val="28"/>
        </w:rPr>
        <w:t xml:space="preserve"> </w:t>
      </w:r>
      <w:r>
        <w:rPr>
          <w:rFonts w:ascii="Times New Roman" w:eastAsia="Times New Roman" w:hAnsi="Times New Roman" w:cs="Times New Roman"/>
          <w:sz w:val="24"/>
          <w:szCs w:val="24"/>
        </w:rPr>
        <w:t>товарної продукції та послуг</w:t>
      </w:r>
      <w:r>
        <w:rPr>
          <w:rFonts w:ascii="Times New Roman" w:eastAsia="Times New Roman" w:hAnsi="Times New Roman" w:cs="Times New Roman"/>
          <w:sz w:val="28"/>
          <w:szCs w:val="28"/>
        </w:rPr>
        <w:t xml:space="preserve"> </w:t>
      </w:r>
      <w:r>
        <w:rPr>
          <w:rFonts w:ascii="Times New Roman" w:eastAsia="Times New Roman" w:hAnsi="Times New Roman" w:cs="Times New Roman"/>
          <w:sz w:val="24"/>
          <w:szCs w:val="24"/>
        </w:rPr>
        <w:t>основна частка у 2020 році припадає на промислові підприємства – 42,8% від загального обсягу.</w:t>
      </w:r>
    </w:p>
    <w:p w14:paraId="208628F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Іноземні прямі інвестиції у 2020 році з розрахунку на одну особу склали 383,5 дол. США проти 199,3 дол. США у Житомирській області.</w:t>
      </w:r>
    </w:p>
    <w:p w14:paraId="55DF31C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Виходячи з наданого опису можна зробити висновок, що за період 2010-2020 років Житомир має надійний потенціал до економічного зростання за рахунок внесення  інновацій в життєдіяльність громади, підвищення рівню сервісу та комфорту для мешканців, бізнесу і гостей міста. Житомир буде продовжувати рух до створення середовища для самореалізації та дозвілля, підвищенню якості життя та конкурентоспроможності громади.</w:t>
      </w:r>
    </w:p>
    <w:p w14:paraId="6E84634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Повномасштабне вторгнення РФ в Україну у 2022 році завдало значних втрат соціально-економічному потенціалу Житомирської міської територіальної громади. Руйнування інфраструктури, скорочення ділової активності та вимушена міграція населення призвели до збільшення витрат бюджету і зростання соціальних витрат. Водночас громада продемонструвала стійкість, адаптуючи місцеву економіку до воєнних </w:t>
      </w:r>
      <w:r>
        <w:rPr>
          <w:rFonts w:ascii="Times New Roman" w:eastAsia="Times New Roman" w:hAnsi="Times New Roman" w:cs="Times New Roman"/>
          <w:sz w:val="24"/>
          <w:szCs w:val="24"/>
        </w:rPr>
        <w:lastRenderedPageBreak/>
        <w:t>викликів, підтримуючи критично важливі підприємства та впроваджуючи проєкти відновлення. Завдяки координації з міжнародними партнерами та державними інституціями залучалася гуманітарна та фінансова допомогу для подолання кризових наслідків. Подальший розвиток громади залежатиме від безпекової ситуації, рівня державної підтримки та інвестицій, проте наявний потенціал для відновлення та впровадження інноваційних рішень створює передумови для поступового економічного зростання.</w:t>
      </w:r>
    </w:p>
    <w:p w14:paraId="67E23E90" w14:textId="77777777" w:rsidR="00C82386" w:rsidRDefault="00E66F64">
      <w:pPr>
        <w:keepNext/>
        <w:keepLines/>
        <w:numPr>
          <w:ilvl w:val="1"/>
          <w:numId w:val="1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22" w:name="_heading=h.2xcytpi" w:colFirst="0" w:colLast="0"/>
      <w:bookmarkEnd w:id="22"/>
      <w:r>
        <w:rPr>
          <w:rFonts w:ascii="Times New Roman" w:eastAsia="Times New Roman" w:hAnsi="Times New Roman" w:cs="Times New Roman"/>
          <w:b/>
          <w:color w:val="000000"/>
          <w:sz w:val="24"/>
          <w:szCs w:val="24"/>
        </w:rPr>
        <w:t>Огляд бюджету</w:t>
      </w:r>
    </w:p>
    <w:p w14:paraId="6D87002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Економічна криза 2008 року та події 2014-2015 років надали поштовх інфляційним процесам в економіці, що має відображення і в обсягах бюджету міста Житомира. Для ознайомлення з фінансовими можливостями громади представлена інформація по бюджету міста Житомира до реорганізації в Житомирську міську територіальну громаду</w:t>
      </w:r>
    </w:p>
    <w:p w14:paraId="6F1D3925"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Доходи бюджету міста Житомир за 2010-2020 роки наведено у таблиці 2.7.</w:t>
      </w:r>
    </w:p>
    <w:p w14:paraId="4F263926" w14:textId="77777777" w:rsidR="00C82386" w:rsidRDefault="00E66F64">
      <w:pPr>
        <w:spacing w:before="120" w:after="0"/>
        <w:ind w:right="1089"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2.7.</w:t>
      </w:r>
    </w:p>
    <w:tbl>
      <w:tblPr>
        <w:tblStyle w:val="afff7"/>
        <w:tblW w:w="7040" w:type="dxa"/>
        <w:jc w:val="center"/>
        <w:tblInd w:w="0" w:type="dxa"/>
        <w:tblLayout w:type="fixed"/>
        <w:tblLook w:val="0400" w:firstRow="0" w:lastRow="0" w:firstColumn="0" w:lastColumn="0" w:noHBand="0" w:noVBand="1"/>
      </w:tblPr>
      <w:tblGrid>
        <w:gridCol w:w="960"/>
        <w:gridCol w:w="1600"/>
        <w:gridCol w:w="1740"/>
        <w:gridCol w:w="928"/>
        <w:gridCol w:w="1812"/>
      </w:tblGrid>
      <w:tr w:rsidR="00C82386" w14:paraId="4F13AE7C" w14:textId="77777777">
        <w:trPr>
          <w:trHeight w:val="20"/>
          <w:jc w:val="center"/>
        </w:trPr>
        <w:tc>
          <w:tcPr>
            <w:tcW w:w="9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86B58A0" w14:textId="77777777" w:rsidR="00C82386" w:rsidRDefault="00E66F64">
            <w:pPr>
              <w:spacing w:after="0"/>
              <w:ind w:firstLine="49"/>
              <w:rPr>
                <w:rFonts w:ascii="Times New Roman" w:eastAsia="Times New Roman" w:hAnsi="Times New Roman" w:cs="Times New Roman"/>
                <w:b/>
              </w:rPr>
            </w:pPr>
            <w:r>
              <w:rPr>
                <w:rFonts w:ascii="Times New Roman" w:eastAsia="Times New Roman" w:hAnsi="Times New Roman" w:cs="Times New Roman"/>
                <w:b/>
              </w:rPr>
              <w:t>Роки</w:t>
            </w: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933A23B" w14:textId="77777777" w:rsidR="00C82386" w:rsidRDefault="00E66F64">
            <w:pPr>
              <w:spacing w:after="0"/>
              <w:ind w:firstLine="81"/>
              <w:jc w:val="center"/>
              <w:rPr>
                <w:rFonts w:ascii="Times New Roman" w:eastAsia="Times New Roman" w:hAnsi="Times New Roman" w:cs="Times New Roman"/>
                <w:b/>
              </w:rPr>
            </w:pPr>
            <w:r>
              <w:rPr>
                <w:rFonts w:ascii="Times New Roman" w:eastAsia="Times New Roman" w:hAnsi="Times New Roman" w:cs="Times New Roman"/>
                <w:b/>
              </w:rPr>
              <w:t>Разом доходи бюджету,</w:t>
            </w:r>
            <w:r>
              <w:rPr>
                <w:rFonts w:ascii="Times New Roman" w:eastAsia="Times New Roman" w:hAnsi="Times New Roman" w:cs="Times New Roman"/>
                <w:b/>
              </w:rPr>
              <w:br/>
              <w:t xml:space="preserve"> млн. грн.</w:t>
            </w:r>
          </w:p>
        </w:tc>
        <w:tc>
          <w:tcPr>
            <w:tcW w:w="174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CE37C6F" w14:textId="77777777" w:rsidR="00C82386" w:rsidRDefault="00E66F64">
            <w:pPr>
              <w:spacing w:after="0" w:line="240" w:lineRule="auto"/>
              <w:ind w:firstLine="41"/>
              <w:jc w:val="center"/>
              <w:rPr>
                <w:rFonts w:ascii="Times New Roman" w:eastAsia="Times New Roman" w:hAnsi="Times New Roman" w:cs="Times New Roman"/>
                <w:b/>
              </w:rPr>
            </w:pPr>
            <w:r>
              <w:rPr>
                <w:rFonts w:ascii="Times New Roman" w:eastAsia="Times New Roman" w:hAnsi="Times New Roman" w:cs="Times New Roman"/>
                <w:b/>
              </w:rPr>
              <w:t>Загальний фонд, доходи,</w:t>
            </w:r>
            <w:r>
              <w:rPr>
                <w:rFonts w:ascii="Times New Roman" w:eastAsia="Times New Roman" w:hAnsi="Times New Roman" w:cs="Times New Roman"/>
                <w:b/>
              </w:rPr>
              <w:br/>
              <w:t>млн. грн.</w:t>
            </w:r>
          </w:p>
        </w:tc>
        <w:tc>
          <w:tcPr>
            <w:tcW w:w="2740" w:type="dxa"/>
            <w:gridSpan w:val="2"/>
            <w:tcBorders>
              <w:top w:val="single" w:sz="8" w:space="0" w:color="000000"/>
              <w:left w:val="nil"/>
              <w:bottom w:val="nil"/>
              <w:right w:val="single" w:sz="8" w:space="0" w:color="000000"/>
            </w:tcBorders>
            <w:shd w:val="clear" w:color="auto" w:fill="auto"/>
            <w:vAlign w:val="center"/>
          </w:tcPr>
          <w:p w14:paraId="6E29A7B5"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Спеціальний фонд, доходи</w:t>
            </w:r>
          </w:p>
        </w:tc>
      </w:tr>
      <w:tr w:rsidR="00C82386" w14:paraId="52164CBE" w14:textId="77777777">
        <w:trPr>
          <w:trHeight w:val="20"/>
          <w:jc w:val="center"/>
        </w:trPr>
        <w:tc>
          <w:tcPr>
            <w:tcW w:w="9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199BE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0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E7E79A9"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74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0DF73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2740" w:type="dxa"/>
            <w:gridSpan w:val="2"/>
            <w:tcBorders>
              <w:top w:val="nil"/>
              <w:left w:val="nil"/>
              <w:bottom w:val="single" w:sz="8" w:space="0" w:color="000000"/>
              <w:right w:val="single" w:sz="8" w:space="0" w:color="000000"/>
            </w:tcBorders>
            <w:shd w:val="clear" w:color="auto" w:fill="auto"/>
            <w:vAlign w:val="center"/>
          </w:tcPr>
          <w:p w14:paraId="23D233B4"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млн. грн.</w:t>
            </w:r>
          </w:p>
        </w:tc>
      </w:tr>
      <w:tr w:rsidR="00C82386" w14:paraId="3361AC35" w14:textId="77777777">
        <w:trPr>
          <w:trHeight w:val="20"/>
          <w:jc w:val="center"/>
        </w:trPr>
        <w:tc>
          <w:tcPr>
            <w:tcW w:w="9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C8AF262"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0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9817FE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74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13B24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928" w:type="dxa"/>
            <w:tcBorders>
              <w:top w:val="nil"/>
              <w:left w:val="nil"/>
              <w:bottom w:val="single" w:sz="8" w:space="0" w:color="000000"/>
              <w:right w:val="single" w:sz="8" w:space="0" w:color="000000"/>
            </w:tcBorders>
            <w:shd w:val="clear" w:color="auto" w:fill="auto"/>
            <w:vAlign w:val="center"/>
          </w:tcPr>
          <w:p w14:paraId="66AA4772"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Разом</w:t>
            </w:r>
          </w:p>
        </w:tc>
        <w:tc>
          <w:tcPr>
            <w:tcW w:w="1812" w:type="dxa"/>
            <w:tcBorders>
              <w:top w:val="nil"/>
              <w:left w:val="nil"/>
              <w:bottom w:val="single" w:sz="8" w:space="0" w:color="000000"/>
              <w:right w:val="single" w:sz="8" w:space="0" w:color="000000"/>
            </w:tcBorders>
            <w:shd w:val="clear" w:color="auto" w:fill="auto"/>
            <w:vAlign w:val="center"/>
          </w:tcPr>
          <w:p w14:paraId="2D83C678" w14:textId="77777777" w:rsidR="00C82386" w:rsidRDefault="00E66F64">
            <w:pPr>
              <w:spacing w:after="0"/>
              <w:ind w:firstLine="66"/>
              <w:jc w:val="center"/>
              <w:rPr>
                <w:rFonts w:ascii="Times New Roman" w:eastAsia="Times New Roman" w:hAnsi="Times New Roman" w:cs="Times New Roman"/>
                <w:b/>
              </w:rPr>
            </w:pPr>
            <w:r>
              <w:rPr>
                <w:rFonts w:ascii="Times New Roman" w:eastAsia="Times New Roman" w:hAnsi="Times New Roman" w:cs="Times New Roman"/>
                <w:b/>
              </w:rPr>
              <w:t>у т. ч. бюджет розвитку</w:t>
            </w:r>
          </w:p>
        </w:tc>
      </w:tr>
      <w:tr w:rsidR="00C82386" w14:paraId="10B3B549" w14:textId="77777777">
        <w:trPr>
          <w:trHeight w:val="20"/>
          <w:jc w:val="center"/>
        </w:trPr>
        <w:tc>
          <w:tcPr>
            <w:tcW w:w="9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183316"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2010</w:t>
            </w:r>
          </w:p>
        </w:tc>
        <w:tc>
          <w:tcPr>
            <w:tcW w:w="1600" w:type="dxa"/>
            <w:tcBorders>
              <w:top w:val="nil"/>
              <w:left w:val="nil"/>
              <w:bottom w:val="single" w:sz="8" w:space="0" w:color="000000"/>
              <w:right w:val="single" w:sz="8" w:space="0" w:color="000000"/>
            </w:tcBorders>
            <w:shd w:val="clear" w:color="auto" w:fill="auto"/>
            <w:vAlign w:val="center"/>
          </w:tcPr>
          <w:p w14:paraId="4C6CB7EC"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649,1</w:t>
            </w:r>
          </w:p>
        </w:tc>
        <w:tc>
          <w:tcPr>
            <w:tcW w:w="1740" w:type="dxa"/>
            <w:tcBorders>
              <w:top w:val="nil"/>
              <w:left w:val="nil"/>
              <w:bottom w:val="single" w:sz="8" w:space="0" w:color="000000"/>
              <w:right w:val="single" w:sz="8" w:space="0" w:color="000000"/>
            </w:tcBorders>
            <w:shd w:val="clear" w:color="auto" w:fill="auto"/>
            <w:vAlign w:val="center"/>
          </w:tcPr>
          <w:p w14:paraId="01D8A5EA"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596,8</w:t>
            </w:r>
          </w:p>
        </w:tc>
        <w:tc>
          <w:tcPr>
            <w:tcW w:w="928" w:type="dxa"/>
            <w:tcBorders>
              <w:top w:val="nil"/>
              <w:left w:val="nil"/>
              <w:bottom w:val="single" w:sz="8" w:space="0" w:color="000000"/>
              <w:right w:val="single" w:sz="8" w:space="0" w:color="000000"/>
            </w:tcBorders>
            <w:shd w:val="clear" w:color="auto" w:fill="auto"/>
            <w:vAlign w:val="center"/>
          </w:tcPr>
          <w:p w14:paraId="6F61B8ED"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52,3</w:t>
            </w:r>
          </w:p>
        </w:tc>
        <w:tc>
          <w:tcPr>
            <w:tcW w:w="1812" w:type="dxa"/>
            <w:tcBorders>
              <w:top w:val="nil"/>
              <w:left w:val="nil"/>
              <w:bottom w:val="single" w:sz="8" w:space="0" w:color="000000"/>
              <w:right w:val="single" w:sz="8" w:space="0" w:color="000000"/>
            </w:tcBorders>
            <w:shd w:val="clear" w:color="auto" w:fill="auto"/>
            <w:vAlign w:val="center"/>
          </w:tcPr>
          <w:p w14:paraId="130061C6"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16,4</w:t>
            </w:r>
          </w:p>
        </w:tc>
      </w:tr>
      <w:tr w:rsidR="00C82386" w14:paraId="7D6301AE"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93E6884"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2011</w:t>
            </w:r>
          </w:p>
        </w:tc>
        <w:tc>
          <w:tcPr>
            <w:tcW w:w="1600" w:type="dxa"/>
            <w:tcBorders>
              <w:top w:val="nil"/>
              <w:left w:val="nil"/>
              <w:bottom w:val="single" w:sz="4" w:space="0" w:color="000000"/>
              <w:right w:val="single" w:sz="8" w:space="0" w:color="000000"/>
            </w:tcBorders>
            <w:shd w:val="clear" w:color="auto" w:fill="auto"/>
            <w:vAlign w:val="center"/>
          </w:tcPr>
          <w:p w14:paraId="4A3C763B"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769,8</w:t>
            </w:r>
          </w:p>
        </w:tc>
        <w:tc>
          <w:tcPr>
            <w:tcW w:w="1740" w:type="dxa"/>
            <w:tcBorders>
              <w:top w:val="nil"/>
              <w:left w:val="nil"/>
              <w:bottom w:val="single" w:sz="4" w:space="0" w:color="000000"/>
              <w:right w:val="single" w:sz="8" w:space="0" w:color="000000"/>
            </w:tcBorders>
            <w:shd w:val="clear" w:color="auto" w:fill="auto"/>
            <w:vAlign w:val="center"/>
          </w:tcPr>
          <w:p w14:paraId="0C908CF4"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687,2</w:t>
            </w:r>
          </w:p>
        </w:tc>
        <w:tc>
          <w:tcPr>
            <w:tcW w:w="928" w:type="dxa"/>
            <w:tcBorders>
              <w:top w:val="nil"/>
              <w:left w:val="nil"/>
              <w:bottom w:val="single" w:sz="4" w:space="0" w:color="000000"/>
              <w:right w:val="single" w:sz="8" w:space="0" w:color="000000"/>
            </w:tcBorders>
            <w:shd w:val="clear" w:color="auto" w:fill="auto"/>
            <w:vAlign w:val="center"/>
          </w:tcPr>
          <w:p w14:paraId="207C261D"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82,6</w:t>
            </w:r>
          </w:p>
        </w:tc>
        <w:tc>
          <w:tcPr>
            <w:tcW w:w="1812" w:type="dxa"/>
            <w:tcBorders>
              <w:top w:val="nil"/>
              <w:left w:val="nil"/>
              <w:bottom w:val="single" w:sz="4" w:space="0" w:color="000000"/>
              <w:right w:val="single" w:sz="8" w:space="0" w:color="000000"/>
            </w:tcBorders>
            <w:shd w:val="clear" w:color="auto" w:fill="auto"/>
            <w:vAlign w:val="center"/>
          </w:tcPr>
          <w:p w14:paraId="55CEE639"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24,2</w:t>
            </w:r>
          </w:p>
        </w:tc>
      </w:tr>
      <w:tr w:rsidR="00C82386" w14:paraId="00AA171F" w14:textId="77777777">
        <w:trPr>
          <w:trHeight w:val="20"/>
          <w:jc w:val="center"/>
        </w:trPr>
        <w:tc>
          <w:tcPr>
            <w:tcW w:w="960" w:type="dxa"/>
            <w:tcBorders>
              <w:top w:val="single" w:sz="4" w:space="0" w:color="000000"/>
              <w:left w:val="single" w:sz="8" w:space="0" w:color="000000"/>
              <w:bottom w:val="nil"/>
              <w:right w:val="single" w:sz="8" w:space="0" w:color="000000"/>
            </w:tcBorders>
            <w:shd w:val="clear" w:color="auto" w:fill="auto"/>
            <w:vAlign w:val="center"/>
          </w:tcPr>
          <w:p w14:paraId="5A445C68"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2012</w:t>
            </w:r>
          </w:p>
        </w:tc>
        <w:tc>
          <w:tcPr>
            <w:tcW w:w="1600" w:type="dxa"/>
            <w:tcBorders>
              <w:top w:val="single" w:sz="4" w:space="0" w:color="000000"/>
              <w:left w:val="nil"/>
              <w:bottom w:val="single" w:sz="8" w:space="0" w:color="000000"/>
              <w:right w:val="single" w:sz="8" w:space="0" w:color="000000"/>
            </w:tcBorders>
            <w:shd w:val="clear" w:color="auto" w:fill="auto"/>
            <w:vAlign w:val="center"/>
          </w:tcPr>
          <w:p w14:paraId="0B99E6B7"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1036,1</w:t>
            </w:r>
          </w:p>
        </w:tc>
        <w:tc>
          <w:tcPr>
            <w:tcW w:w="1740" w:type="dxa"/>
            <w:tcBorders>
              <w:top w:val="single" w:sz="4" w:space="0" w:color="000000"/>
              <w:left w:val="nil"/>
              <w:bottom w:val="single" w:sz="8" w:space="0" w:color="000000"/>
              <w:right w:val="single" w:sz="8" w:space="0" w:color="000000"/>
            </w:tcBorders>
            <w:shd w:val="clear" w:color="auto" w:fill="auto"/>
            <w:vAlign w:val="center"/>
          </w:tcPr>
          <w:p w14:paraId="2A34A14C"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878,2</w:t>
            </w:r>
          </w:p>
        </w:tc>
        <w:tc>
          <w:tcPr>
            <w:tcW w:w="928" w:type="dxa"/>
            <w:tcBorders>
              <w:top w:val="single" w:sz="4" w:space="0" w:color="000000"/>
              <w:left w:val="nil"/>
              <w:bottom w:val="single" w:sz="8" w:space="0" w:color="000000"/>
              <w:right w:val="single" w:sz="8" w:space="0" w:color="000000"/>
            </w:tcBorders>
            <w:shd w:val="clear" w:color="auto" w:fill="auto"/>
            <w:vAlign w:val="center"/>
          </w:tcPr>
          <w:p w14:paraId="401C9788"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157,9</w:t>
            </w:r>
          </w:p>
        </w:tc>
        <w:tc>
          <w:tcPr>
            <w:tcW w:w="1812" w:type="dxa"/>
            <w:tcBorders>
              <w:top w:val="single" w:sz="4" w:space="0" w:color="000000"/>
              <w:left w:val="nil"/>
              <w:bottom w:val="single" w:sz="8" w:space="0" w:color="000000"/>
              <w:right w:val="single" w:sz="8" w:space="0" w:color="000000"/>
            </w:tcBorders>
            <w:shd w:val="clear" w:color="auto" w:fill="auto"/>
            <w:vAlign w:val="center"/>
          </w:tcPr>
          <w:p w14:paraId="23EE1BB8"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60,2</w:t>
            </w:r>
          </w:p>
        </w:tc>
      </w:tr>
      <w:tr w:rsidR="00C82386" w14:paraId="667262E1" w14:textId="77777777">
        <w:trPr>
          <w:trHeight w:val="20"/>
          <w:jc w:val="center"/>
        </w:trPr>
        <w:tc>
          <w:tcPr>
            <w:tcW w:w="9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45B95C"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2013</w:t>
            </w:r>
          </w:p>
        </w:tc>
        <w:tc>
          <w:tcPr>
            <w:tcW w:w="1600" w:type="dxa"/>
            <w:tcBorders>
              <w:top w:val="nil"/>
              <w:left w:val="nil"/>
              <w:bottom w:val="single" w:sz="8" w:space="0" w:color="000000"/>
              <w:right w:val="single" w:sz="8" w:space="0" w:color="000000"/>
            </w:tcBorders>
            <w:shd w:val="clear" w:color="auto" w:fill="auto"/>
            <w:vAlign w:val="center"/>
          </w:tcPr>
          <w:p w14:paraId="45E4C1A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1001,9</w:t>
            </w:r>
          </w:p>
        </w:tc>
        <w:tc>
          <w:tcPr>
            <w:tcW w:w="1740" w:type="dxa"/>
            <w:tcBorders>
              <w:top w:val="nil"/>
              <w:left w:val="nil"/>
              <w:bottom w:val="single" w:sz="8" w:space="0" w:color="000000"/>
              <w:right w:val="single" w:sz="8" w:space="0" w:color="000000"/>
            </w:tcBorders>
            <w:shd w:val="clear" w:color="auto" w:fill="auto"/>
            <w:vAlign w:val="center"/>
          </w:tcPr>
          <w:p w14:paraId="73E54691"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870,9</w:t>
            </w:r>
          </w:p>
        </w:tc>
        <w:tc>
          <w:tcPr>
            <w:tcW w:w="928" w:type="dxa"/>
            <w:tcBorders>
              <w:top w:val="nil"/>
              <w:left w:val="nil"/>
              <w:bottom w:val="single" w:sz="8" w:space="0" w:color="000000"/>
              <w:right w:val="single" w:sz="8" w:space="0" w:color="000000"/>
            </w:tcBorders>
            <w:shd w:val="clear" w:color="auto" w:fill="auto"/>
            <w:vAlign w:val="center"/>
          </w:tcPr>
          <w:p w14:paraId="3DD1219C"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131,0</w:t>
            </w:r>
          </w:p>
        </w:tc>
        <w:tc>
          <w:tcPr>
            <w:tcW w:w="1812" w:type="dxa"/>
            <w:tcBorders>
              <w:top w:val="nil"/>
              <w:left w:val="nil"/>
              <w:bottom w:val="single" w:sz="8" w:space="0" w:color="000000"/>
              <w:right w:val="single" w:sz="8" w:space="0" w:color="000000"/>
            </w:tcBorders>
            <w:shd w:val="clear" w:color="auto" w:fill="auto"/>
            <w:vAlign w:val="center"/>
          </w:tcPr>
          <w:p w14:paraId="1B033E1B"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71,5</w:t>
            </w:r>
          </w:p>
        </w:tc>
      </w:tr>
      <w:tr w:rsidR="00C82386" w14:paraId="19389963"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4D48401B"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2014</w:t>
            </w:r>
          </w:p>
        </w:tc>
        <w:tc>
          <w:tcPr>
            <w:tcW w:w="1600" w:type="dxa"/>
            <w:tcBorders>
              <w:top w:val="nil"/>
              <w:left w:val="nil"/>
              <w:bottom w:val="single" w:sz="4" w:space="0" w:color="000000"/>
              <w:right w:val="single" w:sz="8" w:space="0" w:color="000000"/>
            </w:tcBorders>
            <w:shd w:val="clear" w:color="auto" w:fill="auto"/>
            <w:vAlign w:val="center"/>
          </w:tcPr>
          <w:p w14:paraId="67D03B0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1252,2</w:t>
            </w:r>
          </w:p>
        </w:tc>
        <w:tc>
          <w:tcPr>
            <w:tcW w:w="1740" w:type="dxa"/>
            <w:tcBorders>
              <w:top w:val="nil"/>
              <w:left w:val="nil"/>
              <w:bottom w:val="single" w:sz="4" w:space="0" w:color="000000"/>
              <w:right w:val="single" w:sz="8" w:space="0" w:color="000000"/>
            </w:tcBorders>
            <w:shd w:val="clear" w:color="auto" w:fill="auto"/>
            <w:vAlign w:val="center"/>
          </w:tcPr>
          <w:p w14:paraId="3A745E1F"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971,8</w:t>
            </w:r>
          </w:p>
        </w:tc>
        <w:tc>
          <w:tcPr>
            <w:tcW w:w="928" w:type="dxa"/>
            <w:tcBorders>
              <w:top w:val="nil"/>
              <w:left w:val="nil"/>
              <w:bottom w:val="single" w:sz="4" w:space="0" w:color="000000"/>
              <w:right w:val="single" w:sz="8" w:space="0" w:color="000000"/>
            </w:tcBorders>
            <w:shd w:val="clear" w:color="auto" w:fill="auto"/>
            <w:vAlign w:val="center"/>
          </w:tcPr>
          <w:p w14:paraId="1D4B8D0D"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280,4</w:t>
            </w:r>
          </w:p>
        </w:tc>
        <w:tc>
          <w:tcPr>
            <w:tcW w:w="1812" w:type="dxa"/>
            <w:tcBorders>
              <w:top w:val="nil"/>
              <w:left w:val="nil"/>
              <w:bottom w:val="single" w:sz="4" w:space="0" w:color="000000"/>
              <w:right w:val="single" w:sz="8" w:space="0" w:color="000000"/>
            </w:tcBorders>
            <w:shd w:val="clear" w:color="auto" w:fill="auto"/>
            <w:vAlign w:val="center"/>
          </w:tcPr>
          <w:p w14:paraId="766EF1A1"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85,1</w:t>
            </w:r>
          </w:p>
        </w:tc>
      </w:tr>
      <w:tr w:rsidR="00C82386" w14:paraId="2D7964AD" w14:textId="77777777">
        <w:trPr>
          <w:trHeight w:val="20"/>
          <w:jc w:val="center"/>
        </w:trPr>
        <w:tc>
          <w:tcPr>
            <w:tcW w:w="960" w:type="dxa"/>
            <w:tcBorders>
              <w:top w:val="single" w:sz="4" w:space="0" w:color="000000"/>
              <w:left w:val="single" w:sz="8" w:space="0" w:color="000000"/>
              <w:bottom w:val="single" w:sz="8" w:space="0" w:color="000000"/>
              <w:right w:val="single" w:sz="8" w:space="0" w:color="000000"/>
            </w:tcBorders>
            <w:shd w:val="clear" w:color="auto" w:fill="auto"/>
            <w:vAlign w:val="center"/>
          </w:tcPr>
          <w:p w14:paraId="2B613406"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2015</w:t>
            </w:r>
          </w:p>
        </w:tc>
        <w:tc>
          <w:tcPr>
            <w:tcW w:w="1600" w:type="dxa"/>
            <w:tcBorders>
              <w:top w:val="single" w:sz="4" w:space="0" w:color="000000"/>
              <w:left w:val="nil"/>
              <w:bottom w:val="single" w:sz="4" w:space="0" w:color="000000"/>
              <w:right w:val="single" w:sz="8" w:space="0" w:color="000000"/>
            </w:tcBorders>
            <w:shd w:val="clear" w:color="auto" w:fill="auto"/>
            <w:vAlign w:val="center"/>
          </w:tcPr>
          <w:p w14:paraId="4B15817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1523,1</w:t>
            </w:r>
          </w:p>
        </w:tc>
        <w:tc>
          <w:tcPr>
            <w:tcW w:w="1740" w:type="dxa"/>
            <w:tcBorders>
              <w:top w:val="single" w:sz="4" w:space="0" w:color="000000"/>
              <w:left w:val="nil"/>
              <w:bottom w:val="single" w:sz="4" w:space="0" w:color="000000"/>
              <w:right w:val="single" w:sz="8" w:space="0" w:color="000000"/>
            </w:tcBorders>
            <w:shd w:val="clear" w:color="auto" w:fill="auto"/>
            <w:vAlign w:val="center"/>
          </w:tcPr>
          <w:p w14:paraId="1315011C"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1508,9</w:t>
            </w:r>
          </w:p>
        </w:tc>
        <w:tc>
          <w:tcPr>
            <w:tcW w:w="928" w:type="dxa"/>
            <w:tcBorders>
              <w:top w:val="single" w:sz="4" w:space="0" w:color="000000"/>
              <w:left w:val="nil"/>
              <w:bottom w:val="single" w:sz="4" w:space="0" w:color="000000"/>
              <w:right w:val="single" w:sz="8" w:space="0" w:color="000000"/>
            </w:tcBorders>
            <w:shd w:val="clear" w:color="auto" w:fill="FFFEFF"/>
            <w:vAlign w:val="center"/>
          </w:tcPr>
          <w:p w14:paraId="27D85635"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14,2</w:t>
            </w:r>
          </w:p>
        </w:tc>
        <w:tc>
          <w:tcPr>
            <w:tcW w:w="1812" w:type="dxa"/>
            <w:tcBorders>
              <w:top w:val="single" w:sz="4" w:space="0" w:color="000000"/>
              <w:left w:val="nil"/>
              <w:bottom w:val="single" w:sz="4" w:space="0" w:color="000000"/>
              <w:right w:val="single" w:sz="8" w:space="0" w:color="000000"/>
            </w:tcBorders>
            <w:shd w:val="clear" w:color="auto" w:fill="FFFEFF"/>
            <w:vAlign w:val="center"/>
          </w:tcPr>
          <w:p w14:paraId="316FEA39"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5,6</w:t>
            </w:r>
          </w:p>
        </w:tc>
      </w:tr>
      <w:tr w:rsidR="00C82386" w14:paraId="11B5080F"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2517FDC4"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2016</w:t>
            </w:r>
          </w:p>
        </w:tc>
        <w:tc>
          <w:tcPr>
            <w:tcW w:w="1600" w:type="dxa"/>
            <w:tcBorders>
              <w:top w:val="single" w:sz="4" w:space="0" w:color="000000"/>
              <w:left w:val="nil"/>
              <w:bottom w:val="single" w:sz="4" w:space="0" w:color="000000"/>
              <w:right w:val="single" w:sz="8" w:space="0" w:color="000000"/>
            </w:tcBorders>
            <w:shd w:val="clear" w:color="auto" w:fill="auto"/>
            <w:vAlign w:val="center"/>
          </w:tcPr>
          <w:p w14:paraId="246F1588"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2042,6</w:t>
            </w:r>
          </w:p>
        </w:tc>
        <w:tc>
          <w:tcPr>
            <w:tcW w:w="1740" w:type="dxa"/>
            <w:tcBorders>
              <w:top w:val="single" w:sz="4" w:space="0" w:color="000000"/>
              <w:left w:val="nil"/>
              <w:bottom w:val="single" w:sz="4" w:space="0" w:color="000000"/>
              <w:right w:val="single" w:sz="8" w:space="0" w:color="000000"/>
            </w:tcBorders>
            <w:shd w:val="clear" w:color="auto" w:fill="auto"/>
            <w:vAlign w:val="center"/>
          </w:tcPr>
          <w:p w14:paraId="5499C744"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1979,1</w:t>
            </w:r>
          </w:p>
        </w:tc>
        <w:tc>
          <w:tcPr>
            <w:tcW w:w="928" w:type="dxa"/>
            <w:tcBorders>
              <w:top w:val="single" w:sz="4" w:space="0" w:color="000000"/>
              <w:left w:val="nil"/>
              <w:bottom w:val="single" w:sz="4" w:space="0" w:color="000000"/>
              <w:right w:val="single" w:sz="8" w:space="0" w:color="000000"/>
            </w:tcBorders>
            <w:shd w:val="clear" w:color="auto" w:fill="FFFEFF"/>
            <w:vAlign w:val="center"/>
          </w:tcPr>
          <w:p w14:paraId="2A7E52C5"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63,5</w:t>
            </w:r>
          </w:p>
        </w:tc>
        <w:tc>
          <w:tcPr>
            <w:tcW w:w="1812" w:type="dxa"/>
            <w:tcBorders>
              <w:top w:val="single" w:sz="4" w:space="0" w:color="000000"/>
              <w:left w:val="nil"/>
              <w:bottom w:val="single" w:sz="4" w:space="0" w:color="000000"/>
              <w:right w:val="single" w:sz="8" w:space="0" w:color="000000"/>
            </w:tcBorders>
            <w:shd w:val="clear" w:color="auto" w:fill="FFFEFF"/>
            <w:vAlign w:val="center"/>
          </w:tcPr>
          <w:p w14:paraId="4B3A2BF4"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10,0</w:t>
            </w:r>
          </w:p>
        </w:tc>
      </w:tr>
      <w:tr w:rsidR="00C82386" w14:paraId="4C91A252" w14:textId="77777777">
        <w:trPr>
          <w:trHeight w:val="20"/>
          <w:jc w:val="center"/>
        </w:trPr>
        <w:tc>
          <w:tcPr>
            <w:tcW w:w="960" w:type="dxa"/>
            <w:tcBorders>
              <w:top w:val="single" w:sz="4" w:space="0" w:color="000000"/>
              <w:left w:val="single" w:sz="8" w:space="0" w:color="000000"/>
              <w:bottom w:val="nil"/>
              <w:right w:val="single" w:sz="8" w:space="0" w:color="000000"/>
            </w:tcBorders>
            <w:shd w:val="clear" w:color="auto" w:fill="auto"/>
            <w:vAlign w:val="center"/>
          </w:tcPr>
          <w:p w14:paraId="6902E7CF"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2017</w:t>
            </w:r>
          </w:p>
        </w:tc>
        <w:tc>
          <w:tcPr>
            <w:tcW w:w="1600" w:type="dxa"/>
            <w:tcBorders>
              <w:top w:val="single" w:sz="4" w:space="0" w:color="000000"/>
              <w:left w:val="nil"/>
              <w:bottom w:val="single" w:sz="8" w:space="0" w:color="000000"/>
              <w:right w:val="single" w:sz="8" w:space="0" w:color="000000"/>
            </w:tcBorders>
            <w:shd w:val="clear" w:color="auto" w:fill="auto"/>
            <w:vAlign w:val="center"/>
          </w:tcPr>
          <w:p w14:paraId="2F83F187"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2859,0</w:t>
            </w:r>
          </w:p>
        </w:tc>
        <w:tc>
          <w:tcPr>
            <w:tcW w:w="1740" w:type="dxa"/>
            <w:tcBorders>
              <w:top w:val="single" w:sz="4" w:space="0" w:color="000000"/>
              <w:left w:val="nil"/>
              <w:bottom w:val="single" w:sz="8" w:space="0" w:color="000000"/>
              <w:right w:val="single" w:sz="8" w:space="0" w:color="000000"/>
            </w:tcBorders>
            <w:shd w:val="clear" w:color="auto" w:fill="auto"/>
            <w:vAlign w:val="center"/>
          </w:tcPr>
          <w:p w14:paraId="73D58F26"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2741,2</w:t>
            </w:r>
          </w:p>
        </w:tc>
        <w:tc>
          <w:tcPr>
            <w:tcW w:w="928" w:type="dxa"/>
            <w:tcBorders>
              <w:top w:val="single" w:sz="4" w:space="0" w:color="000000"/>
              <w:left w:val="nil"/>
              <w:bottom w:val="single" w:sz="8" w:space="0" w:color="000000"/>
              <w:right w:val="single" w:sz="8" w:space="0" w:color="000000"/>
            </w:tcBorders>
            <w:shd w:val="clear" w:color="auto" w:fill="FFFEFF"/>
            <w:vAlign w:val="center"/>
          </w:tcPr>
          <w:p w14:paraId="62E18D1A"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117,8</w:t>
            </w:r>
          </w:p>
        </w:tc>
        <w:tc>
          <w:tcPr>
            <w:tcW w:w="1812" w:type="dxa"/>
            <w:tcBorders>
              <w:top w:val="single" w:sz="4" w:space="0" w:color="000000"/>
              <w:left w:val="nil"/>
              <w:bottom w:val="single" w:sz="8" w:space="0" w:color="000000"/>
              <w:right w:val="single" w:sz="8" w:space="0" w:color="000000"/>
            </w:tcBorders>
            <w:shd w:val="clear" w:color="auto" w:fill="FFFEFF"/>
            <w:vAlign w:val="center"/>
          </w:tcPr>
          <w:p w14:paraId="01EF18A8"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41,5</w:t>
            </w:r>
          </w:p>
        </w:tc>
      </w:tr>
      <w:tr w:rsidR="00C82386" w14:paraId="33FF2775" w14:textId="77777777">
        <w:trPr>
          <w:trHeight w:val="20"/>
          <w:jc w:val="center"/>
        </w:trPr>
        <w:tc>
          <w:tcPr>
            <w:tcW w:w="9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0D13F6"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2018</w:t>
            </w:r>
          </w:p>
        </w:tc>
        <w:tc>
          <w:tcPr>
            <w:tcW w:w="1600" w:type="dxa"/>
            <w:tcBorders>
              <w:top w:val="nil"/>
              <w:left w:val="nil"/>
              <w:bottom w:val="single" w:sz="8" w:space="0" w:color="000000"/>
              <w:right w:val="single" w:sz="8" w:space="0" w:color="000000"/>
            </w:tcBorders>
            <w:shd w:val="clear" w:color="auto" w:fill="auto"/>
            <w:vAlign w:val="center"/>
          </w:tcPr>
          <w:p w14:paraId="32C38BA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3154,2</w:t>
            </w:r>
          </w:p>
        </w:tc>
        <w:tc>
          <w:tcPr>
            <w:tcW w:w="1740" w:type="dxa"/>
            <w:tcBorders>
              <w:top w:val="nil"/>
              <w:left w:val="nil"/>
              <w:bottom w:val="single" w:sz="8" w:space="0" w:color="000000"/>
              <w:right w:val="single" w:sz="8" w:space="0" w:color="000000"/>
            </w:tcBorders>
            <w:shd w:val="clear" w:color="auto" w:fill="auto"/>
            <w:vAlign w:val="center"/>
          </w:tcPr>
          <w:p w14:paraId="12D04900"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3014,9</w:t>
            </w:r>
          </w:p>
        </w:tc>
        <w:tc>
          <w:tcPr>
            <w:tcW w:w="928" w:type="dxa"/>
            <w:tcBorders>
              <w:top w:val="nil"/>
              <w:left w:val="nil"/>
              <w:bottom w:val="single" w:sz="8" w:space="0" w:color="000000"/>
              <w:right w:val="single" w:sz="8" w:space="0" w:color="000000"/>
            </w:tcBorders>
            <w:shd w:val="clear" w:color="auto" w:fill="FFFEFF"/>
            <w:vAlign w:val="center"/>
          </w:tcPr>
          <w:p w14:paraId="5B8D509A"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139,3</w:t>
            </w:r>
          </w:p>
        </w:tc>
        <w:tc>
          <w:tcPr>
            <w:tcW w:w="1812" w:type="dxa"/>
            <w:tcBorders>
              <w:top w:val="nil"/>
              <w:left w:val="nil"/>
              <w:bottom w:val="single" w:sz="8" w:space="0" w:color="000000"/>
              <w:right w:val="single" w:sz="8" w:space="0" w:color="000000"/>
            </w:tcBorders>
            <w:shd w:val="clear" w:color="auto" w:fill="FFFEFF"/>
            <w:vAlign w:val="center"/>
          </w:tcPr>
          <w:p w14:paraId="575A0859"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52,6</w:t>
            </w:r>
          </w:p>
        </w:tc>
      </w:tr>
      <w:tr w:rsidR="00C82386" w14:paraId="36C5440D"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E998746"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2019</w:t>
            </w:r>
          </w:p>
        </w:tc>
        <w:tc>
          <w:tcPr>
            <w:tcW w:w="1600" w:type="dxa"/>
            <w:tcBorders>
              <w:top w:val="nil"/>
              <w:left w:val="nil"/>
              <w:bottom w:val="single" w:sz="4" w:space="0" w:color="000000"/>
              <w:right w:val="single" w:sz="8" w:space="0" w:color="000000"/>
            </w:tcBorders>
            <w:shd w:val="clear" w:color="auto" w:fill="auto"/>
            <w:vAlign w:val="center"/>
          </w:tcPr>
          <w:p w14:paraId="42E7651E"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3186,3</w:t>
            </w:r>
          </w:p>
        </w:tc>
        <w:tc>
          <w:tcPr>
            <w:tcW w:w="1740" w:type="dxa"/>
            <w:tcBorders>
              <w:top w:val="nil"/>
              <w:left w:val="nil"/>
              <w:bottom w:val="single" w:sz="4" w:space="0" w:color="000000"/>
              <w:right w:val="single" w:sz="8" w:space="0" w:color="000000"/>
            </w:tcBorders>
            <w:shd w:val="clear" w:color="auto" w:fill="auto"/>
            <w:vAlign w:val="center"/>
          </w:tcPr>
          <w:p w14:paraId="421EFDD3"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3003,5</w:t>
            </w:r>
          </w:p>
        </w:tc>
        <w:tc>
          <w:tcPr>
            <w:tcW w:w="928" w:type="dxa"/>
            <w:tcBorders>
              <w:top w:val="nil"/>
              <w:left w:val="nil"/>
              <w:bottom w:val="single" w:sz="4" w:space="0" w:color="000000"/>
              <w:right w:val="single" w:sz="8" w:space="0" w:color="000000"/>
            </w:tcBorders>
            <w:shd w:val="clear" w:color="auto" w:fill="FFFEFF"/>
            <w:vAlign w:val="center"/>
          </w:tcPr>
          <w:p w14:paraId="39FC5DE5"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182,8</w:t>
            </w:r>
          </w:p>
        </w:tc>
        <w:tc>
          <w:tcPr>
            <w:tcW w:w="1812" w:type="dxa"/>
            <w:tcBorders>
              <w:top w:val="nil"/>
              <w:left w:val="nil"/>
              <w:bottom w:val="single" w:sz="4" w:space="0" w:color="000000"/>
              <w:right w:val="single" w:sz="8" w:space="0" w:color="000000"/>
            </w:tcBorders>
            <w:shd w:val="clear" w:color="auto" w:fill="FFFEFF"/>
            <w:vAlign w:val="center"/>
          </w:tcPr>
          <w:p w14:paraId="21AAF6A8"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98,8</w:t>
            </w:r>
          </w:p>
        </w:tc>
      </w:tr>
      <w:tr w:rsidR="00C82386" w14:paraId="70DBC6AA" w14:textId="77777777">
        <w:trPr>
          <w:trHeight w:val="2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08954"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2020</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136DB"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2749,6</w:t>
            </w:r>
          </w:p>
        </w:tc>
        <w:tc>
          <w:tcPr>
            <w:tcW w:w="17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23326" w14:textId="77777777" w:rsidR="00C82386" w:rsidRDefault="00E66F64">
            <w:pPr>
              <w:spacing w:after="0"/>
              <w:ind w:firstLine="41"/>
              <w:jc w:val="center"/>
              <w:rPr>
                <w:rFonts w:ascii="Times New Roman" w:eastAsia="Times New Roman" w:hAnsi="Times New Roman" w:cs="Times New Roman"/>
              </w:rPr>
            </w:pPr>
            <w:r>
              <w:rPr>
                <w:rFonts w:ascii="Times New Roman" w:eastAsia="Times New Roman" w:hAnsi="Times New Roman" w:cs="Times New Roman"/>
              </w:rPr>
              <w:t>2583,7</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0E623" w14:textId="77777777" w:rsidR="00C82386" w:rsidRDefault="00E66F64">
            <w:pPr>
              <w:spacing w:after="0"/>
              <w:ind w:firstLine="2"/>
              <w:jc w:val="center"/>
              <w:rPr>
                <w:rFonts w:ascii="Times New Roman" w:eastAsia="Times New Roman" w:hAnsi="Times New Roman" w:cs="Times New Roman"/>
              </w:rPr>
            </w:pPr>
            <w:r>
              <w:rPr>
                <w:rFonts w:ascii="Times New Roman" w:eastAsia="Times New Roman" w:hAnsi="Times New Roman" w:cs="Times New Roman"/>
              </w:rPr>
              <w:t>166,0</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9B96F" w14:textId="77777777" w:rsidR="00C82386" w:rsidRDefault="00E66F64">
            <w:pPr>
              <w:spacing w:after="0"/>
              <w:ind w:firstLine="66"/>
              <w:jc w:val="center"/>
              <w:rPr>
                <w:rFonts w:ascii="Times New Roman" w:eastAsia="Times New Roman" w:hAnsi="Times New Roman" w:cs="Times New Roman"/>
              </w:rPr>
            </w:pPr>
            <w:r>
              <w:rPr>
                <w:rFonts w:ascii="Times New Roman" w:eastAsia="Times New Roman" w:hAnsi="Times New Roman" w:cs="Times New Roman"/>
              </w:rPr>
              <w:t>63,7</w:t>
            </w:r>
          </w:p>
        </w:tc>
      </w:tr>
    </w:tbl>
    <w:p w14:paraId="3A6164D0"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Середній розмір доходів бюджету розвитку за період 2010-2020 рр. склав 48,1 млн. грн. Динаміка бюджету міста Житомира є похідною від стану розвитку економіки як окремо міста, так і України в цілому.</w:t>
      </w:r>
    </w:p>
    <w:p w14:paraId="45655F8C"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2.9. представлені обсяги та структура доходів міського бюджету м. Житомира за період 2010-2020 рр.</w:t>
      </w:r>
    </w:p>
    <w:p w14:paraId="5D0F4B7C" w14:textId="77777777" w:rsidR="00677211" w:rsidRDefault="00677211" w:rsidP="00677211">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Дохідна частина міського бюджету протягом 2010-2019 рр. мала постійне зростання. Відсоток приросту доходів за період 2011-2019 рік склав у середньому 15,6%. При тому середній процент інфляції річної інфляції за той же період склав 12,6%. Таким чином, навіть з урахуванням інфляції м. Житомир мало зростання розміру доходів бюджету. Пандемія коронавірусу, що розпочалася 2020 році вплинула на економічну ситуацію у всьому світі і призвела до значного скорочення економічних показників.</w:t>
      </w:r>
    </w:p>
    <w:p w14:paraId="2ECFB4C8" w14:textId="77777777" w:rsidR="00677211" w:rsidRDefault="00677211">
      <w:pPr>
        <w:spacing w:before="120" w:after="0"/>
        <w:ind w:firstLine="709"/>
        <w:jc w:val="both"/>
        <w:rPr>
          <w:rFonts w:ascii="Times New Roman" w:eastAsia="Times New Roman" w:hAnsi="Times New Roman" w:cs="Times New Roman"/>
          <w:sz w:val="24"/>
          <w:szCs w:val="24"/>
        </w:rPr>
      </w:pPr>
    </w:p>
    <w:p w14:paraId="7157233C" w14:textId="77777777" w:rsidR="00C82386" w:rsidRDefault="00E66F64">
      <w:pPr>
        <w:pBdr>
          <w:top w:val="nil"/>
          <w:left w:val="nil"/>
          <w:bottom w:val="nil"/>
          <w:right w:val="nil"/>
          <w:between w:val="nil"/>
        </w:pBdr>
        <w:spacing w:after="0"/>
        <w:jc w:val="center"/>
        <w:rPr>
          <w:rFonts w:ascii="Times New Roman" w:eastAsia="Times New Roman" w:hAnsi="Times New Roman" w:cs="Times New Roman"/>
          <w:color w:val="000000"/>
        </w:rPr>
      </w:pPr>
      <w:r>
        <w:rPr>
          <w:noProof/>
          <w:color w:val="000000"/>
          <w:lang w:val="ru-RU"/>
        </w:rPr>
        <w:lastRenderedPageBreak/>
        <w:drawing>
          <wp:inline distT="0" distB="0" distL="0" distR="0" wp14:anchorId="61FD4F04" wp14:editId="4DCD43AA">
            <wp:extent cx="5505821" cy="3276963"/>
            <wp:effectExtent l="0" t="0" r="0" b="0"/>
            <wp:docPr id="2144251935" name="Диаграмма 21442519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6EFB90C" w14:textId="77777777" w:rsidR="00C82386" w:rsidRDefault="00E66F64">
      <w:p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2.9. Структура доходів міського бюджету м. Житомир за період 2010-2020 рр.</w:t>
      </w:r>
    </w:p>
    <w:p w14:paraId="259ACBC4" w14:textId="77777777" w:rsidR="00677211" w:rsidRDefault="00677211">
      <w:pPr>
        <w:spacing w:after="0"/>
        <w:ind w:firstLine="709"/>
        <w:rPr>
          <w:rFonts w:ascii="Times New Roman" w:eastAsia="Times New Roman" w:hAnsi="Times New Roman" w:cs="Times New Roman"/>
          <w:sz w:val="24"/>
          <w:szCs w:val="24"/>
        </w:rPr>
      </w:pPr>
    </w:p>
    <w:p w14:paraId="3E87DFD7"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бюджету міста Житомира за 2010-2020 роки наведені у таблиці 2.8.</w:t>
      </w:r>
    </w:p>
    <w:p w14:paraId="7DA31970" w14:textId="77777777" w:rsidR="00C82386" w:rsidRDefault="00E66F64">
      <w:pPr>
        <w:spacing w:after="0"/>
        <w:ind w:right="-22"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2.8.</w:t>
      </w:r>
    </w:p>
    <w:p w14:paraId="7513D1D3" w14:textId="77777777" w:rsidR="00C82386" w:rsidRDefault="00E66F64">
      <w:pPr>
        <w:spacing w:after="0"/>
        <w:ind w:right="1088"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бюджету міста Житомира за 2010-2020 роки</w:t>
      </w:r>
    </w:p>
    <w:tbl>
      <w:tblPr>
        <w:tblStyle w:val="afff8"/>
        <w:tblW w:w="7087" w:type="dxa"/>
        <w:jc w:val="center"/>
        <w:tblInd w:w="0" w:type="dxa"/>
        <w:tblLayout w:type="fixed"/>
        <w:tblLook w:val="0400" w:firstRow="0" w:lastRow="0" w:firstColumn="0" w:lastColumn="0" w:noHBand="0" w:noVBand="1"/>
      </w:tblPr>
      <w:tblGrid>
        <w:gridCol w:w="960"/>
        <w:gridCol w:w="1600"/>
        <w:gridCol w:w="1629"/>
        <w:gridCol w:w="1086"/>
        <w:gridCol w:w="1812"/>
      </w:tblGrid>
      <w:tr w:rsidR="00C82386" w14:paraId="14E9BC17" w14:textId="77777777">
        <w:trPr>
          <w:trHeight w:val="20"/>
          <w:jc w:val="center"/>
        </w:trPr>
        <w:tc>
          <w:tcPr>
            <w:tcW w:w="9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4657A79" w14:textId="77777777" w:rsidR="00C82386" w:rsidRDefault="00E66F64">
            <w:pPr>
              <w:spacing w:after="0"/>
              <w:ind w:firstLine="49"/>
              <w:rPr>
                <w:rFonts w:ascii="Times New Roman" w:eastAsia="Times New Roman" w:hAnsi="Times New Roman" w:cs="Times New Roman"/>
                <w:b/>
              </w:rPr>
            </w:pPr>
            <w:r>
              <w:rPr>
                <w:rFonts w:ascii="Times New Roman" w:eastAsia="Times New Roman" w:hAnsi="Times New Roman" w:cs="Times New Roman"/>
                <w:b/>
              </w:rPr>
              <w:t>Роки</w:t>
            </w: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4184050" w14:textId="77777777" w:rsidR="00C82386" w:rsidRDefault="00E66F64">
            <w:pPr>
              <w:spacing w:after="0"/>
              <w:ind w:firstLine="81"/>
              <w:jc w:val="center"/>
              <w:rPr>
                <w:rFonts w:ascii="Times New Roman" w:eastAsia="Times New Roman" w:hAnsi="Times New Roman" w:cs="Times New Roman"/>
                <w:b/>
              </w:rPr>
            </w:pPr>
            <w:r>
              <w:rPr>
                <w:rFonts w:ascii="Times New Roman" w:eastAsia="Times New Roman" w:hAnsi="Times New Roman" w:cs="Times New Roman"/>
                <w:b/>
              </w:rPr>
              <w:t>Разом видатки бюджету,</w:t>
            </w:r>
            <w:r>
              <w:rPr>
                <w:rFonts w:ascii="Times New Roman" w:eastAsia="Times New Roman" w:hAnsi="Times New Roman" w:cs="Times New Roman"/>
                <w:b/>
              </w:rPr>
              <w:br/>
              <w:t xml:space="preserve"> млн. грн.</w:t>
            </w:r>
          </w:p>
        </w:tc>
        <w:tc>
          <w:tcPr>
            <w:tcW w:w="162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167F410" w14:textId="77777777" w:rsidR="00C82386" w:rsidRDefault="00E66F64">
            <w:pPr>
              <w:spacing w:after="0" w:line="240" w:lineRule="auto"/>
              <w:ind w:firstLine="41"/>
              <w:jc w:val="center"/>
              <w:rPr>
                <w:rFonts w:ascii="Times New Roman" w:eastAsia="Times New Roman" w:hAnsi="Times New Roman" w:cs="Times New Roman"/>
                <w:b/>
              </w:rPr>
            </w:pPr>
            <w:r>
              <w:rPr>
                <w:rFonts w:ascii="Times New Roman" w:eastAsia="Times New Roman" w:hAnsi="Times New Roman" w:cs="Times New Roman"/>
                <w:b/>
              </w:rPr>
              <w:t>Загальний фонд, видатки,</w:t>
            </w:r>
            <w:r>
              <w:rPr>
                <w:rFonts w:ascii="Times New Roman" w:eastAsia="Times New Roman" w:hAnsi="Times New Roman" w:cs="Times New Roman"/>
                <w:b/>
              </w:rPr>
              <w:br/>
              <w:t>млн. грн.</w:t>
            </w:r>
          </w:p>
        </w:tc>
        <w:tc>
          <w:tcPr>
            <w:tcW w:w="2898" w:type="dxa"/>
            <w:gridSpan w:val="2"/>
            <w:tcBorders>
              <w:top w:val="single" w:sz="8" w:space="0" w:color="000000"/>
              <w:left w:val="nil"/>
              <w:bottom w:val="nil"/>
              <w:right w:val="single" w:sz="8" w:space="0" w:color="000000"/>
            </w:tcBorders>
            <w:shd w:val="clear" w:color="auto" w:fill="auto"/>
            <w:vAlign w:val="center"/>
          </w:tcPr>
          <w:p w14:paraId="0C0AC9BB"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Спеціальний фонд, видатки</w:t>
            </w:r>
          </w:p>
        </w:tc>
      </w:tr>
      <w:tr w:rsidR="00C82386" w14:paraId="73E02C61" w14:textId="77777777">
        <w:trPr>
          <w:trHeight w:val="20"/>
          <w:jc w:val="center"/>
        </w:trPr>
        <w:tc>
          <w:tcPr>
            <w:tcW w:w="9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E1835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0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77FBD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29"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105C38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2898" w:type="dxa"/>
            <w:gridSpan w:val="2"/>
            <w:tcBorders>
              <w:top w:val="nil"/>
              <w:left w:val="nil"/>
              <w:bottom w:val="single" w:sz="8" w:space="0" w:color="000000"/>
              <w:right w:val="single" w:sz="8" w:space="0" w:color="000000"/>
            </w:tcBorders>
            <w:shd w:val="clear" w:color="auto" w:fill="auto"/>
            <w:vAlign w:val="center"/>
          </w:tcPr>
          <w:p w14:paraId="052B942D"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млн. грн.</w:t>
            </w:r>
          </w:p>
        </w:tc>
      </w:tr>
      <w:tr w:rsidR="00C82386" w14:paraId="32287698" w14:textId="77777777">
        <w:trPr>
          <w:trHeight w:val="20"/>
          <w:jc w:val="center"/>
        </w:trPr>
        <w:tc>
          <w:tcPr>
            <w:tcW w:w="9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A13819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0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960785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629"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F4A73F"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rPr>
            </w:pPr>
          </w:p>
        </w:tc>
        <w:tc>
          <w:tcPr>
            <w:tcW w:w="1086" w:type="dxa"/>
            <w:tcBorders>
              <w:top w:val="nil"/>
              <w:left w:val="nil"/>
              <w:bottom w:val="single" w:sz="8" w:space="0" w:color="000000"/>
              <w:right w:val="single" w:sz="8" w:space="0" w:color="000000"/>
            </w:tcBorders>
            <w:shd w:val="clear" w:color="auto" w:fill="auto"/>
            <w:vAlign w:val="center"/>
          </w:tcPr>
          <w:p w14:paraId="18C10457" w14:textId="77777777" w:rsidR="00C82386" w:rsidRDefault="00E66F64">
            <w:pPr>
              <w:spacing w:after="0"/>
              <w:ind w:firstLine="2"/>
              <w:jc w:val="center"/>
              <w:rPr>
                <w:rFonts w:ascii="Times New Roman" w:eastAsia="Times New Roman" w:hAnsi="Times New Roman" w:cs="Times New Roman"/>
                <w:b/>
              </w:rPr>
            </w:pPr>
            <w:r>
              <w:rPr>
                <w:rFonts w:ascii="Times New Roman" w:eastAsia="Times New Roman" w:hAnsi="Times New Roman" w:cs="Times New Roman"/>
                <w:b/>
              </w:rPr>
              <w:t>Разом</w:t>
            </w:r>
          </w:p>
        </w:tc>
        <w:tc>
          <w:tcPr>
            <w:tcW w:w="1812" w:type="dxa"/>
            <w:tcBorders>
              <w:top w:val="nil"/>
              <w:left w:val="nil"/>
              <w:bottom w:val="single" w:sz="8" w:space="0" w:color="000000"/>
              <w:right w:val="single" w:sz="8" w:space="0" w:color="000000"/>
            </w:tcBorders>
            <w:shd w:val="clear" w:color="auto" w:fill="auto"/>
            <w:vAlign w:val="center"/>
          </w:tcPr>
          <w:p w14:paraId="3FD03906" w14:textId="77777777" w:rsidR="00C82386" w:rsidRDefault="00E66F64">
            <w:pPr>
              <w:spacing w:after="0"/>
              <w:ind w:firstLine="66"/>
              <w:jc w:val="center"/>
              <w:rPr>
                <w:rFonts w:ascii="Times New Roman" w:eastAsia="Times New Roman" w:hAnsi="Times New Roman" w:cs="Times New Roman"/>
                <w:b/>
              </w:rPr>
            </w:pPr>
            <w:r>
              <w:rPr>
                <w:rFonts w:ascii="Times New Roman" w:eastAsia="Times New Roman" w:hAnsi="Times New Roman" w:cs="Times New Roman"/>
                <w:b/>
              </w:rPr>
              <w:t>у т. ч. бюджет розвитку</w:t>
            </w:r>
          </w:p>
        </w:tc>
      </w:tr>
      <w:tr w:rsidR="00C82386" w14:paraId="512748FA"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55A6FC5"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2010</w:t>
            </w:r>
          </w:p>
        </w:tc>
        <w:tc>
          <w:tcPr>
            <w:tcW w:w="1600" w:type="dxa"/>
            <w:tcBorders>
              <w:top w:val="nil"/>
              <w:left w:val="nil"/>
              <w:bottom w:val="single" w:sz="8" w:space="0" w:color="000000"/>
              <w:right w:val="single" w:sz="8" w:space="0" w:color="000000"/>
            </w:tcBorders>
            <w:shd w:val="clear" w:color="auto" w:fill="auto"/>
          </w:tcPr>
          <w:p w14:paraId="097ECE8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670,4</w:t>
            </w:r>
          </w:p>
        </w:tc>
        <w:tc>
          <w:tcPr>
            <w:tcW w:w="1629" w:type="dxa"/>
            <w:tcBorders>
              <w:top w:val="nil"/>
              <w:left w:val="nil"/>
              <w:bottom w:val="single" w:sz="8" w:space="0" w:color="000000"/>
              <w:right w:val="single" w:sz="8" w:space="0" w:color="000000"/>
            </w:tcBorders>
            <w:shd w:val="clear" w:color="auto" w:fill="auto"/>
          </w:tcPr>
          <w:p w14:paraId="60C500F4"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603,6</w:t>
            </w:r>
          </w:p>
        </w:tc>
        <w:tc>
          <w:tcPr>
            <w:tcW w:w="1086" w:type="dxa"/>
            <w:tcBorders>
              <w:top w:val="nil"/>
              <w:left w:val="nil"/>
              <w:bottom w:val="single" w:sz="8" w:space="0" w:color="000000"/>
              <w:right w:val="single" w:sz="8" w:space="0" w:color="000000"/>
            </w:tcBorders>
            <w:shd w:val="clear" w:color="auto" w:fill="auto"/>
          </w:tcPr>
          <w:p w14:paraId="00C28588"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66,8</w:t>
            </w:r>
          </w:p>
        </w:tc>
        <w:tc>
          <w:tcPr>
            <w:tcW w:w="1812" w:type="dxa"/>
            <w:tcBorders>
              <w:top w:val="nil"/>
              <w:left w:val="nil"/>
              <w:bottom w:val="single" w:sz="8" w:space="0" w:color="000000"/>
              <w:right w:val="single" w:sz="8" w:space="0" w:color="000000"/>
            </w:tcBorders>
            <w:shd w:val="clear" w:color="auto" w:fill="auto"/>
          </w:tcPr>
          <w:p w14:paraId="418973AB"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20,3</w:t>
            </w:r>
          </w:p>
        </w:tc>
      </w:tr>
      <w:tr w:rsidR="00C82386" w14:paraId="7F54DDAE" w14:textId="77777777">
        <w:trPr>
          <w:trHeight w:val="20"/>
          <w:jc w:val="center"/>
        </w:trPr>
        <w:tc>
          <w:tcPr>
            <w:tcW w:w="960" w:type="dxa"/>
            <w:tcBorders>
              <w:top w:val="single" w:sz="4" w:space="0" w:color="000000"/>
              <w:left w:val="single" w:sz="8" w:space="0" w:color="000000"/>
              <w:bottom w:val="single" w:sz="8" w:space="0" w:color="000000"/>
              <w:right w:val="single" w:sz="8" w:space="0" w:color="000000"/>
            </w:tcBorders>
            <w:shd w:val="clear" w:color="auto" w:fill="auto"/>
            <w:vAlign w:val="center"/>
          </w:tcPr>
          <w:p w14:paraId="6B278CAA"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2011</w:t>
            </w:r>
          </w:p>
        </w:tc>
        <w:tc>
          <w:tcPr>
            <w:tcW w:w="1600" w:type="dxa"/>
            <w:tcBorders>
              <w:top w:val="nil"/>
              <w:left w:val="nil"/>
              <w:bottom w:val="single" w:sz="8" w:space="0" w:color="000000"/>
              <w:right w:val="single" w:sz="8" w:space="0" w:color="000000"/>
            </w:tcBorders>
            <w:shd w:val="clear" w:color="auto" w:fill="auto"/>
          </w:tcPr>
          <w:p w14:paraId="674C3A89"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769,8</w:t>
            </w:r>
          </w:p>
        </w:tc>
        <w:tc>
          <w:tcPr>
            <w:tcW w:w="1629" w:type="dxa"/>
            <w:tcBorders>
              <w:top w:val="nil"/>
              <w:left w:val="nil"/>
              <w:bottom w:val="single" w:sz="8" w:space="0" w:color="000000"/>
              <w:right w:val="single" w:sz="8" w:space="0" w:color="000000"/>
            </w:tcBorders>
            <w:shd w:val="clear" w:color="auto" w:fill="auto"/>
          </w:tcPr>
          <w:p w14:paraId="726E7F7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669,4</w:t>
            </w:r>
          </w:p>
        </w:tc>
        <w:tc>
          <w:tcPr>
            <w:tcW w:w="1086" w:type="dxa"/>
            <w:tcBorders>
              <w:top w:val="nil"/>
              <w:left w:val="nil"/>
              <w:bottom w:val="single" w:sz="8" w:space="0" w:color="000000"/>
              <w:right w:val="single" w:sz="8" w:space="0" w:color="000000"/>
            </w:tcBorders>
            <w:shd w:val="clear" w:color="auto" w:fill="auto"/>
          </w:tcPr>
          <w:p w14:paraId="141C24E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100,4</w:t>
            </w:r>
          </w:p>
        </w:tc>
        <w:tc>
          <w:tcPr>
            <w:tcW w:w="1812" w:type="dxa"/>
            <w:tcBorders>
              <w:top w:val="nil"/>
              <w:left w:val="nil"/>
              <w:bottom w:val="single" w:sz="8" w:space="0" w:color="000000"/>
              <w:right w:val="single" w:sz="8" w:space="0" w:color="000000"/>
            </w:tcBorders>
            <w:shd w:val="clear" w:color="auto" w:fill="auto"/>
          </w:tcPr>
          <w:p w14:paraId="16C0D916"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32,2</w:t>
            </w:r>
          </w:p>
        </w:tc>
      </w:tr>
      <w:tr w:rsidR="00C82386" w14:paraId="36FAC289"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75C9615B"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2012</w:t>
            </w:r>
          </w:p>
        </w:tc>
        <w:tc>
          <w:tcPr>
            <w:tcW w:w="1600" w:type="dxa"/>
            <w:tcBorders>
              <w:top w:val="nil"/>
              <w:left w:val="nil"/>
              <w:bottom w:val="single" w:sz="4" w:space="0" w:color="000000"/>
              <w:right w:val="single" w:sz="8" w:space="0" w:color="000000"/>
            </w:tcBorders>
            <w:shd w:val="clear" w:color="auto" w:fill="auto"/>
          </w:tcPr>
          <w:p w14:paraId="49A8D7B8"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1038,2</w:t>
            </w:r>
          </w:p>
        </w:tc>
        <w:tc>
          <w:tcPr>
            <w:tcW w:w="1629" w:type="dxa"/>
            <w:tcBorders>
              <w:top w:val="nil"/>
              <w:left w:val="nil"/>
              <w:bottom w:val="single" w:sz="4" w:space="0" w:color="000000"/>
              <w:right w:val="single" w:sz="8" w:space="0" w:color="000000"/>
            </w:tcBorders>
            <w:shd w:val="clear" w:color="auto" w:fill="auto"/>
          </w:tcPr>
          <w:p w14:paraId="6D688AD4"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889,3</w:t>
            </w:r>
          </w:p>
        </w:tc>
        <w:tc>
          <w:tcPr>
            <w:tcW w:w="1086" w:type="dxa"/>
            <w:tcBorders>
              <w:top w:val="nil"/>
              <w:left w:val="nil"/>
              <w:bottom w:val="single" w:sz="4" w:space="0" w:color="000000"/>
              <w:right w:val="single" w:sz="8" w:space="0" w:color="000000"/>
            </w:tcBorders>
            <w:shd w:val="clear" w:color="auto" w:fill="auto"/>
          </w:tcPr>
          <w:p w14:paraId="5EA2D0D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148,7</w:t>
            </w:r>
          </w:p>
        </w:tc>
        <w:tc>
          <w:tcPr>
            <w:tcW w:w="1812" w:type="dxa"/>
            <w:tcBorders>
              <w:top w:val="nil"/>
              <w:left w:val="nil"/>
              <w:bottom w:val="single" w:sz="4" w:space="0" w:color="000000"/>
              <w:right w:val="single" w:sz="8" w:space="0" w:color="000000"/>
            </w:tcBorders>
            <w:shd w:val="clear" w:color="auto" w:fill="auto"/>
          </w:tcPr>
          <w:p w14:paraId="2731A7B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55,3</w:t>
            </w:r>
          </w:p>
        </w:tc>
      </w:tr>
      <w:tr w:rsidR="00C82386" w14:paraId="09D652DB" w14:textId="77777777">
        <w:trPr>
          <w:trHeight w:val="20"/>
          <w:jc w:val="center"/>
        </w:trPr>
        <w:tc>
          <w:tcPr>
            <w:tcW w:w="960" w:type="dxa"/>
            <w:tcBorders>
              <w:top w:val="single" w:sz="4" w:space="0" w:color="000000"/>
              <w:left w:val="single" w:sz="8" w:space="0" w:color="000000"/>
              <w:bottom w:val="nil"/>
              <w:right w:val="single" w:sz="8" w:space="0" w:color="000000"/>
            </w:tcBorders>
            <w:shd w:val="clear" w:color="auto" w:fill="auto"/>
            <w:vAlign w:val="center"/>
          </w:tcPr>
          <w:p w14:paraId="4D05D311"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2013</w:t>
            </w:r>
          </w:p>
        </w:tc>
        <w:tc>
          <w:tcPr>
            <w:tcW w:w="1600" w:type="dxa"/>
            <w:tcBorders>
              <w:top w:val="single" w:sz="4" w:space="0" w:color="000000"/>
              <w:left w:val="nil"/>
              <w:bottom w:val="single" w:sz="8" w:space="0" w:color="000000"/>
              <w:right w:val="single" w:sz="8" w:space="0" w:color="000000"/>
            </w:tcBorders>
            <w:shd w:val="clear" w:color="auto" w:fill="auto"/>
          </w:tcPr>
          <w:p w14:paraId="737F1016"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1010,9</w:t>
            </w:r>
          </w:p>
        </w:tc>
        <w:tc>
          <w:tcPr>
            <w:tcW w:w="1629" w:type="dxa"/>
            <w:tcBorders>
              <w:top w:val="single" w:sz="4" w:space="0" w:color="000000"/>
              <w:left w:val="nil"/>
              <w:bottom w:val="single" w:sz="8" w:space="0" w:color="000000"/>
              <w:right w:val="single" w:sz="8" w:space="0" w:color="000000"/>
            </w:tcBorders>
            <w:shd w:val="clear" w:color="auto" w:fill="auto"/>
          </w:tcPr>
          <w:p w14:paraId="6C98FED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881,1</w:t>
            </w:r>
          </w:p>
        </w:tc>
        <w:tc>
          <w:tcPr>
            <w:tcW w:w="1086" w:type="dxa"/>
            <w:tcBorders>
              <w:top w:val="single" w:sz="4" w:space="0" w:color="000000"/>
              <w:left w:val="nil"/>
              <w:bottom w:val="single" w:sz="8" w:space="0" w:color="000000"/>
              <w:right w:val="single" w:sz="8" w:space="0" w:color="000000"/>
            </w:tcBorders>
            <w:shd w:val="clear" w:color="auto" w:fill="auto"/>
          </w:tcPr>
          <w:p w14:paraId="4474AE9B"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129,8</w:t>
            </w:r>
          </w:p>
        </w:tc>
        <w:tc>
          <w:tcPr>
            <w:tcW w:w="1812" w:type="dxa"/>
            <w:tcBorders>
              <w:top w:val="single" w:sz="4" w:space="0" w:color="000000"/>
              <w:left w:val="nil"/>
              <w:bottom w:val="single" w:sz="8" w:space="0" w:color="000000"/>
              <w:right w:val="single" w:sz="8" w:space="0" w:color="000000"/>
            </w:tcBorders>
            <w:shd w:val="clear" w:color="auto" w:fill="auto"/>
          </w:tcPr>
          <w:p w14:paraId="4B5B54F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62,6</w:t>
            </w:r>
          </w:p>
        </w:tc>
      </w:tr>
      <w:tr w:rsidR="00C82386" w14:paraId="16205875" w14:textId="77777777">
        <w:trPr>
          <w:trHeight w:val="20"/>
          <w:jc w:val="center"/>
        </w:trPr>
        <w:tc>
          <w:tcPr>
            <w:tcW w:w="960" w:type="dxa"/>
            <w:tcBorders>
              <w:top w:val="single" w:sz="8" w:space="0" w:color="000000"/>
              <w:left w:val="single" w:sz="8" w:space="0" w:color="000000"/>
              <w:bottom w:val="nil"/>
              <w:right w:val="single" w:sz="8" w:space="0" w:color="000000"/>
            </w:tcBorders>
            <w:shd w:val="clear" w:color="auto" w:fill="auto"/>
            <w:vAlign w:val="center"/>
          </w:tcPr>
          <w:p w14:paraId="7E3562F6"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2014</w:t>
            </w:r>
          </w:p>
        </w:tc>
        <w:tc>
          <w:tcPr>
            <w:tcW w:w="1600" w:type="dxa"/>
            <w:tcBorders>
              <w:top w:val="nil"/>
              <w:left w:val="nil"/>
              <w:bottom w:val="single" w:sz="8" w:space="0" w:color="000000"/>
              <w:right w:val="single" w:sz="8" w:space="0" w:color="000000"/>
            </w:tcBorders>
            <w:shd w:val="clear" w:color="auto" w:fill="auto"/>
          </w:tcPr>
          <w:p w14:paraId="61227B8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1286,5</w:t>
            </w:r>
          </w:p>
        </w:tc>
        <w:tc>
          <w:tcPr>
            <w:tcW w:w="1629" w:type="dxa"/>
            <w:tcBorders>
              <w:top w:val="nil"/>
              <w:left w:val="nil"/>
              <w:bottom w:val="single" w:sz="8" w:space="0" w:color="000000"/>
              <w:right w:val="single" w:sz="8" w:space="0" w:color="000000"/>
            </w:tcBorders>
            <w:shd w:val="clear" w:color="auto" w:fill="auto"/>
          </w:tcPr>
          <w:p w14:paraId="02EA46DC"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942,2</w:t>
            </w:r>
          </w:p>
        </w:tc>
        <w:tc>
          <w:tcPr>
            <w:tcW w:w="1086" w:type="dxa"/>
            <w:tcBorders>
              <w:top w:val="nil"/>
              <w:left w:val="nil"/>
              <w:bottom w:val="single" w:sz="8" w:space="0" w:color="000000"/>
              <w:right w:val="single" w:sz="8" w:space="0" w:color="000000"/>
            </w:tcBorders>
            <w:shd w:val="clear" w:color="auto" w:fill="auto"/>
          </w:tcPr>
          <w:p w14:paraId="70AD24B6"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344,3</w:t>
            </w:r>
          </w:p>
        </w:tc>
        <w:tc>
          <w:tcPr>
            <w:tcW w:w="1812" w:type="dxa"/>
            <w:tcBorders>
              <w:top w:val="nil"/>
              <w:left w:val="nil"/>
              <w:bottom w:val="single" w:sz="8" w:space="0" w:color="000000"/>
              <w:right w:val="single" w:sz="8" w:space="0" w:color="000000"/>
            </w:tcBorders>
            <w:shd w:val="clear" w:color="auto" w:fill="auto"/>
          </w:tcPr>
          <w:p w14:paraId="3D663C33"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134,2</w:t>
            </w:r>
          </w:p>
        </w:tc>
      </w:tr>
      <w:tr w:rsidR="00C82386" w14:paraId="02C618AC" w14:textId="77777777">
        <w:trPr>
          <w:trHeight w:val="20"/>
          <w:jc w:val="center"/>
        </w:trPr>
        <w:tc>
          <w:tcPr>
            <w:tcW w:w="960" w:type="dxa"/>
            <w:tcBorders>
              <w:top w:val="single" w:sz="8" w:space="0" w:color="000000"/>
              <w:left w:val="single" w:sz="8" w:space="0" w:color="000000"/>
              <w:bottom w:val="nil"/>
              <w:right w:val="single" w:sz="8" w:space="0" w:color="000000"/>
            </w:tcBorders>
            <w:shd w:val="clear" w:color="auto" w:fill="auto"/>
            <w:vAlign w:val="center"/>
          </w:tcPr>
          <w:p w14:paraId="71EE3181"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2015</w:t>
            </w:r>
          </w:p>
        </w:tc>
        <w:tc>
          <w:tcPr>
            <w:tcW w:w="1600" w:type="dxa"/>
            <w:tcBorders>
              <w:top w:val="nil"/>
              <w:left w:val="nil"/>
              <w:bottom w:val="single" w:sz="8" w:space="0" w:color="000000"/>
              <w:right w:val="single" w:sz="8" w:space="0" w:color="000000"/>
            </w:tcBorders>
            <w:shd w:val="clear" w:color="auto" w:fill="auto"/>
          </w:tcPr>
          <w:p w14:paraId="59EE1A1F"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1577,3</w:t>
            </w:r>
          </w:p>
        </w:tc>
        <w:tc>
          <w:tcPr>
            <w:tcW w:w="1629" w:type="dxa"/>
            <w:tcBorders>
              <w:top w:val="nil"/>
              <w:left w:val="nil"/>
              <w:bottom w:val="single" w:sz="8" w:space="0" w:color="000000"/>
              <w:right w:val="single" w:sz="8" w:space="0" w:color="000000"/>
            </w:tcBorders>
            <w:shd w:val="clear" w:color="auto" w:fill="auto"/>
          </w:tcPr>
          <w:p w14:paraId="1E6D05A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1244,7</w:t>
            </w:r>
          </w:p>
        </w:tc>
        <w:tc>
          <w:tcPr>
            <w:tcW w:w="1086" w:type="dxa"/>
            <w:tcBorders>
              <w:top w:val="nil"/>
              <w:left w:val="nil"/>
              <w:bottom w:val="single" w:sz="8" w:space="0" w:color="000000"/>
              <w:right w:val="single" w:sz="8" w:space="0" w:color="000000"/>
            </w:tcBorders>
            <w:shd w:val="clear" w:color="auto" w:fill="FFFEFF"/>
          </w:tcPr>
          <w:p w14:paraId="577DE0AE"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332,6</w:t>
            </w:r>
          </w:p>
        </w:tc>
        <w:tc>
          <w:tcPr>
            <w:tcW w:w="1812" w:type="dxa"/>
            <w:tcBorders>
              <w:top w:val="nil"/>
              <w:left w:val="nil"/>
              <w:bottom w:val="single" w:sz="8" w:space="0" w:color="000000"/>
              <w:right w:val="single" w:sz="8" w:space="0" w:color="000000"/>
            </w:tcBorders>
            <w:shd w:val="clear" w:color="auto" w:fill="FFFEFF"/>
          </w:tcPr>
          <w:p w14:paraId="13216255"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268,7</w:t>
            </w:r>
          </w:p>
        </w:tc>
      </w:tr>
      <w:tr w:rsidR="00C82386" w14:paraId="39994003" w14:textId="77777777">
        <w:trPr>
          <w:trHeight w:val="20"/>
          <w:jc w:val="center"/>
        </w:trPr>
        <w:tc>
          <w:tcPr>
            <w:tcW w:w="9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AD1E08"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2016</w:t>
            </w:r>
          </w:p>
        </w:tc>
        <w:tc>
          <w:tcPr>
            <w:tcW w:w="1600" w:type="dxa"/>
            <w:tcBorders>
              <w:top w:val="nil"/>
              <w:left w:val="nil"/>
              <w:bottom w:val="single" w:sz="8" w:space="0" w:color="000000"/>
              <w:right w:val="single" w:sz="8" w:space="0" w:color="000000"/>
            </w:tcBorders>
            <w:shd w:val="clear" w:color="auto" w:fill="auto"/>
          </w:tcPr>
          <w:p w14:paraId="0065DE7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2140,8</w:t>
            </w:r>
          </w:p>
        </w:tc>
        <w:tc>
          <w:tcPr>
            <w:tcW w:w="1629" w:type="dxa"/>
            <w:tcBorders>
              <w:top w:val="nil"/>
              <w:left w:val="nil"/>
              <w:bottom w:val="single" w:sz="8" w:space="0" w:color="000000"/>
              <w:right w:val="single" w:sz="8" w:space="0" w:color="000000"/>
            </w:tcBorders>
            <w:shd w:val="clear" w:color="auto" w:fill="auto"/>
          </w:tcPr>
          <w:p w14:paraId="5F137519"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1642,8</w:t>
            </w:r>
          </w:p>
        </w:tc>
        <w:tc>
          <w:tcPr>
            <w:tcW w:w="1086" w:type="dxa"/>
            <w:tcBorders>
              <w:top w:val="nil"/>
              <w:left w:val="nil"/>
              <w:bottom w:val="single" w:sz="8" w:space="0" w:color="000000"/>
              <w:right w:val="single" w:sz="8" w:space="0" w:color="000000"/>
            </w:tcBorders>
            <w:shd w:val="clear" w:color="auto" w:fill="FFFEFF"/>
          </w:tcPr>
          <w:p w14:paraId="08802BC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498</w:t>
            </w:r>
          </w:p>
        </w:tc>
        <w:tc>
          <w:tcPr>
            <w:tcW w:w="1812" w:type="dxa"/>
            <w:tcBorders>
              <w:top w:val="nil"/>
              <w:left w:val="nil"/>
              <w:bottom w:val="single" w:sz="8" w:space="0" w:color="000000"/>
              <w:right w:val="single" w:sz="8" w:space="0" w:color="000000"/>
            </w:tcBorders>
            <w:shd w:val="clear" w:color="auto" w:fill="FFFEFF"/>
          </w:tcPr>
          <w:p w14:paraId="381C87F9"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436,6</w:t>
            </w:r>
          </w:p>
        </w:tc>
      </w:tr>
      <w:tr w:rsidR="00C82386" w14:paraId="48301292"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473983CA"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2017</w:t>
            </w:r>
          </w:p>
        </w:tc>
        <w:tc>
          <w:tcPr>
            <w:tcW w:w="1600" w:type="dxa"/>
            <w:tcBorders>
              <w:top w:val="nil"/>
              <w:left w:val="nil"/>
              <w:bottom w:val="single" w:sz="4" w:space="0" w:color="000000"/>
              <w:right w:val="single" w:sz="8" w:space="0" w:color="000000"/>
            </w:tcBorders>
            <w:shd w:val="clear" w:color="auto" w:fill="auto"/>
          </w:tcPr>
          <w:p w14:paraId="0481A7E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2871,1</w:t>
            </w:r>
          </w:p>
        </w:tc>
        <w:tc>
          <w:tcPr>
            <w:tcW w:w="1629" w:type="dxa"/>
            <w:tcBorders>
              <w:top w:val="nil"/>
              <w:left w:val="nil"/>
              <w:bottom w:val="single" w:sz="4" w:space="0" w:color="000000"/>
              <w:right w:val="single" w:sz="8" w:space="0" w:color="000000"/>
            </w:tcBorders>
            <w:shd w:val="clear" w:color="auto" w:fill="auto"/>
          </w:tcPr>
          <w:p w14:paraId="7D137314"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2398,1</w:t>
            </w:r>
          </w:p>
        </w:tc>
        <w:tc>
          <w:tcPr>
            <w:tcW w:w="1086" w:type="dxa"/>
            <w:tcBorders>
              <w:top w:val="nil"/>
              <w:left w:val="nil"/>
              <w:bottom w:val="single" w:sz="4" w:space="0" w:color="000000"/>
              <w:right w:val="single" w:sz="8" w:space="0" w:color="000000"/>
            </w:tcBorders>
            <w:shd w:val="clear" w:color="auto" w:fill="FFFEFF"/>
          </w:tcPr>
          <w:p w14:paraId="6E32B382"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473</w:t>
            </w:r>
          </w:p>
        </w:tc>
        <w:tc>
          <w:tcPr>
            <w:tcW w:w="1812" w:type="dxa"/>
            <w:tcBorders>
              <w:top w:val="nil"/>
              <w:left w:val="nil"/>
              <w:bottom w:val="single" w:sz="4" w:space="0" w:color="000000"/>
              <w:right w:val="single" w:sz="8" w:space="0" w:color="000000"/>
            </w:tcBorders>
            <w:shd w:val="clear" w:color="auto" w:fill="FFFEFF"/>
          </w:tcPr>
          <w:p w14:paraId="2A1D7C23"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413,1</w:t>
            </w:r>
          </w:p>
        </w:tc>
      </w:tr>
      <w:tr w:rsidR="00C82386" w14:paraId="1BD82540" w14:textId="77777777">
        <w:trPr>
          <w:trHeight w:val="20"/>
          <w:jc w:val="center"/>
        </w:trPr>
        <w:tc>
          <w:tcPr>
            <w:tcW w:w="960" w:type="dxa"/>
            <w:tcBorders>
              <w:top w:val="single" w:sz="4" w:space="0" w:color="000000"/>
              <w:left w:val="single" w:sz="8" w:space="0" w:color="000000"/>
              <w:bottom w:val="single" w:sz="8" w:space="0" w:color="000000"/>
              <w:right w:val="single" w:sz="4" w:space="0" w:color="000000"/>
            </w:tcBorders>
            <w:shd w:val="clear" w:color="auto" w:fill="auto"/>
            <w:vAlign w:val="center"/>
          </w:tcPr>
          <w:p w14:paraId="77454C4B"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2018</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14:paraId="388CD09C"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3147,1</w:t>
            </w:r>
          </w:p>
        </w:tc>
        <w:tc>
          <w:tcPr>
            <w:tcW w:w="1629" w:type="dxa"/>
            <w:tcBorders>
              <w:top w:val="single" w:sz="4" w:space="0" w:color="000000"/>
              <w:left w:val="single" w:sz="4" w:space="0" w:color="000000"/>
              <w:bottom w:val="single" w:sz="4" w:space="0" w:color="000000"/>
              <w:right w:val="single" w:sz="4" w:space="0" w:color="000000"/>
            </w:tcBorders>
            <w:shd w:val="clear" w:color="auto" w:fill="auto"/>
          </w:tcPr>
          <w:p w14:paraId="0D2BB1CA"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2745,7</w:t>
            </w:r>
          </w:p>
        </w:tc>
        <w:tc>
          <w:tcPr>
            <w:tcW w:w="1086" w:type="dxa"/>
            <w:tcBorders>
              <w:top w:val="single" w:sz="4" w:space="0" w:color="000000"/>
              <w:left w:val="single" w:sz="4" w:space="0" w:color="000000"/>
              <w:bottom w:val="single" w:sz="4" w:space="0" w:color="000000"/>
              <w:right w:val="single" w:sz="4" w:space="0" w:color="000000"/>
            </w:tcBorders>
            <w:shd w:val="clear" w:color="auto" w:fill="FFFEFF"/>
          </w:tcPr>
          <w:p w14:paraId="60503FF0"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401,4</w:t>
            </w:r>
          </w:p>
        </w:tc>
        <w:tc>
          <w:tcPr>
            <w:tcW w:w="1812" w:type="dxa"/>
            <w:tcBorders>
              <w:top w:val="single" w:sz="4" w:space="0" w:color="000000"/>
              <w:left w:val="single" w:sz="4" w:space="0" w:color="000000"/>
              <w:bottom w:val="single" w:sz="4" w:space="0" w:color="000000"/>
              <w:right w:val="single" w:sz="4" w:space="0" w:color="000000"/>
            </w:tcBorders>
            <w:shd w:val="clear" w:color="auto" w:fill="FFFEFF"/>
          </w:tcPr>
          <w:p w14:paraId="01B1C4D1"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324,1</w:t>
            </w:r>
          </w:p>
        </w:tc>
      </w:tr>
      <w:tr w:rsidR="00C82386" w14:paraId="172E8FE9" w14:textId="77777777">
        <w:trPr>
          <w:trHeight w:val="20"/>
          <w:jc w:val="center"/>
        </w:trPr>
        <w:tc>
          <w:tcPr>
            <w:tcW w:w="9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4E19B8E1"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2019</w:t>
            </w:r>
          </w:p>
        </w:tc>
        <w:tc>
          <w:tcPr>
            <w:tcW w:w="1600" w:type="dxa"/>
            <w:tcBorders>
              <w:top w:val="single" w:sz="4" w:space="0" w:color="000000"/>
              <w:left w:val="nil"/>
              <w:bottom w:val="single" w:sz="4" w:space="0" w:color="000000"/>
              <w:right w:val="single" w:sz="8" w:space="0" w:color="000000"/>
            </w:tcBorders>
            <w:shd w:val="clear" w:color="auto" w:fill="auto"/>
          </w:tcPr>
          <w:p w14:paraId="4BD67C29"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3156,7</w:t>
            </w:r>
          </w:p>
        </w:tc>
        <w:tc>
          <w:tcPr>
            <w:tcW w:w="1629" w:type="dxa"/>
            <w:tcBorders>
              <w:top w:val="single" w:sz="4" w:space="0" w:color="000000"/>
              <w:left w:val="nil"/>
              <w:bottom w:val="single" w:sz="4" w:space="0" w:color="000000"/>
              <w:right w:val="single" w:sz="8" w:space="0" w:color="000000"/>
            </w:tcBorders>
            <w:shd w:val="clear" w:color="auto" w:fill="auto"/>
          </w:tcPr>
          <w:p w14:paraId="7E66045C"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2780,8</w:t>
            </w:r>
          </w:p>
        </w:tc>
        <w:tc>
          <w:tcPr>
            <w:tcW w:w="1086" w:type="dxa"/>
            <w:tcBorders>
              <w:top w:val="single" w:sz="4" w:space="0" w:color="000000"/>
              <w:left w:val="nil"/>
              <w:bottom w:val="single" w:sz="4" w:space="0" w:color="000000"/>
              <w:right w:val="single" w:sz="8" w:space="0" w:color="000000"/>
            </w:tcBorders>
            <w:shd w:val="clear" w:color="auto" w:fill="FFFEFF"/>
          </w:tcPr>
          <w:p w14:paraId="2AC24AF7"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375,9</w:t>
            </w:r>
          </w:p>
        </w:tc>
        <w:tc>
          <w:tcPr>
            <w:tcW w:w="1812" w:type="dxa"/>
            <w:tcBorders>
              <w:top w:val="single" w:sz="4" w:space="0" w:color="000000"/>
              <w:left w:val="nil"/>
              <w:bottom w:val="single" w:sz="4" w:space="0" w:color="000000"/>
              <w:right w:val="single" w:sz="8" w:space="0" w:color="000000"/>
            </w:tcBorders>
            <w:shd w:val="clear" w:color="auto" w:fill="FFFEFF"/>
          </w:tcPr>
          <w:p w14:paraId="7AC29DD9"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313,4</w:t>
            </w:r>
          </w:p>
        </w:tc>
      </w:tr>
      <w:tr w:rsidR="00C82386" w14:paraId="45185B22" w14:textId="77777777">
        <w:trPr>
          <w:trHeight w:val="2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39DB5" w14:textId="77777777" w:rsidR="00C82386" w:rsidRDefault="00E66F64" w:rsidP="00E34ACB">
            <w:pPr>
              <w:spacing w:after="0"/>
              <w:ind w:firstLine="49"/>
              <w:jc w:val="center"/>
              <w:rPr>
                <w:rFonts w:ascii="Times New Roman" w:eastAsia="Times New Roman" w:hAnsi="Times New Roman" w:cs="Times New Roman"/>
              </w:rPr>
            </w:pPr>
            <w:r>
              <w:rPr>
                <w:rFonts w:ascii="Times New Roman" w:eastAsia="Times New Roman" w:hAnsi="Times New Roman" w:cs="Times New Roman"/>
              </w:rPr>
              <w:t>2020</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14:paraId="52D60E35"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2745,6</w:t>
            </w:r>
          </w:p>
        </w:tc>
        <w:tc>
          <w:tcPr>
            <w:tcW w:w="1629" w:type="dxa"/>
            <w:tcBorders>
              <w:top w:val="single" w:sz="4" w:space="0" w:color="000000"/>
              <w:left w:val="single" w:sz="4" w:space="0" w:color="000000"/>
              <w:bottom w:val="single" w:sz="4" w:space="0" w:color="000000"/>
              <w:right w:val="single" w:sz="4" w:space="0" w:color="000000"/>
            </w:tcBorders>
            <w:shd w:val="clear" w:color="auto" w:fill="auto"/>
          </w:tcPr>
          <w:p w14:paraId="78EBDEFE"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2364,6</w:t>
            </w:r>
          </w:p>
        </w:tc>
        <w:tc>
          <w:tcPr>
            <w:tcW w:w="1086" w:type="dxa"/>
            <w:tcBorders>
              <w:top w:val="single" w:sz="4" w:space="0" w:color="000000"/>
              <w:left w:val="single" w:sz="4" w:space="0" w:color="000000"/>
              <w:bottom w:val="single" w:sz="4" w:space="0" w:color="000000"/>
              <w:right w:val="single" w:sz="4" w:space="0" w:color="000000"/>
            </w:tcBorders>
            <w:shd w:val="clear" w:color="auto" w:fill="auto"/>
          </w:tcPr>
          <w:p w14:paraId="0BD6AB04"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381,0</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14:paraId="456B6BEE" w14:textId="77777777" w:rsidR="00C82386" w:rsidRDefault="00E66F64">
            <w:pPr>
              <w:spacing w:after="0"/>
              <w:ind w:firstLine="81"/>
              <w:jc w:val="center"/>
              <w:rPr>
                <w:rFonts w:ascii="Times New Roman" w:eastAsia="Times New Roman" w:hAnsi="Times New Roman" w:cs="Times New Roman"/>
              </w:rPr>
            </w:pPr>
            <w:r>
              <w:rPr>
                <w:rFonts w:ascii="Times New Roman" w:eastAsia="Times New Roman" w:hAnsi="Times New Roman" w:cs="Times New Roman"/>
              </w:rPr>
              <w:t>303,0</w:t>
            </w:r>
          </w:p>
        </w:tc>
      </w:tr>
    </w:tbl>
    <w:p w14:paraId="526D00BD" w14:textId="77777777" w:rsidR="00C82386" w:rsidRDefault="00E66F64">
      <w:pPr>
        <w:pBdr>
          <w:top w:val="nil"/>
          <w:left w:val="nil"/>
          <w:bottom w:val="nil"/>
          <w:right w:val="nil"/>
          <w:between w:val="nil"/>
        </w:pBdr>
        <w:spacing w:before="120" w:after="12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Середній розмір об’єму видатків бюджету розвитку міста Житомира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рахуванням запозичень за період 2010-2020 роки склав 214,9 млн. грн. Окремо виділимо період 2017-2020 років, що є ближчим до сучасної економічної ситуації – середній розмір видатків річного бюджету розвитку протягом цього періоду склав 338,4 млн. грн.</w:t>
      </w:r>
    </w:p>
    <w:p w14:paraId="3AC24740" w14:textId="77777777" w:rsidR="00C82386" w:rsidRDefault="00E66F64">
      <w:pPr>
        <w:pBdr>
          <w:top w:val="nil"/>
          <w:left w:val="nil"/>
          <w:bottom w:val="nil"/>
          <w:right w:val="nil"/>
          <w:between w:val="nil"/>
        </w:pBdr>
        <w:spacing w:after="0"/>
        <w:jc w:val="center"/>
        <w:rPr>
          <w:rFonts w:ascii="Times New Roman" w:eastAsia="Times New Roman" w:hAnsi="Times New Roman" w:cs="Times New Roman"/>
          <w:color w:val="000000"/>
        </w:rPr>
      </w:pPr>
      <w:r>
        <w:rPr>
          <w:noProof/>
          <w:color w:val="000000"/>
          <w:lang w:val="ru-RU"/>
        </w:rPr>
        <w:lastRenderedPageBreak/>
        <w:drawing>
          <wp:inline distT="0" distB="0" distL="0" distR="0" wp14:anchorId="56A9AA39" wp14:editId="45F421E7">
            <wp:extent cx="5791200" cy="3467100"/>
            <wp:effectExtent l="0" t="0" r="0" b="0"/>
            <wp:docPr id="2144251936" name="Диаграмма 21442519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342E01" w14:textId="77777777" w:rsidR="00C82386" w:rsidRDefault="00E66F64">
      <w:pPr>
        <w:pBdr>
          <w:top w:val="nil"/>
          <w:left w:val="nil"/>
          <w:bottom w:val="nil"/>
          <w:right w:val="nil"/>
          <w:between w:val="nil"/>
        </w:pBdr>
        <w:spacing w:after="4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 2.10. Структура видатків міського бюджету м. Житомир за період 2010-2020 рр.</w:t>
      </w:r>
    </w:p>
    <w:p w14:paraId="4ED5A857" w14:textId="77777777" w:rsidR="00C82386" w:rsidRDefault="00E66F64">
      <w:pPr>
        <w:pBdr>
          <w:top w:val="nil"/>
          <w:left w:val="nil"/>
          <w:bottom w:val="nil"/>
          <w:right w:val="nil"/>
          <w:between w:val="nil"/>
        </w:pBdr>
        <w:spacing w:before="4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Динаміка видатків міського бюджету м. Житомир за період 2010-2019 рр. має тенденцію постійного зростання. Щорічна динаміка видатків міського бюджету відповідає динаміці дохідної частини бюджету.</w:t>
      </w:r>
    </w:p>
    <w:p w14:paraId="75A7F27C"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Рис.2.11. представлені об’єми доходів та видатків бюджету розвитку.</w:t>
      </w:r>
    </w:p>
    <w:p w14:paraId="470E79EE" w14:textId="77777777" w:rsidR="00C82386" w:rsidRDefault="00E66F64">
      <w:pPr>
        <w:pBdr>
          <w:top w:val="nil"/>
          <w:left w:val="nil"/>
          <w:bottom w:val="nil"/>
          <w:right w:val="nil"/>
          <w:between w:val="nil"/>
        </w:pBdr>
        <w:spacing w:after="0"/>
        <w:ind w:left="720"/>
        <w:rPr>
          <w:rFonts w:ascii="Times New Roman" w:eastAsia="Times New Roman" w:hAnsi="Times New Roman" w:cs="Times New Roman"/>
          <w:color w:val="000000"/>
        </w:rPr>
      </w:pPr>
      <w:r>
        <w:rPr>
          <w:noProof/>
          <w:color w:val="000000"/>
          <w:lang w:val="ru-RU"/>
        </w:rPr>
        <w:drawing>
          <wp:inline distT="0" distB="0" distL="0" distR="0" wp14:anchorId="41C5628D" wp14:editId="4C628793">
            <wp:extent cx="5200650" cy="3028950"/>
            <wp:effectExtent l="0" t="0" r="0" b="0"/>
            <wp:docPr id="2144251938" name="Диаграмма 21442519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168751B" w14:textId="77777777" w:rsidR="00C82386" w:rsidRDefault="00E66F64">
      <w:pPr>
        <w:pBdr>
          <w:top w:val="nil"/>
          <w:left w:val="nil"/>
          <w:bottom w:val="nil"/>
          <w:right w:val="nil"/>
          <w:between w:val="nil"/>
        </w:pBd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Рис.2.11. Обсяги доходів та видатків бюджету розвитку м. Житомир протягом періоду 2010-2020 рр.</w:t>
      </w:r>
    </w:p>
    <w:p w14:paraId="6F6157E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Обсяги надходжень до міського бюджету розвитку протягом періоду 2010-2020 року складали в середньому 48,1 млн. грн. Починаючи з 2015 року розпочалося активне впровадження інфраструктурних інвестиційних проєктів з використанням банківських запозичень, що є причиною зростання витратної частини бюджету розвитку з максимумом у 2016 році. Для забезпечення виконання заходів ПДСЕР протягом періоду 2015-2020 років </w:t>
      </w:r>
      <w:r>
        <w:rPr>
          <w:rFonts w:ascii="Times New Roman" w:eastAsia="Times New Roman" w:hAnsi="Times New Roman" w:cs="Times New Roman"/>
          <w:sz w:val="24"/>
          <w:szCs w:val="24"/>
        </w:rPr>
        <w:lastRenderedPageBreak/>
        <w:t>використовувалися як кошти місцевого бюджету, так і фінансові надходження з інших джерел (гранти та кредитні ресурси).</w:t>
      </w:r>
    </w:p>
    <w:p w14:paraId="04757975" w14:textId="77777777" w:rsidR="00C82386" w:rsidRDefault="00E66F64">
      <w:pPr>
        <w:pBdr>
          <w:top w:val="nil"/>
          <w:left w:val="nil"/>
          <w:bottom w:val="nil"/>
          <w:right w:val="nil"/>
          <w:between w:val="nil"/>
        </w:pBdr>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Бюджет розвитку Житомирської міської територіальної громади отриму</w:t>
      </w:r>
      <w:r>
        <w:rPr>
          <w:rFonts w:ascii="Times New Roman" w:eastAsia="Times New Roman" w:hAnsi="Times New Roman" w:cs="Times New Roman"/>
          <w:sz w:val="24"/>
          <w:szCs w:val="24"/>
        </w:rPr>
        <w:t>вав</w:t>
      </w:r>
      <w:r>
        <w:rPr>
          <w:rFonts w:ascii="Times New Roman" w:eastAsia="Times New Roman" w:hAnsi="Times New Roman" w:cs="Times New Roman"/>
          <w:color w:val="000000"/>
          <w:sz w:val="24"/>
          <w:szCs w:val="24"/>
        </w:rPr>
        <w:t xml:space="preserve"> щорічне наповнення, завдяки чому громада ма</w:t>
      </w:r>
      <w:r>
        <w:rPr>
          <w:rFonts w:ascii="Times New Roman" w:eastAsia="Times New Roman" w:hAnsi="Times New Roman" w:cs="Times New Roman"/>
          <w:sz w:val="24"/>
          <w:szCs w:val="24"/>
        </w:rPr>
        <w:t>ла</w:t>
      </w:r>
      <w:r>
        <w:rPr>
          <w:rFonts w:ascii="Times New Roman" w:eastAsia="Times New Roman" w:hAnsi="Times New Roman" w:cs="Times New Roman"/>
          <w:color w:val="000000"/>
          <w:sz w:val="24"/>
          <w:szCs w:val="24"/>
        </w:rPr>
        <w:t xml:space="preserve"> можливості впроваджувати інвестиційні проєкти, виконувати енергоефективні заходи в муніципальних установах і покращувати інфраструктуру. Повномасштабне вторгнення </w:t>
      </w:r>
      <w:r w:rsidR="00E34ACB">
        <w:rPr>
          <w:rFonts w:ascii="Times New Roman" w:eastAsia="Times New Roman" w:hAnsi="Times New Roman" w:cs="Times New Roman"/>
          <w:color w:val="000000"/>
          <w:sz w:val="24"/>
          <w:szCs w:val="24"/>
        </w:rPr>
        <w:t>російської федерації</w:t>
      </w:r>
      <w:r>
        <w:rPr>
          <w:rFonts w:ascii="Times New Roman" w:eastAsia="Times New Roman" w:hAnsi="Times New Roman" w:cs="Times New Roman"/>
          <w:color w:val="000000"/>
          <w:sz w:val="24"/>
          <w:szCs w:val="24"/>
        </w:rPr>
        <w:t xml:space="preserve"> суттєво </w:t>
      </w:r>
      <w:r>
        <w:rPr>
          <w:rFonts w:ascii="Times New Roman" w:eastAsia="Times New Roman" w:hAnsi="Times New Roman" w:cs="Times New Roman"/>
          <w:sz w:val="24"/>
          <w:szCs w:val="24"/>
        </w:rPr>
        <w:t>вплинуло на</w:t>
      </w:r>
      <w:r>
        <w:rPr>
          <w:rFonts w:ascii="Times New Roman" w:eastAsia="Times New Roman" w:hAnsi="Times New Roman" w:cs="Times New Roman"/>
          <w:color w:val="000000"/>
          <w:sz w:val="24"/>
          <w:szCs w:val="24"/>
        </w:rPr>
        <w:t xml:space="preserve"> бюджет Житомирської міської територіальної громади через зростання витрат на соціальну підтримку, забезпечення критичної інфраструктури та фінансування відновлювальних робіт. Водночас громада активно шукає шляхи фінансової стабілізації, зокрема через залучення державних субвенцій, міжнародної допомоги та грантових програм. Подальші перспективи розвитку залежатимуть від успішної реалізації відновлювальних проєктів, залучення інвестицій та створення умов для економічної активності місцевого бізнесу.</w:t>
      </w:r>
      <w:r>
        <w:br w:type="page"/>
      </w:r>
    </w:p>
    <w:p w14:paraId="29C136D3"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8"/>
          <w:szCs w:val="28"/>
        </w:rPr>
      </w:pPr>
      <w:bookmarkStart w:id="23" w:name="_heading=h.1ci93xb" w:colFirst="0" w:colLast="0"/>
      <w:bookmarkEnd w:id="23"/>
      <w:r>
        <w:rPr>
          <w:rFonts w:ascii="Times New Roman" w:eastAsia="Times New Roman" w:hAnsi="Times New Roman" w:cs="Times New Roman"/>
          <w:b/>
          <w:color w:val="000000"/>
          <w:sz w:val="28"/>
          <w:szCs w:val="28"/>
        </w:rPr>
        <w:lastRenderedPageBreak/>
        <w:t xml:space="preserve">РОЗДІЛ 3. ОПИС ЕНЕРГЕТИЧНОЇ СИСТЕМИ </w:t>
      </w:r>
    </w:p>
    <w:p w14:paraId="746114C4" w14:textId="77777777" w:rsidR="00C82386" w:rsidRDefault="00E66F64">
      <w:pPr>
        <w:keepNext/>
        <w:keepLines/>
        <w:numPr>
          <w:ilvl w:val="1"/>
          <w:numId w:val="18"/>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24" w:name="_heading=h.3whwml4" w:colFirst="0" w:colLast="0"/>
      <w:bookmarkEnd w:id="24"/>
      <w:r>
        <w:rPr>
          <w:rFonts w:ascii="Times New Roman" w:eastAsia="Times New Roman" w:hAnsi="Times New Roman" w:cs="Times New Roman"/>
          <w:b/>
          <w:color w:val="000000"/>
          <w:sz w:val="24"/>
          <w:szCs w:val="24"/>
        </w:rPr>
        <w:t>Виробництво, транспортування  та споживання енергії</w:t>
      </w:r>
    </w:p>
    <w:p w14:paraId="4B66946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Енергетична система Житомирської міської територіальної громади представлена централізованими системи теплопостачання, електропостачання та системою постачання природного газу. Крім того, в частині приватної житлової забудови міста Житомира, в селі Вереси та декількох муніципальних закладах використовуються для опалення альтернативні паливні ресурси – дрова, торф’яні брикети та солом’яні пелети.</w:t>
      </w:r>
    </w:p>
    <w:p w14:paraId="3958B86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Власне виробництво </w:t>
      </w:r>
      <w:r w:rsidRPr="0073122D">
        <w:rPr>
          <w:rFonts w:ascii="Times New Roman" w:eastAsia="Times New Roman" w:hAnsi="Times New Roman" w:cs="Times New Roman"/>
          <w:sz w:val="24"/>
          <w:szCs w:val="24"/>
        </w:rPr>
        <w:t>електроенергії в громаді представлено Житомирською малою ГЕС, біогазовою установкою на полігоні твердих побутових відходів та приватними СЕС невеликої пот</w:t>
      </w:r>
      <w:r>
        <w:rPr>
          <w:rFonts w:ascii="Times New Roman" w:eastAsia="Times New Roman" w:hAnsi="Times New Roman" w:cs="Times New Roman"/>
          <w:sz w:val="24"/>
          <w:szCs w:val="24"/>
        </w:rPr>
        <w:t>ужності.</w:t>
      </w:r>
    </w:p>
    <w:p w14:paraId="1BA6C74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Основними споживачами енергоресурсів, первинних та вторинних, в першу чергу є населення міста, муніципальні установи та підприємства, крупна промисловість та інші споживачі (державні установи та підприємства, торгівля, середня та мала промисловість, релігійні установи та інші), які об’єднуються під назвою третинний сектор.</w:t>
      </w:r>
    </w:p>
    <w:p w14:paraId="68376DF7"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Окремо розглядається енергоспоживання транспорту, оскільки шкідливі викиди від спалювання пального безпосередньо впливають на якість повітря в просторі міста.</w:t>
      </w:r>
    </w:p>
    <w:p w14:paraId="31829D02" w14:textId="77777777" w:rsidR="00C82386" w:rsidRDefault="00E66F64">
      <w:pPr>
        <w:keepNext/>
        <w:keepLines/>
        <w:numPr>
          <w:ilvl w:val="1"/>
          <w:numId w:val="22"/>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25" w:name="_heading=h.2bn6wsx" w:colFirst="0" w:colLast="0"/>
      <w:bookmarkEnd w:id="25"/>
      <w:r>
        <w:rPr>
          <w:rFonts w:ascii="Times New Roman" w:eastAsia="Times New Roman" w:hAnsi="Times New Roman" w:cs="Times New Roman"/>
          <w:b/>
          <w:color w:val="000000"/>
          <w:sz w:val="24"/>
          <w:szCs w:val="24"/>
        </w:rPr>
        <w:t>Система теплопостачання</w:t>
      </w:r>
    </w:p>
    <w:p w14:paraId="7ACE2E5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Виробництвом та постачанням теплової енергії в місті Житомирі займається комунальне підприємство «Житомиртеплокомуненерго» Житомирської міської ради. </w:t>
      </w:r>
      <w:r>
        <w:rPr>
          <w:rFonts w:ascii="Times New Roman" w:eastAsia="Times New Roman" w:hAnsi="Times New Roman" w:cs="Times New Roman"/>
          <w:sz w:val="24"/>
          <w:szCs w:val="24"/>
        </w:rPr>
        <w:br/>
        <w:t>У селі Вереси централізоване теплопостачання відсутнє.</w:t>
      </w:r>
    </w:p>
    <w:p w14:paraId="52D5A16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таблиці 3.1. наведені основні технічні характеристики системи теплопостачання.</w:t>
      </w:r>
    </w:p>
    <w:p w14:paraId="689E549E" w14:textId="77777777" w:rsidR="00C82386" w:rsidRDefault="00E66F64">
      <w:pPr>
        <w:spacing w:before="120"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w:t>
      </w:r>
    </w:p>
    <w:p w14:paraId="1D212DEF" w14:textId="77777777" w:rsidR="00C82386" w:rsidRDefault="00E66F64">
      <w:pPr>
        <w:spacing w:after="12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технічні характеристики системи теплопостачання</w:t>
      </w:r>
    </w:p>
    <w:tbl>
      <w:tblPr>
        <w:tblStyle w:val="afff9"/>
        <w:tblW w:w="8970" w:type="dxa"/>
        <w:jc w:val="center"/>
        <w:tblInd w:w="0" w:type="dxa"/>
        <w:tblLayout w:type="fixed"/>
        <w:tblLook w:val="0400" w:firstRow="0" w:lastRow="0" w:firstColumn="0" w:lastColumn="0" w:noHBand="0" w:noVBand="1"/>
      </w:tblPr>
      <w:tblGrid>
        <w:gridCol w:w="5790"/>
        <w:gridCol w:w="1260"/>
        <w:gridCol w:w="960"/>
        <w:gridCol w:w="960"/>
      </w:tblGrid>
      <w:tr w:rsidR="00C82386" w14:paraId="2A9D2A29" w14:textId="77777777">
        <w:trPr>
          <w:trHeight w:val="300"/>
          <w:jc w:val="center"/>
        </w:trPr>
        <w:tc>
          <w:tcPr>
            <w:tcW w:w="579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CEBD8F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w:t>
            </w:r>
          </w:p>
        </w:tc>
        <w:tc>
          <w:tcPr>
            <w:tcW w:w="1260" w:type="dxa"/>
            <w:tcBorders>
              <w:top w:val="single" w:sz="4" w:space="0" w:color="000000"/>
              <w:left w:val="nil"/>
              <w:bottom w:val="single" w:sz="4" w:space="0" w:color="000000"/>
              <w:right w:val="single" w:sz="4" w:space="0" w:color="000000"/>
            </w:tcBorders>
            <w:shd w:val="clear" w:color="auto" w:fill="auto"/>
            <w:vAlign w:val="bottom"/>
          </w:tcPr>
          <w:p w14:paraId="1EEEEC26" w14:textId="77777777" w:rsidR="00C82386" w:rsidRDefault="00E66F64">
            <w:pPr>
              <w:spacing w:after="0" w:line="240" w:lineRule="auto"/>
              <w:jc w:val="right"/>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960" w:type="dxa"/>
            <w:tcBorders>
              <w:top w:val="single" w:sz="4" w:space="0" w:color="000000"/>
              <w:left w:val="nil"/>
              <w:bottom w:val="single" w:sz="4" w:space="0" w:color="000000"/>
              <w:right w:val="single" w:sz="4" w:space="0" w:color="000000"/>
            </w:tcBorders>
            <w:shd w:val="clear" w:color="auto" w:fill="auto"/>
            <w:vAlign w:val="bottom"/>
          </w:tcPr>
          <w:p w14:paraId="4EE629AC" w14:textId="77777777" w:rsidR="00C82386" w:rsidRDefault="00E66F64">
            <w:pPr>
              <w:spacing w:after="0" w:line="240" w:lineRule="auto"/>
              <w:jc w:val="right"/>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2019</w:t>
            </w:r>
          </w:p>
        </w:tc>
        <w:tc>
          <w:tcPr>
            <w:tcW w:w="960" w:type="dxa"/>
            <w:tcBorders>
              <w:top w:val="single" w:sz="4" w:space="0" w:color="000000"/>
              <w:left w:val="nil"/>
              <w:bottom w:val="single" w:sz="4" w:space="0" w:color="000000"/>
              <w:right w:val="single" w:sz="4" w:space="0" w:color="000000"/>
            </w:tcBorders>
            <w:vAlign w:val="center"/>
          </w:tcPr>
          <w:p w14:paraId="6ED98A57"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r>
      <w:tr w:rsidR="00C82386" w14:paraId="14FA8BAE" w14:textId="77777777">
        <w:trPr>
          <w:trHeight w:val="300"/>
          <w:jc w:val="center"/>
        </w:trPr>
        <w:tc>
          <w:tcPr>
            <w:tcW w:w="8970" w:type="dxa"/>
            <w:gridSpan w:val="4"/>
            <w:tcBorders>
              <w:top w:val="single" w:sz="4" w:space="0" w:color="000000"/>
              <w:left w:val="single" w:sz="4" w:space="0" w:color="000000"/>
              <w:bottom w:val="single" w:sz="4" w:space="0" w:color="000000"/>
              <w:right w:val="single" w:sz="4" w:space="0" w:color="000000"/>
            </w:tcBorders>
            <w:shd w:val="clear" w:color="auto" w:fill="D9D9D9"/>
            <w:vAlign w:val="bottom"/>
          </w:tcPr>
          <w:p w14:paraId="6A6738CA"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Генерація тепла</w:t>
            </w:r>
          </w:p>
        </w:tc>
      </w:tr>
      <w:tr w:rsidR="00C82386" w14:paraId="4C225E03" w14:textId="77777777">
        <w:trPr>
          <w:trHeight w:val="300"/>
          <w:jc w:val="center"/>
        </w:trPr>
        <w:tc>
          <w:tcPr>
            <w:tcW w:w="5790" w:type="dxa"/>
            <w:tcBorders>
              <w:top w:val="nil"/>
              <w:left w:val="single" w:sz="4" w:space="0" w:color="000000"/>
              <w:bottom w:val="single" w:sz="4" w:space="0" w:color="000000"/>
              <w:right w:val="single" w:sz="4" w:space="0" w:color="000000"/>
            </w:tcBorders>
            <w:shd w:val="clear" w:color="auto" w:fill="auto"/>
            <w:vAlign w:val="bottom"/>
          </w:tcPr>
          <w:p w14:paraId="6ACD541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котелень</w:t>
            </w:r>
          </w:p>
        </w:tc>
        <w:tc>
          <w:tcPr>
            <w:tcW w:w="1260" w:type="dxa"/>
            <w:tcBorders>
              <w:top w:val="nil"/>
              <w:left w:val="nil"/>
              <w:bottom w:val="single" w:sz="4" w:space="0" w:color="000000"/>
              <w:right w:val="single" w:sz="4" w:space="0" w:color="000000"/>
            </w:tcBorders>
            <w:shd w:val="clear" w:color="auto" w:fill="auto"/>
            <w:vAlign w:val="bottom"/>
          </w:tcPr>
          <w:p w14:paraId="621F29C7"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64</w:t>
            </w:r>
          </w:p>
        </w:tc>
        <w:tc>
          <w:tcPr>
            <w:tcW w:w="960" w:type="dxa"/>
            <w:tcBorders>
              <w:top w:val="nil"/>
              <w:left w:val="nil"/>
              <w:bottom w:val="single" w:sz="4" w:space="0" w:color="000000"/>
              <w:right w:val="single" w:sz="4" w:space="0" w:color="000000"/>
            </w:tcBorders>
            <w:shd w:val="clear" w:color="auto" w:fill="auto"/>
            <w:vAlign w:val="bottom"/>
          </w:tcPr>
          <w:p w14:paraId="60929F38"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w:t>
            </w:r>
          </w:p>
        </w:tc>
        <w:tc>
          <w:tcPr>
            <w:tcW w:w="960" w:type="dxa"/>
            <w:tcBorders>
              <w:top w:val="nil"/>
              <w:left w:val="nil"/>
              <w:bottom w:val="single" w:sz="4" w:space="0" w:color="000000"/>
              <w:right w:val="single" w:sz="4" w:space="0" w:color="000000"/>
            </w:tcBorders>
          </w:tcPr>
          <w:p w14:paraId="73F2FEB5"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w:t>
            </w:r>
          </w:p>
        </w:tc>
      </w:tr>
      <w:tr w:rsidR="00C82386" w14:paraId="29E3681C" w14:textId="77777777">
        <w:trPr>
          <w:trHeight w:val="300"/>
          <w:jc w:val="center"/>
        </w:trPr>
        <w:tc>
          <w:tcPr>
            <w:tcW w:w="5790" w:type="dxa"/>
            <w:tcBorders>
              <w:top w:val="nil"/>
              <w:left w:val="single" w:sz="4" w:space="0" w:color="000000"/>
              <w:bottom w:val="single" w:sz="4" w:space="0" w:color="000000"/>
              <w:right w:val="single" w:sz="4" w:space="0" w:color="000000"/>
            </w:tcBorders>
            <w:shd w:val="clear" w:color="auto" w:fill="auto"/>
            <w:vAlign w:val="bottom"/>
          </w:tcPr>
          <w:p w14:paraId="5D7D877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установлена потужність котелень, Гкал/год</w:t>
            </w:r>
          </w:p>
        </w:tc>
        <w:tc>
          <w:tcPr>
            <w:tcW w:w="1260" w:type="dxa"/>
            <w:tcBorders>
              <w:top w:val="nil"/>
              <w:left w:val="nil"/>
              <w:bottom w:val="single" w:sz="4" w:space="0" w:color="000000"/>
              <w:right w:val="single" w:sz="4" w:space="0" w:color="000000"/>
            </w:tcBorders>
            <w:shd w:val="clear" w:color="auto" w:fill="auto"/>
            <w:vAlign w:val="bottom"/>
          </w:tcPr>
          <w:p w14:paraId="33C282B3"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711</w:t>
            </w:r>
          </w:p>
        </w:tc>
        <w:tc>
          <w:tcPr>
            <w:tcW w:w="960" w:type="dxa"/>
            <w:tcBorders>
              <w:top w:val="nil"/>
              <w:left w:val="nil"/>
              <w:bottom w:val="single" w:sz="4" w:space="0" w:color="000000"/>
              <w:right w:val="single" w:sz="4" w:space="0" w:color="000000"/>
            </w:tcBorders>
            <w:shd w:val="clear" w:color="auto" w:fill="auto"/>
            <w:vAlign w:val="bottom"/>
          </w:tcPr>
          <w:p w14:paraId="481CD5C8"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680,8</w:t>
            </w:r>
          </w:p>
        </w:tc>
        <w:tc>
          <w:tcPr>
            <w:tcW w:w="960" w:type="dxa"/>
            <w:tcBorders>
              <w:top w:val="nil"/>
              <w:left w:val="nil"/>
              <w:bottom w:val="single" w:sz="4" w:space="0" w:color="000000"/>
              <w:right w:val="single" w:sz="4" w:space="0" w:color="000000"/>
            </w:tcBorders>
            <w:vAlign w:val="center"/>
          </w:tcPr>
          <w:p w14:paraId="154241CF"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680,7</w:t>
            </w:r>
          </w:p>
        </w:tc>
      </w:tr>
      <w:tr w:rsidR="00C82386" w14:paraId="52979D26" w14:textId="77777777">
        <w:trPr>
          <w:trHeight w:val="300"/>
          <w:jc w:val="center"/>
        </w:trPr>
        <w:tc>
          <w:tcPr>
            <w:tcW w:w="5790" w:type="dxa"/>
            <w:tcBorders>
              <w:top w:val="nil"/>
              <w:left w:val="single" w:sz="4" w:space="0" w:color="000000"/>
              <w:bottom w:val="single" w:sz="4" w:space="0" w:color="000000"/>
              <w:right w:val="single" w:sz="4" w:space="0" w:color="000000"/>
            </w:tcBorders>
            <w:shd w:val="clear" w:color="auto" w:fill="auto"/>
            <w:vAlign w:val="bottom"/>
          </w:tcPr>
          <w:p w14:paraId="141DBFB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використання потужностей, %</w:t>
            </w:r>
          </w:p>
        </w:tc>
        <w:tc>
          <w:tcPr>
            <w:tcW w:w="1260" w:type="dxa"/>
            <w:tcBorders>
              <w:top w:val="nil"/>
              <w:left w:val="nil"/>
              <w:bottom w:val="single" w:sz="4" w:space="0" w:color="000000"/>
              <w:right w:val="single" w:sz="4" w:space="0" w:color="000000"/>
            </w:tcBorders>
            <w:shd w:val="clear" w:color="auto" w:fill="auto"/>
            <w:vAlign w:val="bottom"/>
          </w:tcPr>
          <w:p w14:paraId="54504BCF"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47,8%</w:t>
            </w:r>
          </w:p>
        </w:tc>
        <w:tc>
          <w:tcPr>
            <w:tcW w:w="960" w:type="dxa"/>
            <w:tcBorders>
              <w:top w:val="nil"/>
              <w:left w:val="nil"/>
              <w:bottom w:val="single" w:sz="4" w:space="0" w:color="000000"/>
              <w:right w:val="single" w:sz="4" w:space="0" w:color="000000"/>
            </w:tcBorders>
            <w:shd w:val="clear" w:color="auto" w:fill="auto"/>
            <w:vAlign w:val="bottom"/>
          </w:tcPr>
          <w:p w14:paraId="277921DD"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42,7%</w:t>
            </w:r>
          </w:p>
        </w:tc>
        <w:tc>
          <w:tcPr>
            <w:tcW w:w="960" w:type="dxa"/>
            <w:tcBorders>
              <w:top w:val="nil"/>
              <w:left w:val="nil"/>
              <w:bottom w:val="single" w:sz="4" w:space="0" w:color="000000"/>
              <w:right w:val="single" w:sz="4" w:space="0" w:color="000000"/>
            </w:tcBorders>
            <w:vAlign w:val="center"/>
          </w:tcPr>
          <w:p w14:paraId="6D14D0B5"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42,9%</w:t>
            </w:r>
          </w:p>
        </w:tc>
      </w:tr>
      <w:tr w:rsidR="00C82386" w14:paraId="1D96C2AF" w14:textId="77777777">
        <w:trPr>
          <w:trHeight w:val="300"/>
          <w:jc w:val="center"/>
        </w:trPr>
        <w:tc>
          <w:tcPr>
            <w:tcW w:w="8970" w:type="dxa"/>
            <w:gridSpan w:val="4"/>
            <w:tcBorders>
              <w:top w:val="single" w:sz="4" w:space="0" w:color="000000"/>
              <w:left w:val="single" w:sz="4" w:space="0" w:color="000000"/>
              <w:bottom w:val="single" w:sz="4" w:space="0" w:color="000000"/>
              <w:right w:val="single" w:sz="4" w:space="0" w:color="000000"/>
            </w:tcBorders>
            <w:shd w:val="clear" w:color="auto" w:fill="D9D9D9"/>
            <w:vAlign w:val="bottom"/>
          </w:tcPr>
          <w:p w14:paraId="1D749C24"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Транспортування і розподіл</w:t>
            </w:r>
          </w:p>
        </w:tc>
      </w:tr>
      <w:tr w:rsidR="00C82386" w14:paraId="0ECFABCF" w14:textId="77777777">
        <w:trPr>
          <w:trHeight w:val="300"/>
          <w:jc w:val="center"/>
        </w:trPr>
        <w:tc>
          <w:tcPr>
            <w:tcW w:w="5790" w:type="dxa"/>
            <w:tcBorders>
              <w:top w:val="nil"/>
              <w:left w:val="single" w:sz="4" w:space="0" w:color="000000"/>
              <w:bottom w:val="single" w:sz="4" w:space="0" w:color="000000"/>
              <w:right w:val="single" w:sz="4" w:space="0" w:color="000000"/>
            </w:tcBorders>
            <w:shd w:val="clear" w:color="auto" w:fill="auto"/>
            <w:vAlign w:val="bottom"/>
          </w:tcPr>
          <w:p w14:paraId="3BB7707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ЦТП</w:t>
            </w:r>
          </w:p>
        </w:tc>
        <w:tc>
          <w:tcPr>
            <w:tcW w:w="1260" w:type="dxa"/>
            <w:tcBorders>
              <w:top w:val="nil"/>
              <w:left w:val="nil"/>
              <w:bottom w:val="single" w:sz="4" w:space="0" w:color="000000"/>
              <w:right w:val="single" w:sz="4" w:space="0" w:color="000000"/>
            </w:tcBorders>
            <w:shd w:val="clear" w:color="auto" w:fill="auto"/>
            <w:vAlign w:val="bottom"/>
          </w:tcPr>
          <w:p w14:paraId="07635F1A"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81</w:t>
            </w:r>
          </w:p>
        </w:tc>
        <w:tc>
          <w:tcPr>
            <w:tcW w:w="960" w:type="dxa"/>
            <w:tcBorders>
              <w:top w:val="nil"/>
              <w:left w:val="nil"/>
              <w:bottom w:val="single" w:sz="4" w:space="0" w:color="000000"/>
              <w:right w:val="single" w:sz="4" w:space="0" w:color="000000"/>
            </w:tcBorders>
            <w:shd w:val="clear" w:color="auto" w:fill="auto"/>
            <w:vAlign w:val="bottom"/>
          </w:tcPr>
          <w:p w14:paraId="0A442D4F"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w:t>
            </w:r>
          </w:p>
        </w:tc>
        <w:tc>
          <w:tcPr>
            <w:tcW w:w="960" w:type="dxa"/>
            <w:tcBorders>
              <w:top w:val="nil"/>
              <w:left w:val="nil"/>
              <w:bottom w:val="single" w:sz="4" w:space="0" w:color="000000"/>
              <w:right w:val="single" w:sz="4" w:space="0" w:color="000000"/>
            </w:tcBorders>
          </w:tcPr>
          <w:p w14:paraId="748AE066"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w:t>
            </w:r>
          </w:p>
        </w:tc>
      </w:tr>
      <w:tr w:rsidR="00C82386" w14:paraId="04FCB92B" w14:textId="77777777">
        <w:trPr>
          <w:trHeight w:val="300"/>
          <w:jc w:val="center"/>
        </w:trPr>
        <w:tc>
          <w:tcPr>
            <w:tcW w:w="5790" w:type="dxa"/>
            <w:tcBorders>
              <w:top w:val="nil"/>
              <w:left w:val="single" w:sz="4" w:space="0" w:color="000000"/>
              <w:bottom w:val="single" w:sz="4" w:space="0" w:color="000000"/>
              <w:right w:val="single" w:sz="4" w:space="0" w:color="000000"/>
            </w:tcBorders>
            <w:shd w:val="clear" w:color="auto" w:fill="auto"/>
            <w:vAlign w:val="bottom"/>
          </w:tcPr>
          <w:p w14:paraId="4FFED65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протяжність теплових мереж, км</w:t>
            </w:r>
          </w:p>
        </w:tc>
        <w:tc>
          <w:tcPr>
            <w:tcW w:w="1260" w:type="dxa"/>
            <w:tcBorders>
              <w:top w:val="nil"/>
              <w:left w:val="nil"/>
              <w:bottom w:val="single" w:sz="4" w:space="0" w:color="000000"/>
              <w:right w:val="single" w:sz="4" w:space="0" w:color="000000"/>
            </w:tcBorders>
            <w:shd w:val="clear" w:color="auto" w:fill="auto"/>
            <w:vAlign w:val="bottom"/>
          </w:tcPr>
          <w:p w14:paraId="7E711BD8"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207,6</w:t>
            </w:r>
          </w:p>
        </w:tc>
        <w:tc>
          <w:tcPr>
            <w:tcW w:w="960" w:type="dxa"/>
            <w:tcBorders>
              <w:top w:val="nil"/>
              <w:left w:val="nil"/>
              <w:bottom w:val="single" w:sz="4" w:space="0" w:color="000000"/>
              <w:right w:val="single" w:sz="4" w:space="0" w:color="000000"/>
            </w:tcBorders>
            <w:shd w:val="clear" w:color="auto" w:fill="auto"/>
            <w:vAlign w:val="bottom"/>
          </w:tcPr>
          <w:p w14:paraId="54462AAC"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202,1</w:t>
            </w:r>
          </w:p>
        </w:tc>
        <w:tc>
          <w:tcPr>
            <w:tcW w:w="960" w:type="dxa"/>
            <w:tcBorders>
              <w:top w:val="nil"/>
              <w:left w:val="nil"/>
              <w:bottom w:val="single" w:sz="4" w:space="0" w:color="000000"/>
              <w:right w:val="single" w:sz="4" w:space="0" w:color="000000"/>
            </w:tcBorders>
          </w:tcPr>
          <w:p w14:paraId="22DFF668" w14:textId="77777777" w:rsidR="00C82386" w:rsidRDefault="00E66F64">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202,1</w:t>
            </w:r>
          </w:p>
        </w:tc>
      </w:tr>
    </w:tbl>
    <w:p w14:paraId="6E5861BD"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Система теплопостачання закрита, комбінована. Схема теплопостачання – двотрубна, частково – чотиритрубна. Протяжність мереж ГВП складає 38,4 км.</w:t>
      </w:r>
    </w:p>
    <w:p w14:paraId="4FAA7590"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w:t>
      </w:r>
    </w:p>
    <w:p w14:paraId="596CF059" w14:textId="77777777" w:rsidR="00C82386" w:rsidRDefault="00E66F64">
      <w:pPr>
        <w:spacing w:after="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Опис споживачів системи теплопостачання</w:t>
      </w:r>
    </w:p>
    <w:tbl>
      <w:tblPr>
        <w:tblStyle w:val="afffa"/>
        <w:tblW w:w="8309" w:type="dxa"/>
        <w:jc w:val="center"/>
        <w:tblInd w:w="0" w:type="dxa"/>
        <w:tblLayout w:type="fixed"/>
        <w:tblLook w:val="0400" w:firstRow="0" w:lastRow="0" w:firstColumn="0" w:lastColumn="0" w:noHBand="0" w:noVBand="1"/>
      </w:tblPr>
      <w:tblGrid>
        <w:gridCol w:w="6141"/>
        <w:gridCol w:w="1101"/>
        <w:gridCol w:w="1067"/>
      </w:tblGrid>
      <w:tr w:rsidR="00C82386" w14:paraId="00E9B472" w14:textId="77777777">
        <w:trPr>
          <w:trHeight w:val="300"/>
          <w:jc w:val="center"/>
        </w:trPr>
        <w:tc>
          <w:tcPr>
            <w:tcW w:w="61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4D7AC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w:t>
            </w:r>
          </w:p>
        </w:tc>
        <w:tc>
          <w:tcPr>
            <w:tcW w:w="1101" w:type="dxa"/>
            <w:tcBorders>
              <w:top w:val="single" w:sz="4" w:space="0" w:color="000000"/>
              <w:left w:val="nil"/>
              <w:bottom w:val="single" w:sz="4" w:space="0" w:color="000000"/>
              <w:right w:val="single" w:sz="4" w:space="0" w:color="000000"/>
            </w:tcBorders>
            <w:shd w:val="clear" w:color="auto" w:fill="auto"/>
            <w:vAlign w:val="bottom"/>
          </w:tcPr>
          <w:p w14:paraId="0E6BBBC0" w14:textId="77777777" w:rsidR="00C82386" w:rsidRDefault="00E66F64">
            <w:pPr>
              <w:spacing w:after="0" w:line="240" w:lineRule="auto"/>
              <w:jc w:val="right"/>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1067" w:type="dxa"/>
            <w:tcBorders>
              <w:top w:val="single" w:sz="4" w:space="0" w:color="000000"/>
              <w:left w:val="nil"/>
              <w:bottom w:val="single" w:sz="4" w:space="0" w:color="000000"/>
              <w:right w:val="single" w:sz="4" w:space="0" w:color="000000"/>
            </w:tcBorders>
            <w:vAlign w:val="center"/>
          </w:tcPr>
          <w:p w14:paraId="560E629B"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r>
      <w:tr w:rsidR="00C82386" w14:paraId="6E551586" w14:textId="77777777">
        <w:trPr>
          <w:trHeight w:val="300"/>
          <w:jc w:val="center"/>
        </w:trPr>
        <w:tc>
          <w:tcPr>
            <w:tcW w:w="8309" w:type="dxa"/>
            <w:gridSpan w:val="3"/>
            <w:tcBorders>
              <w:top w:val="single" w:sz="4" w:space="0" w:color="000000"/>
              <w:left w:val="single" w:sz="4" w:space="0" w:color="000000"/>
              <w:bottom w:val="single" w:sz="4" w:space="0" w:color="000000"/>
              <w:right w:val="single" w:sz="4" w:space="0" w:color="000000"/>
            </w:tcBorders>
            <w:shd w:val="clear" w:color="auto" w:fill="D9D9D9"/>
            <w:vAlign w:val="bottom"/>
          </w:tcPr>
          <w:p w14:paraId="20BC2E9E"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Споживачі</w:t>
            </w:r>
          </w:p>
        </w:tc>
      </w:tr>
      <w:tr w:rsidR="00C82386" w14:paraId="36164327" w14:textId="77777777">
        <w:trPr>
          <w:trHeight w:val="300"/>
          <w:jc w:val="center"/>
        </w:trPr>
        <w:tc>
          <w:tcPr>
            <w:tcW w:w="6141" w:type="dxa"/>
            <w:tcBorders>
              <w:top w:val="nil"/>
              <w:left w:val="single" w:sz="4" w:space="0" w:color="000000"/>
              <w:bottom w:val="single" w:sz="4" w:space="0" w:color="000000"/>
              <w:right w:val="single" w:sz="4" w:space="0" w:color="000000"/>
            </w:tcBorders>
            <w:shd w:val="clear" w:color="auto" w:fill="auto"/>
            <w:vAlign w:val="bottom"/>
          </w:tcPr>
          <w:p w14:paraId="5127AEE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опалювальна площа, тис. кв. м</w:t>
            </w:r>
          </w:p>
        </w:tc>
        <w:tc>
          <w:tcPr>
            <w:tcW w:w="1101" w:type="dxa"/>
            <w:tcBorders>
              <w:top w:val="nil"/>
              <w:left w:val="nil"/>
              <w:bottom w:val="single" w:sz="4" w:space="0" w:color="000000"/>
              <w:right w:val="single" w:sz="4" w:space="0" w:color="000000"/>
            </w:tcBorders>
            <w:shd w:val="clear" w:color="auto" w:fill="auto"/>
            <w:vAlign w:val="center"/>
          </w:tcPr>
          <w:p w14:paraId="7A6CACE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4317,2</w:t>
            </w:r>
          </w:p>
        </w:tc>
        <w:tc>
          <w:tcPr>
            <w:tcW w:w="1067" w:type="dxa"/>
            <w:tcBorders>
              <w:top w:val="nil"/>
              <w:left w:val="nil"/>
              <w:bottom w:val="single" w:sz="4" w:space="0" w:color="000000"/>
              <w:right w:val="single" w:sz="4" w:space="0" w:color="000000"/>
            </w:tcBorders>
            <w:shd w:val="clear" w:color="auto" w:fill="auto"/>
            <w:vAlign w:val="center"/>
          </w:tcPr>
          <w:p w14:paraId="3631F87A"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4096,1</w:t>
            </w:r>
          </w:p>
        </w:tc>
      </w:tr>
      <w:tr w:rsidR="00C82386" w14:paraId="06E53D74" w14:textId="77777777">
        <w:trPr>
          <w:trHeight w:val="300"/>
          <w:jc w:val="center"/>
        </w:trPr>
        <w:tc>
          <w:tcPr>
            <w:tcW w:w="6141" w:type="dxa"/>
            <w:tcBorders>
              <w:top w:val="nil"/>
              <w:left w:val="single" w:sz="4" w:space="0" w:color="000000"/>
              <w:bottom w:val="single" w:sz="4" w:space="0" w:color="000000"/>
              <w:right w:val="single" w:sz="4" w:space="0" w:color="000000"/>
            </w:tcBorders>
            <w:shd w:val="clear" w:color="auto" w:fill="auto"/>
            <w:vAlign w:val="bottom"/>
          </w:tcPr>
          <w:p w14:paraId="0F1AF90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кількість об’єктів теплопостачання</w:t>
            </w:r>
          </w:p>
        </w:tc>
        <w:tc>
          <w:tcPr>
            <w:tcW w:w="1101" w:type="dxa"/>
            <w:tcBorders>
              <w:top w:val="nil"/>
              <w:left w:val="nil"/>
              <w:bottom w:val="single" w:sz="4" w:space="0" w:color="000000"/>
              <w:right w:val="single" w:sz="4" w:space="0" w:color="000000"/>
            </w:tcBorders>
            <w:shd w:val="clear" w:color="auto" w:fill="auto"/>
            <w:vAlign w:val="center"/>
          </w:tcPr>
          <w:p w14:paraId="18D11EF3"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067" w:type="dxa"/>
            <w:tcBorders>
              <w:top w:val="nil"/>
              <w:left w:val="nil"/>
              <w:bottom w:val="single" w:sz="4" w:space="0" w:color="000000"/>
              <w:right w:val="single" w:sz="4" w:space="0" w:color="000000"/>
            </w:tcBorders>
            <w:shd w:val="clear" w:color="auto" w:fill="auto"/>
            <w:vAlign w:val="center"/>
          </w:tcPr>
          <w:p w14:paraId="299CFEBC"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1605</w:t>
            </w:r>
          </w:p>
        </w:tc>
      </w:tr>
      <w:tr w:rsidR="00C82386" w14:paraId="4DE4A7F3" w14:textId="77777777">
        <w:trPr>
          <w:trHeight w:val="300"/>
          <w:jc w:val="center"/>
        </w:trPr>
        <w:tc>
          <w:tcPr>
            <w:tcW w:w="61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37345B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Житлові будинки</w:t>
            </w:r>
          </w:p>
        </w:tc>
        <w:tc>
          <w:tcPr>
            <w:tcW w:w="1101" w:type="dxa"/>
            <w:tcBorders>
              <w:top w:val="single" w:sz="4" w:space="0" w:color="000000"/>
              <w:left w:val="nil"/>
              <w:bottom w:val="single" w:sz="4" w:space="0" w:color="000000"/>
              <w:right w:val="single" w:sz="4" w:space="0" w:color="000000"/>
            </w:tcBorders>
            <w:shd w:val="clear" w:color="auto" w:fill="auto"/>
            <w:vAlign w:val="center"/>
          </w:tcPr>
          <w:p w14:paraId="184718C9"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958</w:t>
            </w:r>
          </w:p>
        </w:tc>
        <w:tc>
          <w:tcPr>
            <w:tcW w:w="1067" w:type="dxa"/>
            <w:tcBorders>
              <w:top w:val="single" w:sz="4" w:space="0" w:color="000000"/>
              <w:left w:val="nil"/>
              <w:bottom w:val="single" w:sz="4" w:space="0" w:color="000000"/>
              <w:right w:val="single" w:sz="4" w:space="0" w:color="000000"/>
            </w:tcBorders>
            <w:vAlign w:val="center"/>
          </w:tcPr>
          <w:p w14:paraId="7A8EA88A"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956</w:t>
            </w:r>
          </w:p>
        </w:tc>
      </w:tr>
      <w:tr w:rsidR="00C82386" w14:paraId="4DD48E44" w14:textId="77777777">
        <w:trPr>
          <w:trHeight w:val="300"/>
          <w:jc w:val="center"/>
        </w:trPr>
        <w:tc>
          <w:tcPr>
            <w:tcW w:w="61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0BEBD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Бюджетні установи та госпрозрахункові організації міста</w:t>
            </w:r>
          </w:p>
        </w:tc>
        <w:tc>
          <w:tcPr>
            <w:tcW w:w="1101" w:type="dxa"/>
            <w:tcBorders>
              <w:top w:val="single" w:sz="4" w:space="0" w:color="000000"/>
              <w:left w:val="nil"/>
              <w:bottom w:val="single" w:sz="4" w:space="0" w:color="000000"/>
              <w:right w:val="single" w:sz="4" w:space="0" w:color="000000"/>
            </w:tcBorders>
            <w:shd w:val="clear" w:color="auto" w:fill="auto"/>
            <w:vAlign w:val="center"/>
          </w:tcPr>
          <w:p w14:paraId="5C62A942"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137</w:t>
            </w:r>
          </w:p>
        </w:tc>
        <w:tc>
          <w:tcPr>
            <w:tcW w:w="1067" w:type="dxa"/>
            <w:tcBorders>
              <w:top w:val="single" w:sz="4" w:space="0" w:color="000000"/>
              <w:left w:val="nil"/>
              <w:bottom w:val="single" w:sz="4" w:space="0" w:color="000000"/>
              <w:right w:val="single" w:sz="4" w:space="0" w:color="000000"/>
            </w:tcBorders>
            <w:vAlign w:val="center"/>
          </w:tcPr>
          <w:p w14:paraId="50043E3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137</w:t>
            </w:r>
          </w:p>
        </w:tc>
      </w:tr>
      <w:tr w:rsidR="00C82386" w14:paraId="380913FE" w14:textId="77777777">
        <w:trPr>
          <w:trHeight w:val="300"/>
          <w:jc w:val="center"/>
        </w:trPr>
        <w:tc>
          <w:tcPr>
            <w:tcW w:w="61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6293F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Інші будівлі</w:t>
            </w:r>
          </w:p>
        </w:tc>
        <w:tc>
          <w:tcPr>
            <w:tcW w:w="1101" w:type="dxa"/>
            <w:tcBorders>
              <w:top w:val="single" w:sz="4" w:space="0" w:color="000000"/>
              <w:left w:val="nil"/>
              <w:bottom w:val="single" w:sz="4" w:space="0" w:color="000000"/>
              <w:right w:val="single" w:sz="4" w:space="0" w:color="000000"/>
            </w:tcBorders>
            <w:shd w:val="clear" w:color="auto" w:fill="auto"/>
            <w:vAlign w:val="center"/>
          </w:tcPr>
          <w:p w14:paraId="56D2DBE5"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067" w:type="dxa"/>
            <w:tcBorders>
              <w:top w:val="single" w:sz="4" w:space="0" w:color="000000"/>
              <w:left w:val="nil"/>
              <w:bottom w:val="single" w:sz="4" w:space="0" w:color="000000"/>
              <w:right w:val="single" w:sz="4" w:space="0" w:color="000000"/>
            </w:tcBorders>
            <w:vAlign w:val="center"/>
          </w:tcPr>
          <w:p w14:paraId="724ABB8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512</w:t>
            </w:r>
          </w:p>
        </w:tc>
      </w:tr>
    </w:tbl>
    <w:p w14:paraId="4F50CB1E" w14:textId="77777777" w:rsidR="00C82386" w:rsidRDefault="00C82386">
      <w:pPr>
        <w:spacing w:after="0"/>
        <w:ind w:firstLine="709"/>
        <w:jc w:val="center"/>
        <w:rPr>
          <w:rFonts w:ascii="Times New Roman" w:eastAsia="Times New Roman" w:hAnsi="Times New Roman" w:cs="Times New Roman"/>
          <w:sz w:val="24"/>
          <w:szCs w:val="24"/>
        </w:rPr>
      </w:pPr>
    </w:p>
    <w:p w14:paraId="698D218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період 2010-2020 років постійно проводилися заходи з модернізації котелень, заміни котлів з підвищенням ККД генерації тепла, проводилася реконструкція та оптимізація мереж теплопостачання з метою зменшення втрат в мережах.</w:t>
      </w:r>
    </w:p>
    <w:p w14:paraId="664D0E6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2020 рік всі котельні в місті мають автоматизовану систему управління, а 16 котелень автоматизовані повністю.</w:t>
      </w:r>
    </w:p>
    <w:p w14:paraId="352DE8F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3.1. наведені дані енергоспоживання КП «Житомиртеплокомуненерго» за період 2010-2020 рр. в натуральних показниках.</w:t>
      </w:r>
    </w:p>
    <w:p w14:paraId="3D4E64DB" w14:textId="77777777" w:rsidR="00C82386" w:rsidRDefault="00E66F64">
      <w:pPr>
        <w:spacing w:after="0"/>
        <w:jc w:val="center"/>
        <w:rPr>
          <w:rFonts w:ascii="Times New Roman" w:eastAsia="Times New Roman" w:hAnsi="Times New Roman" w:cs="Times New Roman"/>
          <w:sz w:val="24"/>
          <w:szCs w:val="24"/>
        </w:rPr>
      </w:pPr>
      <w:r>
        <w:rPr>
          <w:noProof/>
          <w:lang w:val="ru-RU"/>
        </w:rPr>
        <w:drawing>
          <wp:inline distT="0" distB="0" distL="0" distR="0" wp14:anchorId="7AF7EFC2" wp14:editId="14B5F21F">
            <wp:extent cx="4591050" cy="2762250"/>
            <wp:effectExtent l="0" t="0" r="0" b="0"/>
            <wp:docPr id="2144251939" name="Диаграмма 21442519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37FF057" w14:textId="77777777" w:rsidR="00C82386" w:rsidRDefault="00E66F64">
      <w:pPr>
        <w:spacing w:after="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3.1. Енергоспоживання КП «Житомиртеплокомуненерго» за період 2010-2020 рр.</w:t>
      </w:r>
    </w:p>
    <w:p w14:paraId="5E33F7B8"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Споживання енергоносіїв поступово зменшується. Причинами зменшення енергоспоживання підприємством-енергопостачальником є тепліші періоди опалення в останні роки, а головне - виконання заходів з енергоефективності споживачами тепла та покращення ККД генерації і транспортування тепла. </w:t>
      </w:r>
    </w:p>
    <w:p w14:paraId="0AB33DF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таблиці 3.3. наведені загальні показники виробництва, споживання та характеристики ефективності виробництва та транспортування тепла за період 2010-2020</w:t>
      </w:r>
      <w:r w:rsidR="00E34ACB">
        <w:rPr>
          <w:rFonts w:ascii="Times New Roman" w:eastAsia="Times New Roman" w:hAnsi="Times New Roman" w:cs="Times New Roman"/>
          <w:sz w:val="24"/>
          <w:szCs w:val="24"/>
        </w:rPr>
        <w:t>:</w:t>
      </w:r>
    </w:p>
    <w:p w14:paraId="195BEFD7" w14:textId="77777777" w:rsidR="00C82386" w:rsidRDefault="00E66F64">
      <w:pPr>
        <w:spacing w:after="0"/>
        <w:ind w:right="282"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3.3</w:t>
      </w:r>
    </w:p>
    <w:tbl>
      <w:tblPr>
        <w:tblStyle w:val="afffb"/>
        <w:tblW w:w="9286" w:type="dxa"/>
        <w:tblInd w:w="-21" w:type="dxa"/>
        <w:tblLayout w:type="fixed"/>
        <w:tblLook w:val="0400" w:firstRow="0" w:lastRow="0" w:firstColumn="0" w:lastColumn="0" w:noHBand="0" w:noVBand="1"/>
      </w:tblPr>
      <w:tblGrid>
        <w:gridCol w:w="877"/>
        <w:gridCol w:w="878"/>
        <w:gridCol w:w="825"/>
        <w:gridCol w:w="825"/>
        <w:gridCol w:w="825"/>
        <w:gridCol w:w="825"/>
        <w:gridCol w:w="825"/>
        <w:gridCol w:w="825"/>
        <w:gridCol w:w="878"/>
        <w:gridCol w:w="825"/>
        <w:gridCol w:w="878"/>
      </w:tblGrid>
      <w:tr w:rsidR="00C82386" w14:paraId="7FDF0A51" w14:textId="77777777">
        <w:trPr>
          <w:trHeight w:val="315"/>
        </w:trPr>
        <w:tc>
          <w:tcPr>
            <w:tcW w:w="8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CC1CD"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3F73C63D"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2011</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5788FA3C"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2012</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3CF4B51A"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2013</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12D4701A"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2014</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7ADD5E1F"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2015</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1970D2CF"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2016</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1854194E"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2017</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6D5B9176"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2018</w:t>
            </w:r>
          </w:p>
        </w:tc>
        <w:tc>
          <w:tcPr>
            <w:tcW w:w="825" w:type="dxa"/>
            <w:tcBorders>
              <w:top w:val="single" w:sz="4" w:space="0" w:color="000000"/>
              <w:left w:val="nil"/>
              <w:bottom w:val="single" w:sz="4" w:space="0" w:color="000000"/>
              <w:right w:val="single" w:sz="4" w:space="0" w:color="000000"/>
            </w:tcBorders>
            <w:shd w:val="clear" w:color="auto" w:fill="auto"/>
            <w:vAlign w:val="center"/>
          </w:tcPr>
          <w:p w14:paraId="6CE84AAF"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2019</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26860E4B" w14:textId="77777777" w:rsidR="00C82386" w:rsidRDefault="00E66F64" w:rsidP="00E34ACB">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r>
      <w:tr w:rsidR="00C82386" w14:paraId="32224408" w14:textId="77777777">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vAlign w:val="center"/>
          </w:tcPr>
          <w:p w14:paraId="2A9BB2A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Вироблено теплової енергії, Гкал</w:t>
            </w:r>
          </w:p>
        </w:tc>
      </w:tr>
      <w:tr w:rsidR="00C82386" w14:paraId="75091E7E"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bottom"/>
          </w:tcPr>
          <w:p w14:paraId="6798AEAF"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694940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6772703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640741</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C48363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715934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6953B676"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645316</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4B8BC3B4"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547116</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4BDFAD60"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451759</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5F0B25A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511133</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49B1239B"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484350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2BAFCF45"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520007</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12AF5B5E"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445568</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6C50DBB2"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432398</w:t>
            </w:r>
          </w:p>
        </w:tc>
      </w:tr>
      <w:tr w:rsidR="00C82386" w14:paraId="301A2EFC" w14:textId="77777777" w:rsidTr="00CC3658">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79E3B816"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Втрати в тепломережі, Гкал</w:t>
            </w:r>
          </w:p>
        </w:tc>
      </w:tr>
      <w:tr w:rsidR="00C82386" w14:paraId="5FD53556"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bottom"/>
          </w:tcPr>
          <w:p w14:paraId="7789514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108086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6A00524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86007</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96087D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95984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77472E98"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95612</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00D37CFA"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76434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4C6E2AC2"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59954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396B2733"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67562</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5ECBA2D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59990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45333812"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62625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58FAF13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51736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2E03B8C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46876</w:t>
            </w:r>
          </w:p>
        </w:tc>
      </w:tr>
      <w:tr w:rsidR="00C82386" w14:paraId="791BA4FC" w14:textId="77777777" w:rsidTr="00CC3658">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116C0C2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Відсоток втрат в мережі, %</w:t>
            </w:r>
          </w:p>
        </w:tc>
      </w:tr>
      <w:tr w:rsidR="00C82386" w14:paraId="597DC3C2"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bottom"/>
          </w:tcPr>
          <w:p w14:paraId="34954FCF"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15,6%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5F238034"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13,4%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6FFA3A15"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13,4%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6D9326BF"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14,8%</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4142559D"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14,0%</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8DB34FD"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13,3%</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7C8C964A"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13,2%</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386E808E"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12,4%</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0246A22E"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12,0%</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6AC862F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11,6%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2489E75E"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10,8%</w:t>
            </w:r>
          </w:p>
        </w:tc>
      </w:tr>
      <w:tr w:rsidR="00C82386" w14:paraId="4ED10C6A" w14:textId="77777777" w:rsidTr="00CC3658">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48CBD5A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Корисний відпуск власним споживачам, Гкал</w:t>
            </w:r>
          </w:p>
        </w:tc>
      </w:tr>
      <w:tr w:rsidR="00C82386" w14:paraId="2AC6C7AE"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bottom"/>
          </w:tcPr>
          <w:p w14:paraId="44D60BAF"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586635</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628B15D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554526</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0CD2783C"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619581</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015B4B13"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549374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65BD100"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470387</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B6DB037"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391533</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A0DEA56"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443133</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72E3B7D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423816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2510F6C8"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456797</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16D82AF4"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393333</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7DF49360"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385073</w:t>
            </w:r>
          </w:p>
        </w:tc>
      </w:tr>
      <w:tr w:rsidR="00C82386" w14:paraId="0F3B9DF3" w14:textId="77777777" w:rsidTr="00CC3658">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26E73727"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 xml:space="preserve">Питомі витрати природного газу на виробництво теплової енергії, що відпущено з колекторів, </w:t>
            </w:r>
            <w:r w:rsidRPr="00CC3658">
              <w:rPr>
                <w:rFonts w:ascii="Times New Roman" w:eastAsia="Times New Roman" w:hAnsi="Times New Roman" w:cs="Times New Roman"/>
                <w:color w:val="000000"/>
                <w:sz w:val="20"/>
                <w:szCs w:val="20"/>
              </w:rPr>
              <w:br/>
              <w:t>кг у.п./Гкал</w:t>
            </w:r>
          </w:p>
        </w:tc>
      </w:tr>
      <w:tr w:rsidR="00C82386" w14:paraId="6D5122AA"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center"/>
          </w:tcPr>
          <w:p w14:paraId="7D273164"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165,54</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center"/>
          </w:tcPr>
          <w:p w14:paraId="639EB96B"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165,15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5B3C33E2"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165,05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2F9F422A"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164,40</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0BBA0FAA"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164,65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7BF7AE64"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162,08</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67EA3706"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162,09</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1F4DD565"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161,56</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center"/>
          </w:tcPr>
          <w:p w14:paraId="080052F8"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162,24</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center"/>
          </w:tcPr>
          <w:p w14:paraId="0F7BAE5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161,32</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center"/>
          </w:tcPr>
          <w:p w14:paraId="16DB1213"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160,96</w:t>
            </w:r>
          </w:p>
        </w:tc>
      </w:tr>
      <w:tr w:rsidR="00C82386" w14:paraId="447F9241" w14:textId="77777777" w:rsidTr="00CC3658">
        <w:trPr>
          <w:trHeight w:val="315"/>
        </w:trPr>
        <w:tc>
          <w:tcPr>
            <w:tcW w:w="9286" w:type="dxa"/>
            <w:gridSpan w:val="11"/>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5CABC3B3"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Питомі витрати електроенергії на виробництво теплової енергії, що відпущено з колекторів, кВт.год/Гкал</w:t>
            </w:r>
          </w:p>
        </w:tc>
      </w:tr>
      <w:tr w:rsidR="00C82386" w14:paraId="71011DB4" w14:textId="77777777" w:rsidTr="00CC3658">
        <w:trPr>
          <w:trHeight w:val="300"/>
        </w:trPr>
        <w:tc>
          <w:tcPr>
            <w:tcW w:w="877"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bottom"/>
          </w:tcPr>
          <w:p w14:paraId="6D1A947D"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32,10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2FBF6730"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33,45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5CE665F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31,86</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0DE1AFA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31,96</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61CA975"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33,95</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349DB6C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41,47</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17A0939"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35,60</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61C09F21"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36,10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35A5A382"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34,20</w:t>
            </w:r>
          </w:p>
        </w:tc>
        <w:tc>
          <w:tcPr>
            <w:tcW w:w="825" w:type="dxa"/>
            <w:tcBorders>
              <w:top w:val="nil"/>
              <w:left w:val="nil"/>
              <w:bottom w:val="single" w:sz="4" w:space="0" w:color="000000"/>
              <w:right w:val="single" w:sz="4" w:space="0" w:color="000000"/>
            </w:tcBorders>
            <w:shd w:val="clear" w:color="auto" w:fill="auto"/>
            <w:tcMar>
              <w:left w:w="57" w:type="dxa"/>
              <w:right w:w="57" w:type="dxa"/>
            </w:tcMar>
            <w:vAlign w:val="bottom"/>
          </w:tcPr>
          <w:p w14:paraId="2E7E88FF"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39,30</w:t>
            </w:r>
          </w:p>
        </w:tc>
        <w:tc>
          <w:tcPr>
            <w:tcW w:w="878" w:type="dxa"/>
            <w:tcBorders>
              <w:top w:val="nil"/>
              <w:left w:val="nil"/>
              <w:bottom w:val="single" w:sz="4" w:space="0" w:color="000000"/>
              <w:right w:val="single" w:sz="4" w:space="0" w:color="000000"/>
            </w:tcBorders>
            <w:shd w:val="clear" w:color="auto" w:fill="auto"/>
            <w:tcMar>
              <w:left w:w="57" w:type="dxa"/>
              <w:right w:w="57" w:type="dxa"/>
            </w:tcMar>
            <w:vAlign w:val="bottom"/>
          </w:tcPr>
          <w:p w14:paraId="475A5F26" w14:textId="77777777" w:rsidR="00C82386" w:rsidRPr="00CC3658" w:rsidRDefault="00E66F64" w:rsidP="00E34ACB">
            <w:pPr>
              <w:spacing w:after="0" w:line="240" w:lineRule="auto"/>
              <w:jc w:val="center"/>
              <w:rPr>
                <w:rFonts w:ascii="Times New Roman" w:eastAsia="Times New Roman" w:hAnsi="Times New Roman" w:cs="Times New Roman"/>
                <w:color w:val="000000"/>
                <w:sz w:val="20"/>
                <w:szCs w:val="20"/>
              </w:rPr>
            </w:pPr>
            <w:r w:rsidRPr="00CC3658">
              <w:rPr>
                <w:rFonts w:ascii="Times New Roman" w:eastAsia="Times New Roman" w:hAnsi="Times New Roman" w:cs="Times New Roman"/>
                <w:color w:val="000000"/>
                <w:sz w:val="20"/>
                <w:szCs w:val="20"/>
              </w:rPr>
              <w:t>39,60</w:t>
            </w:r>
          </w:p>
        </w:tc>
      </w:tr>
    </w:tbl>
    <w:p w14:paraId="52DD679E" w14:textId="77777777" w:rsidR="00C82386" w:rsidRDefault="00C82386">
      <w:pPr>
        <w:spacing w:after="0"/>
        <w:ind w:right="282"/>
        <w:jc w:val="both"/>
        <w:rPr>
          <w:rFonts w:ascii="Times New Roman" w:eastAsia="Times New Roman" w:hAnsi="Times New Roman" w:cs="Times New Roman"/>
          <w:sz w:val="24"/>
          <w:szCs w:val="24"/>
        </w:rPr>
      </w:pPr>
    </w:p>
    <w:p w14:paraId="12DD0187"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Варто відмітити, що відсоток втрат у мережах теплопостачання постійно скорочується.</w:t>
      </w:r>
    </w:p>
    <w:p w14:paraId="43904573"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На рисунку 3.2. наведено дані щодо кількості теплової енергії, що було надано споживачам КП «КП «Житомиртеплокомуненерго» протягом періоду 2010-2020 рр.</w:t>
      </w:r>
    </w:p>
    <w:p w14:paraId="10C52978" w14:textId="77777777" w:rsidR="00C82386" w:rsidRDefault="00E66F64">
      <w:pPr>
        <w:spacing w:before="120" w:after="0"/>
        <w:ind w:firstLine="709"/>
        <w:jc w:val="both"/>
        <w:rPr>
          <w:rFonts w:ascii="Times New Roman" w:eastAsia="Times New Roman" w:hAnsi="Times New Roman" w:cs="Times New Roman"/>
          <w:sz w:val="24"/>
          <w:szCs w:val="24"/>
        </w:rPr>
      </w:pPr>
      <w:r>
        <w:rPr>
          <w:noProof/>
          <w:lang w:val="ru-RU"/>
        </w:rPr>
        <w:drawing>
          <wp:inline distT="0" distB="0" distL="0" distR="0" wp14:anchorId="2316407E" wp14:editId="27B4E237">
            <wp:extent cx="4591050" cy="3086100"/>
            <wp:effectExtent l="0" t="0" r="0" b="0"/>
            <wp:docPr id="2144251940" name="Диаграмма 21442519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6D48827" w14:textId="77777777" w:rsidR="00C82386" w:rsidRDefault="00E66F64">
      <w:pPr>
        <w:spacing w:before="120"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3.2. Кількість тепла, що надана споживачам КП «Житомиртеплокомуненерго»  протягом періоду 2010-2020 рр., Гкал</w:t>
      </w:r>
    </w:p>
    <w:p w14:paraId="52783CC6"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таблиці 3.4 наведено дані щодо споживання тепла у системі централізованого теплопостачання по місту Житомиру у розрізі споживачів протягом періоду 2010-2020 рр..</w:t>
      </w:r>
    </w:p>
    <w:p w14:paraId="69C05477" w14:textId="77777777" w:rsidR="00C82386" w:rsidRDefault="00E66F64">
      <w:pPr>
        <w:spacing w:before="240" w:after="0"/>
        <w:ind w:right="284"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3.4</w:t>
      </w:r>
    </w:p>
    <w:tbl>
      <w:tblPr>
        <w:tblStyle w:val="afffc"/>
        <w:tblW w:w="9751" w:type="dxa"/>
        <w:tblInd w:w="-21" w:type="dxa"/>
        <w:tblLayout w:type="fixed"/>
        <w:tblLook w:val="0400" w:firstRow="0" w:lastRow="0" w:firstColumn="0" w:lastColumn="0" w:noHBand="0" w:noVBand="1"/>
      </w:tblPr>
      <w:tblGrid>
        <w:gridCol w:w="886"/>
        <w:gridCol w:w="886"/>
        <w:gridCol w:w="886"/>
        <w:gridCol w:w="901"/>
        <w:gridCol w:w="886"/>
        <w:gridCol w:w="886"/>
        <w:gridCol w:w="886"/>
        <w:gridCol w:w="886"/>
        <w:gridCol w:w="886"/>
        <w:gridCol w:w="886"/>
        <w:gridCol w:w="876"/>
      </w:tblGrid>
      <w:tr w:rsidR="00C82386" w14:paraId="3715159D" w14:textId="77777777" w:rsidTr="00E34ACB">
        <w:trPr>
          <w:trHeight w:val="300"/>
        </w:trPr>
        <w:tc>
          <w:tcPr>
            <w:tcW w:w="9751" w:type="dxa"/>
            <w:gridSpan w:val="11"/>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2753F96"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Споживання тепла від системи  централізованого опалення в м. Житомир у 2010-2020 рр., Гкал</w:t>
            </w:r>
          </w:p>
        </w:tc>
      </w:tr>
      <w:tr w:rsidR="00C82386" w14:paraId="77DDC986" w14:textId="77777777" w:rsidTr="00E34ACB">
        <w:trPr>
          <w:trHeight w:val="315"/>
        </w:trPr>
        <w:tc>
          <w:tcPr>
            <w:tcW w:w="88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3EEB03BF"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8FB9CD0"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47BBBD04"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2012</w:t>
            </w:r>
          </w:p>
        </w:tc>
        <w:tc>
          <w:tcPr>
            <w:tcW w:w="901" w:type="dxa"/>
            <w:tcBorders>
              <w:top w:val="nil"/>
              <w:left w:val="nil"/>
              <w:bottom w:val="single" w:sz="4" w:space="0" w:color="000000"/>
              <w:right w:val="single" w:sz="4" w:space="0" w:color="000000"/>
            </w:tcBorders>
            <w:shd w:val="clear" w:color="auto" w:fill="auto"/>
            <w:tcMar>
              <w:left w:w="28" w:type="dxa"/>
              <w:right w:w="28" w:type="dxa"/>
            </w:tcMar>
            <w:vAlign w:val="center"/>
          </w:tcPr>
          <w:p w14:paraId="084F1A0C"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2013</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DA6FECC"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2014</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6A89BA0A"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2015</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40B2FAFB"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2016</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2D5357DC"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715E633E"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2018</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4D1236F0"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2019</w:t>
            </w:r>
          </w:p>
        </w:tc>
        <w:tc>
          <w:tcPr>
            <w:tcW w:w="876" w:type="dxa"/>
            <w:tcBorders>
              <w:top w:val="nil"/>
              <w:left w:val="nil"/>
              <w:bottom w:val="single" w:sz="4" w:space="0" w:color="000000"/>
              <w:right w:val="single" w:sz="4" w:space="0" w:color="000000"/>
            </w:tcBorders>
            <w:shd w:val="clear" w:color="auto" w:fill="auto"/>
            <w:tcMar>
              <w:left w:w="28" w:type="dxa"/>
              <w:right w:w="28" w:type="dxa"/>
            </w:tcMar>
            <w:vAlign w:val="center"/>
          </w:tcPr>
          <w:p w14:paraId="4ED260F0"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r>
      <w:tr w:rsidR="00C82386" w14:paraId="31C0F8B1" w14:textId="77777777" w:rsidTr="00E34ACB">
        <w:trPr>
          <w:trHeight w:val="315"/>
        </w:trPr>
        <w:tc>
          <w:tcPr>
            <w:tcW w:w="9751" w:type="dxa"/>
            <w:gridSpan w:val="11"/>
            <w:tcBorders>
              <w:top w:val="single" w:sz="4" w:space="0" w:color="000000"/>
              <w:left w:val="single" w:sz="4" w:space="0" w:color="000000"/>
              <w:bottom w:val="single" w:sz="4" w:space="0" w:color="000000"/>
              <w:right w:val="single" w:sz="4" w:space="0" w:color="000000"/>
            </w:tcBorders>
            <w:shd w:val="clear" w:color="auto" w:fill="D9D9D9"/>
            <w:tcMar>
              <w:left w:w="28" w:type="dxa"/>
              <w:right w:w="28" w:type="dxa"/>
            </w:tcMar>
            <w:vAlign w:val="center"/>
          </w:tcPr>
          <w:p w14:paraId="128920E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Бюджетні установи</w:t>
            </w:r>
          </w:p>
        </w:tc>
      </w:tr>
      <w:tr w:rsidR="00C82386" w14:paraId="02779D4C" w14:textId="77777777" w:rsidTr="00E34ACB">
        <w:trPr>
          <w:trHeight w:val="315"/>
        </w:trPr>
        <w:tc>
          <w:tcPr>
            <w:tcW w:w="88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53117AE9"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96400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60A529F7"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84931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B47C318"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104896</w:t>
            </w:r>
          </w:p>
        </w:tc>
        <w:tc>
          <w:tcPr>
            <w:tcW w:w="901" w:type="dxa"/>
            <w:tcBorders>
              <w:top w:val="nil"/>
              <w:left w:val="nil"/>
              <w:bottom w:val="single" w:sz="4" w:space="0" w:color="000000"/>
              <w:right w:val="single" w:sz="4" w:space="0" w:color="000000"/>
            </w:tcBorders>
            <w:shd w:val="clear" w:color="auto" w:fill="auto"/>
            <w:tcMar>
              <w:left w:w="28" w:type="dxa"/>
              <w:right w:w="28" w:type="dxa"/>
            </w:tcMar>
            <w:vAlign w:val="center"/>
          </w:tcPr>
          <w:p w14:paraId="4B144BCE"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86144</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64AD00BD"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70547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C0249DF"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67120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ED8C979"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66556</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DB62284"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61829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0F56E996"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66209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44BEBD9"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61602</w:t>
            </w:r>
          </w:p>
        </w:tc>
        <w:tc>
          <w:tcPr>
            <w:tcW w:w="876" w:type="dxa"/>
            <w:tcBorders>
              <w:top w:val="nil"/>
              <w:left w:val="nil"/>
              <w:bottom w:val="single" w:sz="4" w:space="0" w:color="000000"/>
              <w:right w:val="single" w:sz="4" w:space="0" w:color="000000"/>
            </w:tcBorders>
            <w:shd w:val="clear" w:color="auto" w:fill="auto"/>
            <w:tcMar>
              <w:left w:w="28" w:type="dxa"/>
              <w:right w:w="28" w:type="dxa"/>
            </w:tcMar>
            <w:vAlign w:val="center"/>
          </w:tcPr>
          <w:p w14:paraId="3FA39AD4"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49695</w:t>
            </w:r>
          </w:p>
        </w:tc>
      </w:tr>
      <w:tr w:rsidR="00C82386" w14:paraId="67B4A1AC" w14:textId="77777777" w:rsidTr="00E34ACB">
        <w:trPr>
          <w:trHeight w:val="315"/>
        </w:trPr>
        <w:tc>
          <w:tcPr>
            <w:tcW w:w="9751" w:type="dxa"/>
            <w:gridSpan w:val="11"/>
            <w:tcBorders>
              <w:top w:val="single" w:sz="4" w:space="0" w:color="000000"/>
              <w:left w:val="single" w:sz="4" w:space="0" w:color="000000"/>
              <w:bottom w:val="single" w:sz="4" w:space="0" w:color="000000"/>
              <w:right w:val="single" w:sz="4" w:space="0" w:color="000000"/>
            </w:tcBorders>
            <w:shd w:val="clear" w:color="auto" w:fill="D9D9D9"/>
            <w:tcMar>
              <w:left w:w="28" w:type="dxa"/>
              <w:right w:w="28" w:type="dxa"/>
            </w:tcMar>
            <w:vAlign w:val="center"/>
          </w:tcPr>
          <w:p w14:paraId="41DA1DC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Житлові будівлі</w:t>
            </w:r>
          </w:p>
        </w:tc>
      </w:tr>
      <w:tr w:rsidR="00C82386" w14:paraId="610CD476" w14:textId="77777777" w:rsidTr="00E34ACB">
        <w:trPr>
          <w:trHeight w:val="315"/>
        </w:trPr>
        <w:tc>
          <w:tcPr>
            <w:tcW w:w="88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17AB408B"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461451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FD7CE0B"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444838</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50842A8"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486567</w:t>
            </w:r>
          </w:p>
        </w:tc>
        <w:tc>
          <w:tcPr>
            <w:tcW w:w="901" w:type="dxa"/>
            <w:tcBorders>
              <w:top w:val="nil"/>
              <w:left w:val="nil"/>
              <w:bottom w:val="single" w:sz="4" w:space="0" w:color="000000"/>
              <w:right w:val="single" w:sz="4" w:space="0" w:color="000000"/>
            </w:tcBorders>
            <w:shd w:val="clear" w:color="auto" w:fill="auto"/>
            <w:tcMar>
              <w:left w:w="28" w:type="dxa"/>
              <w:right w:w="28" w:type="dxa"/>
            </w:tcMar>
            <w:vAlign w:val="center"/>
          </w:tcPr>
          <w:p w14:paraId="18F1E586"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441170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2FF0BE4"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381491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D77E4DF"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309680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B941DF2"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360708</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C4DAC12"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347927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2ACF229B"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374838</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676F55A5"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318730</w:t>
            </w:r>
          </w:p>
        </w:tc>
        <w:tc>
          <w:tcPr>
            <w:tcW w:w="876" w:type="dxa"/>
            <w:tcBorders>
              <w:top w:val="nil"/>
              <w:left w:val="nil"/>
              <w:bottom w:val="single" w:sz="4" w:space="0" w:color="000000"/>
              <w:right w:val="single" w:sz="4" w:space="0" w:color="000000"/>
            </w:tcBorders>
            <w:shd w:val="clear" w:color="auto" w:fill="auto"/>
            <w:tcMar>
              <w:left w:w="28" w:type="dxa"/>
              <w:right w:w="28" w:type="dxa"/>
            </w:tcMar>
            <w:vAlign w:val="center"/>
          </w:tcPr>
          <w:p w14:paraId="353583C4"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323014</w:t>
            </w:r>
          </w:p>
        </w:tc>
      </w:tr>
      <w:tr w:rsidR="00C82386" w14:paraId="57EB6C0F" w14:textId="77777777" w:rsidTr="00E34ACB">
        <w:trPr>
          <w:trHeight w:val="315"/>
        </w:trPr>
        <w:tc>
          <w:tcPr>
            <w:tcW w:w="9751" w:type="dxa"/>
            <w:gridSpan w:val="11"/>
            <w:tcBorders>
              <w:top w:val="single" w:sz="4" w:space="0" w:color="000000"/>
              <w:left w:val="single" w:sz="4" w:space="0" w:color="000000"/>
              <w:bottom w:val="single" w:sz="4" w:space="0" w:color="000000"/>
              <w:right w:val="single" w:sz="4" w:space="0" w:color="000000"/>
            </w:tcBorders>
            <w:shd w:val="clear" w:color="auto" w:fill="D9D9D9"/>
            <w:tcMar>
              <w:left w:w="28" w:type="dxa"/>
              <w:right w:w="28" w:type="dxa"/>
            </w:tcMar>
            <w:vAlign w:val="center"/>
          </w:tcPr>
          <w:p w14:paraId="443FA00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Релігійні установи</w:t>
            </w:r>
          </w:p>
        </w:tc>
      </w:tr>
      <w:tr w:rsidR="00C82386" w14:paraId="6C423E3F" w14:textId="77777777" w:rsidTr="00E34ACB">
        <w:trPr>
          <w:trHeight w:val="315"/>
        </w:trPr>
        <w:tc>
          <w:tcPr>
            <w:tcW w:w="88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7D9D5FC6"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9703774"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64</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010C0ED2"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97</w:t>
            </w:r>
          </w:p>
        </w:tc>
        <w:tc>
          <w:tcPr>
            <w:tcW w:w="901" w:type="dxa"/>
            <w:tcBorders>
              <w:top w:val="nil"/>
              <w:left w:val="nil"/>
              <w:bottom w:val="single" w:sz="4" w:space="0" w:color="000000"/>
              <w:right w:val="single" w:sz="4" w:space="0" w:color="000000"/>
            </w:tcBorders>
            <w:shd w:val="clear" w:color="auto" w:fill="auto"/>
            <w:tcMar>
              <w:left w:w="28" w:type="dxa"/>
              <w:right w:w="28" w:type="dxa"/>
            </w:tcMar>
            <w:vAlign w:val="center"/>
          </w:tcPr>
          <w:p w14:paraId="46A1522D"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5DA518E"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3778549"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6B410D0C"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99E62CC"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0C40F312"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2B9AD8A"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876" w:type="dxa"/>
            <w:tcBorders>
              <w:top w:val="nil"/>
              <w:left w:val="nil"/>
              <w:bottom w:val="single" w:sz="4" w:space="0" w:color="000000"/>
              <w:right w:val="single" w:sz="4" w:space="0" w:color="000000"/>
            </w:tcBorders>
            <w:shd w:val="clear" w:color="auto" w:fill="auto"/>
            <w:tcMar>
              <w:left w:w="28" w:type="dxa"/>
              <w:right w:w="28" w:type="dxa"/>
            </w:tcMar>
            <w:vAlign w:val="center"/>
          </w:tcPr>
          <w:p w14:paraId="18436339"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r>
      <w:tr w:rsidR="00C82386" w14:paraId="6F6D0E9E" w14:textId="77777777" w:rsidTr="00E34ACB">
        <w:trPr>
          <w:trHeight w:val="315"/>
        </w:trPr>
        <w:tc>
          <w:tcPr>
            <w:tcW w:w="9751" w:type="dxa"/>
            <w:gridSpan w:val="11"/>
            <w:tcBorders>
              <w:top w:val="single" w:sz="4" w:space="0" w:color="000000"/>
              <w:left w:val="single" w:sz="4" w:space="0" w:color="000000"/>
              <w:bottom w:val="single" w:sz="4" w:space="0" w:color="000000"/>
              <w:right w:val="single" w:sz="4" w:space="0" w:color="000000"/>
            </w:tcBorders>
            <w:shd w:val="clear" w:color="auto" w:fill="D9D9D9"/>
            <w:tcMar>
              <w:left w:w="28" w:type="dxa"/>
              <w:right w:w="28" w:type="dxa"/>
            </w:tcMar>
            <w:vAlign w:val="center"/>
          </w:tcPr>
          <w:p w14:paraId="445AEE1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Інші споживачі</w:t>
            </w:r>
          </w:p>
        </w:tc>
      </w:tr>
      <w:tr w:rsidR="00C82386" w14:paraId="061F3176" w14:textId="77777777" w:rsidTr="00E34ACB">
        <w:trPr>
          <w:trHeight w:val="300"/>
        </w:trPr>
        <w:tc>
          <w:tcPr>
            <w:tcW w:w="88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45D6C5EC"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28767</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B73D8C2"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24693</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064F6525"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28021</w:t>
            </w:r>
          </w:p>
        </w:tc>
        <w:tc>
          <w:tcPr>
            <w:tcW w:w="901" w:type="dxa"/>
            <w:tcBorders>
              <w:top w:val="nil"/>
              <w:left w:val="nil"/>
              <w:bottom w:val="single" w:sz="4" w:space="0" w:color="000000"/>
              <w:right w:val="single" w:sz="4" w:space="0" w:color="000000"/>
            </w:tcBorders>
            <w:shd w:val="clear" w:color="auto" w:fill="auto"/>
            <w:tcMar>
              <w:left w:w="28" w:type="dxa"/>
              <w:right w:w="28" w:type="dxa"/>
            </w:tcMar>
            <w:vAlign w:val="center"/>
          </w:tcPr>
          <w:p w14:paraId="2EE7E7AD"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21933</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1AFAA46"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18240</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1B23EB6A"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14689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4C0B0CE3"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15841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5EFA2FF6"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14029</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F0EE5DB"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15721</w:t>
            </w:r>
          </w:p>
        </w:tc>
        <w:tc>
          <w:tcPr>
            <w:tcW w:w="886" w:type="dxa"/>
            <w:tcBorders>
              <w:top w:val="nil"/>
              <w:left w:val="nil"/>
              <w:bottom w:val="single" w:sz="4" w:space="0" w:color="000000"/>
              <w:right w:val="single" w:sz="4" w:space="0" w:color="000000"/>
            </w:tcBorders>
            <w:shd w:val="clear" w:color="auto" w:fill="auto"/>
            <w:tcMar>
              <w:left w:w="28" w:type="dxa"/>
              <w:right w:w="28" w:type="dxa"/>
            </w:tcMar>
            <w:vAlign w:val="center"/>
          </w:tcPr>
          <w:p w14:paraId="3994D535"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12983</w:t>
            </w:r>
          </w:p>
        </w:tc>
        <w:tc>
          <w:tcPr>
            <w:tcW w:w="876" w:type="dxa"/>
            <w:tcBorders>
              <w:top w:val="nil"/>
              <w:left w:val="nil"/>
              <w:bottom w:val="single" w:sz="4" w:space="0" w:color="000000"/>
              <w:right w:val="single" w:sz="4" w:space="0" w:color="000000"/>
            </w:tcBorders>
            <w:shd w:val="clear" w:color="auto" w:fill="auto"/>
            <w:tcMar>
              <w:left w:w="28" w:type="dxa"/>
              <w:right w:w="28" w:type="dxa"/>
            </w:tcMar>
            <w:vAlign w:val="center"/>
          </w:tcPr>
          <w:p w14:paraId="1DC41325" w14:textId="77777777" w:rsidR="00C82386" w:rsidRDefault="00E66F64" w:rsidP="00E34A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12347</w:t>
            </w:r>
          </w:p>
        </w:tc>
      </w:tr>
    </w:tbl>
    <w:p w14:paraId="75B92620"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порівняння зміни споживання по типам споживачів на рисунку 3.3. наведено діаграми розподілу споживання тепла в системі централізованого постачання м. Житомир у 2010 році та 2020 році.</w:t>
      </w:r>
    </w:p>
    <w:p w14:paraId="5AF8848C" w14:textId="77777777" w:rsidR="00C82386" w:rsidRDefault="00E66F64">
      <w:pPr>
        <w:spacing w:after="0"/>
        <w:rPr>
          <w:rFonts w:ascii="Times New Roman" w:eastAsia="Times New Roman" w:hAnsi="Times New Roman" w:cs="Times New Roman"/>
          <w:sz w:val="24"/>
          <w:szCs w:val="24"/>
        </w:rPr>
      </w:pPr>
      <w:r>
        <w:rPr>
          <w:noProof/>
          <w:lang w:val="ru-RU"/>
        </w:rPr>
        <w:lastRenderedPageBreak/>
        <w:drawing>
          <wp:inline distT="0" distB="0" distL="0" distR="0" wp14:anchorId="6157138C" wp14:editId="6495CB35">
            <wp:extent cx="2819815" cy="2038748"/>
            <wp:effectExtent l="0" t="0" r="0" b="0"/>
            <wp:docPr id="2144251941" name="Диаграмма 21442519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eastAsia="Times New Roman" w:hAnsi="Times New Roman" w:cs="Times New Roman"/>
          <w:sz w:val="24"/>
          <w:szCs w:val="24"/>
        </w:rPr>
        <w:t xml:space="preserve">   </w:t>
      </w:r>
      <w:r>
        <w:rPr>
          <w:noProof/>
          <w:lang w:val="ru-RU"/>
        </w:rPr>
        <w:drawing>
          <wp:inline distT="0" distB="0" distL="0" distR="0" wp14:anchorId="61A198ED" wp14:editId="0F74B2CA">
            <wp:extent cx="2838891" cy="2038608"/>
            <wp:effectExtent l="0" t="0" r="0" b="0"/>
            <wp:docPr id="2144251942" name="Диаграмма 21442519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B01D07F" w14:textId="77777777" w:rsidR="00C82386" w:rsidRDefault="00E66F64">
      <w:pPr>
        <w:spacing w:before="120"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3.3. Розподіл споживання тепла за типами споживачів у 2010 р. та 2020 р.</w:t>
      </w:r>
    </w:p>
    <w:p w14:paraId="5FA83F3F"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Основним споживачем послуг теплопостачання є населення, яке споживає близько 80% від загального обсягу відпуску тепла. За період з 2010 по 2020 рік доля тепла, спожитого  населенням, зросла приблизно на 5 відсотків ( з 78,7% до 83,9%).</w:t>
      </w:r>
    </w:p>
    <w:p w14:paraId="548F4D0B"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період з 2010 по 2020 роки споживання тепла по муніципальним установам і підприємствам зменшилося на 48%, по житловим будівлям на 30%, а споживання тепла інших споживачів (включаючи комунальні підприємства, що підпорядковані Житомирській області та Житомирському району) зменшилося на 57%.</w:t>
      </w:r>
    </w:p>
    <w:p w14:paraId="188B9430" w14:textId="77777777" w:rsidR="00C82386" w:rsidRDefault="00E66F64">
      <w:pPr>
        <w:keepNext/>
        <w:keepLines/>
        <w:numPr>
          <w:ilvl w:val="1"/>
          <w:numId w:val="22"/>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26" w:name="_heading=h.qsh70q" w:colFirst="0" w:colLast="0"/>
      <w:bookmarkEnd w:id="26"/>
      <w:r>
        <w:rPr>
          <w:rFonts w:ascii="Times New Roman" w:eastAsia="Times New Roman" w:hAnsi="Times New Roman" w:cs="Times New Roman"/>
          <w:b/>
          <w:color w:val="000000"/>
          <w:sz w:val="24"/>
          <w:szCs w:val="24"/>
        </w:rPr>
        <w:t>Система газопостачання</w:t>
      </w:r>
    </w:p>
    <w:p w14:paraId="3DC0AC3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Розподілення, транспортування і постачання природного газу у місті Житомирі та Житомирській області до 2022 року (крім міста Коростишева та Коростишівського району) забезпечували ПАТ «Житомиргаз» та його дочірні підприємства ТОВ «Житомиргаз Збут» та АТ «Оператор газорозподільної системи "Житомиргаз". </w:t>
      </w:r>
    </w:p>
    <w:p w14:paraId="239B64FE" w14:textId="77777777" w:rsidR="00C82386" w:rsidRDefault="004341E7">
      <w:pPr>
        <w:spacing w:after="0"/>
        <w:ind w:firstLine="709"/>
        <w:jc w:val="both"/>
        <w:rPr>
          <w:rFonts w:ascii="Times New Roman" w:eastAsia="Times New Roman" w:hAnsi="Times New Roman" w:cs="Times New Roman"/>
          <w:sz w:val="24"/>
          <w:szCs w:val="24"/>
        </w:rPr>
      </w:pPr>
      <w:sdt>
        <w:sdtPr>
          <w:tag w:val="goog_rdk_14"/>
          <w:id w:val="-1605946963"/>
          <w:showingPlcHdr/>
        </w:sdtPr>
        <w:sdtEndPr/>
        <w:sdtContent>
          <w:r w:rsidR="003F6E30">
            <w:t xml:space="preserve">     </w:t>
          </w:r>
        </w:sdtContent>
      </w:sdt>
      <w:r w:rsidR="00E66F64">
        <w:rPr>
          <w:rFonts w:ascii="Times New Roman" w:eastAsia="Times New Roman" w:hAnsi="Times New Roman" w:cs="Times New Roman"/>
          <w:sz w:val="24"/>
          <w:szCs w:val="24"/>
        </w:rPr>
        <w:t>З 202</w:t>
      </w:r>
      <w:r w:rsidR="003F6E30">
        <w:rPr>
          <w:rFonts w:ascii="Times New Roman" w:eastAsia="Times New Roman" w:hAnsi="Times New Roman" w:cs="Times New Roman"/>
          <w:sz w:val="24"/>
          <w:szCs w:val="24"/>
        </w:rPr>
        <w:t>3</w:t>
      </w:r>
      <w:r w:rsidR="00E66F64">
        <w:rPr>
          <w:rFonts w:ascii="Times New Roman" w:eastAsia="Times New Roman" w:hAnsi="Times New Roman" w:cs="Times New Roman"/>
          <w:sz w:val="24"/>
          <w:szCs w:val="24"/>
        </w:rPr>
        <w:t xml:space="preserve"> року функції оператора газорозподільних систем виконує Житомирська філія ТОВ “Газорозподільні мережі України”. Постачання природного газу з 2023 р. виконує газопостачальна компанія АТ НАК «Нафтогаз України».</w:t>
      </w:r>
    </w:p>
    <w:p w14:paraId="1B7E21C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Послугою газопостачання у Житомирській </w:t>
      </w:r>
      <w:r w:rsidR="003F6E30">
        <w:rPr>
          <w:rFonts w:ascii="Times New Roman" w:eastAsia="Times New Roman" w:hAnsi="Times New Roman" w:cs="Times New Roman"/>
          <w:sz w:val="24"/>
          <w:szCs w:val="24"/>
        </w:rPr>
        <w:t xml:space="preserve">області </w:t>
      </w:r>
      <w:r>
        <w:rPr>
          <w:rFonts w:ascii="Times New Roman" w:eastAsia="Times New Roman" w:hAnsi="Times New Roman" w:cs="Times New Roman"/>
          <w:sz w:val="24"/>
          <w:szCs w:val="24"/>
        </w:rPr>
        <w:t xml:space="preserve">користуються понад 480 тисяч сімей Житомирської області, 5 тисяч комунально-побутових та комерційних об’єктів та більше ніж 200 промислових підприємств. </w:t>
      </w:r>
    </w:p>
    <w:p w14:paraId="50E3211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Динаміка споживання природного газу в Житомирській МТГ за 2010-2020 роки (рис.3.4.) сформована за інформацією від РГК «Житомиргаз», а також з використанням матеріалів ПДСЕР м.</w:t>
      </w:r>
      <w:r>
        <w:t xml:space="preserve"> </w:t>
      </w:r>
      <w:r>
        <w:rPr>
          <w:rFonts w:ascii="Times New Roman" w:eastAsia="Times New Roman" w:hAnsi="Times New Roman" w:cs="Times New Roman"/>
          <w:sz w:val="24"/>
          <w:szCs w:val="24"/>
        </w:rPr>
        <w:t>Житомир, міської цільової програми «Муніципальний енергетичний план території Житомирської міської об’єднаної територіальної громади на 2017-2020 роки» та Інформаційно-аналітичної записки «Модельні сценарні оцінки переходу м. Житомир на 100% відновлюваних джерел енергії до 2050 року».</w:t>
      </w:r>
    </w:p>
    <w:p w14:paraId="34795FF9" w14:textId="77777777" w:rsidR="00C82386" w:rsidRDefault="00E66F64">
      <w:pPr>
        <w:jc w:val="center"/>
        <w:rPr>
          <w:rFonts w:ascii="Times New Roman" w:eastAsia="Times New Roman" w:hAnsi="Times New Roman" w:cs="Times New Roman"/>
          <w:sz w:val="24"/>
          <w:szCs w:val="24"/>
        </w:rPr>
      </w:pPr>
      <w:r>
        <w:rPr>
          <w:noProof/>
          <w:lang w:val="ru-RU"/>
        </w:rPr>
        <w:lastRenderedPageBreak/>
        <w:drawing>
          <wp:inline distT="0" distB="0" distL="0" distR="0" wp14:anchorId="0AFB9813" wp14:editId="7105B637">
            <wp:extent cx="5487007" cy="3175414"/>
            <wp:effectExtent l="0" t="0" r="0" b="6350"/>
            <wp:docPr id="2144251943" name="Диаграмма 21442519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F63AD86"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3.4. Обсяги спожитого природного газу в Житомирській міській територіальній громаді у період 2010-2020 рр., млн. куб.</w:t>
      </w:r>
      <w:r w:rsidR="00AA69C3">
        <w:rPr>
          <w:rFonts w:ascii="Times New Roman" w:eastAsia="Times New Roman" w:hAnsi="Times New Roman" w:cs="Times New Roman"/>
          <w:i/>
          <w:sz w:val="24"/>
          <w:szCs w:val="24"/>
          <w:lang w:val="en-US"/>
        </w:rPr>
        <w:t> </w:t>
      </w:r>
      <w:r>
        <w:rPr>
          <w:rFonts w:ascii="Times New Roman" w:eastAsia="Times New Roman" w:hAnsi="Times New Roman" w:cs="Times New Roman"/>
          <w:i/>
          <w:sz w:val="24"/>
          <w:szCs w:val="24"/>
        </w:rPr>
        <w:t>м.</w:t>
      </w:r>
    </w:p>
    <w:p w14:paraId="1E04ADE5"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розрізі споживачів споживання природного газу представлено у таблиці 3.5.</w:t>
      </w:r>
    </w:p>
    <w:p w14:paraId="348FF738"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3.5.</w:t>
      </w:r>
    </w:p>
    <w:p w14:paraId="120BEEB2" w14:textId="77777777" w:rsidR="00C82386" w:rsidRDefault="00E66F64">
      <w:pPr>
        <w:spacing w:after="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Обсяги спожитого природного газу по м. Житомир у період 2010-2020 рр., </w:t>
      </w:r>
      <w:r>
        <w:rPr>
          <w:rFonts w:ascii="Times New Roman" w:eastAsia="Times New Roman" w:hAnsi="Times New Roman" w:cs="Times New Roman"/>
          <w:sz w:val="24"/>
          <w:szCs w:val="24"/>
        </w:rPr>
        <w:br/>
        <w:t>тис. куб. м</w:t>
      </w:r>
    </w:p>
    <w:tbl>
      <w:tblPr>
        <w:tblStyle w:val="afffd"/>
        <w:tblW w:w="9583" w:type="dxa"/>
        <w:tblInd w:w="-85" w:type="dxa"/>
        <w:tblLayout w:type="fixed"/>
        <w:tblLook w:val="0400" w:firstRow="0" w:lastRow="0" w:firstColumn="0" w:lastColumn="0" w:noHBand="0" w:noVBand="1"/>
      </w:tblPr>
      <w:tblGrid>
        <w:gridCol w:w="1919"/>
        <w:gridCol w:w="766"/>
        <w:gridCol w:w="11"/>
        <w:gridCol w:w="755"/>
        <w:gridCol w:w="22"/>
        <w:gridCol w:w="731"/>
        <w:gridCol w:w="14"/>
        <w:gridCol w:w="766"/>
        <w:gridCol w:w="767"/>
        <w:gridCol w:w="766"/>
        <w:gridCol w:w="766"/>
        <w:gridCol w:w="767"/>
        <w:gridCol w:w="766"/>
        <w:gridCol w:w="767"/>
      </w:tblGrid>
      <w:tr w:rsidR="00C82386" w14:paraId="46D2C86A" w14:textId="77777777">
        <w:trPr>
          <w:trHeight w:val="300"/>
        </w:trPr>
        <w:tc>
          <w:tcPr>
            <w:tcW w:w="19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ED0E3D9"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Категорія споживачів</w:t>
            </w:r>
          </w:p>
        </w:tc>
        <w:tc>
          <w:tcPr>
            <w:tcW w:w="777" w:type="dxa"/>
            <w:gridSpan w:val="2"/>
            <w:tcBorders>
              <w:top w:val="single" w:sz="4" w:space="0" w:color="000000"/>
              <w:left w:val="nil"/>
              <w:bottom w:val="single" w:sz="4" w:space="0" w:color="000000"/>
              <w:right w:val="nil"/>
            </w:tcBorders>
          </w:tcPr>
          <w:p w14:paraId="5EC1FD15" w14:textId="77777777" w:rsidR="00C82386" w:rsidRDefault="00C82386">
            <w:pPr>
              <w:spacing w:after="0" w:line="240" w:lineRule="auto"/>
              <w:jc w:val="center"/>
              <w:rPr>
                <w:rFonts w:ascii="Times New Roman" w:eastAsia="Times New Roman" w:hAnsi="Times New Roman" w:cs="Times New Roman"/>
                <w:color w:val="000000"/>
              </w:rPr>
            </w:pPr>
          </w:p>
        </w:tc>
        <w:tc>
          <w:tcPr>
            <w:tcW w:w="777" w:type="dxa"/>
            <w:gridSpan w:val="2"/>
            <w:tcBorders>
              <w:top w:val="single" w:sz="4" w:space="0" w:color="000000"/>
              <w:left w:val="nil"/>
              <w:bottom w:val="single" w:sz="4" w:space="0" w:color="000000"/>
              <w:right w:val="nil"/>
            </w:tcBorders>
          </w:tcPr>
          <w:p w14:paraId="5316F534" w14:textId="77777777" w:rsidR="00C82386" w:rsidRDefault="00C82386">
            <w:pPr>
              <w:spacing w:after="0" w:line="240" w:lineRule="auto"/>
              <w:jc w:val="center"/>
              <w:rPr>
                <w:rFonts w:ascii="Times New Roman" w:eastAsia="Times New Roman" w:hAnsi="Times New Roman" w:cs="Times New Roman"/>
                <w:color w:val="000000"/>
              </w:rPr>
            </w:pPr>
          </w:p>
        </w:tc>
        <w:tc>
          <w:tcPr>
            <w:tcW w:w="731" w:type="dxa"/>
            <w:tcBorders>
              <w:top w:val="single" w:sz="4" w:space="0" w:color="000000"/>
              <w:left w:val="nil"/>
              <w:bottom w:val="single" w:sz="4" w:space="0" w:color="000000"/>
              <w:right w:val="nil"/>
            </w:tcBorders>
          </w:tcPr>
          <w:p w14:paraId="32C9BF48" w14:textId="77777777" w:rsidR="00C82386" w:rsidRDefault="00C82386">
            <w:pPr>
              <w:spacing w:after="0" w:line="240" w:lineRule="auto"/>
              <w:jc w:val="center"/>
              <w:rPr>
                <w:rFonts w:ascii="Times New Roman" w:eastAsia="Times New Roman" w:hAnsi="Times New Roman" w:cs="Times New Roman"/>
                <w:color w:val="000000"/>
              </w:rPr>
            </w:pPr>
          </w:p>
        </w:tc>
        <w:tc>
          <w:tcPr>
            <w:tcW w:w="5379" w:type="dxa"/>
            <w:gridSpan w:val="8"/>
            <w:tcBorders>
              <w:top w:val="single" w:sz="4" w:space="0" w:color="000000"/>
              <w:left w:val="nil"/>
              <w:bottom w:val="single" w:sz="4" w:space="0" w:color="000000"/>
              <w:right w:val="single" w:sz="4" w:space="0" w:color="000000"/>
            </w:tcBorders>
            <w:shd w:val="clear" w:color="auto" w:fill="auto"/>
            <w:vAlign w:val="center"/>
          </w:tcPr>
          <w:p w14:paraId="00BBFC82" w14:textId="77777777" w:rsidR="00C82386" w:rsidRDefault="00E66F64" w:rsidP="00310392">
            <w:pPr>
              <w:spacing w:after="0" w:line="240" w:lineRule="auto"/>
              <w:ind w:left="-204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Роки</w:t>
            </w:r>
          </w:p>
        </w:tc>
      </w:tr>
      <w:tr w:rsidR="00C82386" w14:paraId="5A4B03E7" w14:textId="77777777">
        <w:trPr>
          <w:trHeight w:val="300"/>
        </w:trPr>
        <w:tc>
          <w:tcPr>
            <w:tcW w:w="19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5F656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color w:val="000000"/>
                <w:sz w:val="24"/>
                <w:szCs w:val="24"/>
              </w:rPr>
            </w:pPr>
          </w:p>
        </w:tc>
        <w:tc>
          <w:tcPr>
            <w:tcW w:w="766" w:type="dxa"/>
            <w:tcBorders>
              <w:top w:val="nil"/>
              <w:left w:val="nil"/>
              <w:bottom w:val="single" w:sz="4" w:space="0" w:color="000000"/>
              <w:right w:val="single" w:sz="4" w:space="0" w:color="000000"/>
            </w:tcBorders>
            <w:shd w:val="clear" w:color="auto" w:fill="auto"/>
            <w:vAlign w:val="center"/>
          </w:tcPr>
          <w:p w14:paraId="29C1C5A9"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2010</w:t>
            </w:r>
          </w:p>
        </w:tc>
        <w:tc>
          <w:tcPr>
            <w:tcW w:w="766" w:type="dxa"/>
            <w:gridSpan w:val="2"/>
            <w:tcBorders>
              <w:top w:val="nil"/>
              <w:left w:val="nil"/>
              <w:bottom w:val="single" w:sz="4" w:space="0" w:color="000000"/>
              <w:right w:val="single" w:sz="4" w:space="0" w:color="000000"/>
            </w:tcBorders>
            <w:shd w:val="clear" w:color="auto" w:fill="auto"/>
            <w:vAlign w:val="center"/>
          </w:tcPr>
          <w:p w14:paraId="09C8A270"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2012</w:t>
            </w:r>
          </w:p>
        </w:tc>
        <w:tc>
          <w:tcPr>
            <w:tcW w:w="767" w:type="dxa"/>
            <w:gridSpan w:val="3"/>
            <w:tcBorders>
              <w:top w:val="nil"/>
              <w:left w:val="nil"/>
              <w:bottom w:val="single" w:sz="4" w:space="0" w:color="000000"/>
              <w:right w:val="single" w:sz="4" w:space="0" w:color="000000"/>
            </w:tcBorders>
            <w:shd w:val="clear" w:color="auto" w:fill="auto"/>
            <w:vAlign w:val="center"/>
          </w:tcPr>
          <w:p w14:paraId="710C6572"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2013</w:t>
            </w:r>
          </w:p>
        </w:tc>
        <w:tc>
          <w:tcPr>
            <w:tcW w:w="766" w:type="dxa"/>
            <w:tcBorders>
              <w:top w:val="nil"/>
              <w:left w:val="nil"/>
              <w:bottom w:val="single" w:sz="4" w:space="0" w:color="000000"/>
              <w:right w:val="single" w:sz="4" w:space="0" w:color="000000"/>
            </w:tcBorders>
            <w:shd w:val="clear" w:color="auto" w:fill="auto"/>
            <w:vAlign w:val="center"/>
          </w:tcPr>
          <w:p w14:paraId="039CC08D"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2014</w:t>
            </w:r>
          </w:p>
        </w:tc>
        <w:tc>
          <w:tcPr>
            <w:tcW w:w="767" w:type="dxa"/>
            <w:tcBorders>
              <w:top w:val="nil"/>
              <w:left w:val="nil"/>
              <w:bottom w:val="single" w:sz="4" w:space="0" w:color="000000"/>
              <w:right w:val="single" w:sz="4" w:space="0" w:color="000000"/>
            </w:tcBorders>
            <w:shd w:val="clear" w:color="auto" w:fill="auto"/>
            <w:vAlign w:val="center"/>
          </w:tcPr>
          <w:p w14:paraId="2F9397B2"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2015</w:t>
            </w:r>
          </w:p>
        </w:tc>
        <w:tc>
          <w:tcPr>
            <w:tcW w:w="766" w:type="dxa"/>
            <w:tcBorders>
              <w:top w:val="nil"/>
              <w:left w:val="nil"/>
              <w:bottom w:val="single" w:sz="4" w:space="0" w:color="000000"/>
              <w:right w:val="single" w:sz="4" w:space="0" w:color="000000"/>
            </w:tcBorders>
            <w:shd w:val="clear" w:color="auto" w:fill="auto"/>
            <w:vAlign w:val="center"/>
          </w:tcPr>
          <w:p w14:paraId="4C2F6387"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2016</w:t>
            </w:r>
          </w:p>
        </w:tc>
        <w:tc>
          <w:tcPr>
            <w:tcW w:w="766" w:type="dxa"/>
            <w:tcBorders>
              <w:top w:val="nil"/>
              <w:left w:val="nil"/>
              <w:bottom w:val="single" w:sz="4" w:space="0" w:color="000000"/>
              <w:right w:val="single" w:sz="4" w:space="0" w:color="000000"/>
            </w:tcBorders>
            <w:shd w:val="clear" w:color="auto" w:fill="auto"/>
            <w:vAlign w:val="center"/>
          </w:tcPr>
          <w:p w14:paraId="510A000B"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2017</w:t>
            </w:r>
          </w:p>
        </w:tc>
        <w:tc>
          <w:tcPr>
            <w:tcW w:w="767" w:type="dxa"/>
            <w:tcBorders>
              <w:top w:val="nil"/>
              <w:left w:val="nil"/>
              <w:bottom w:val="single" w:sz="4" w:space="0" w:color="000000"/>
              <w:right w:val="single" w:sz="4" w:space="0" w:color="000000"/>
            </w:tcBorders>
          </w:tcPr>
          <w:p w14:paraId="07B08336"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2018</w:t>
            </w:r>
          </w:p>
        </w:tc>
        <w:tc>
          <w:tcPr>
            <w:tcW w:w="766" w:type="dxa"/>
            <w:tcBorders>
              <w:top w:val="nil"/>
              <w:left w:val="nil"/>
              <w:bottom w:val="single" w:sz="4" w:space="0" w:color="000000"/>
              <w:right w:val="single" w:sz="4" w:space="0" w:color="000000"/>
            </w:tcBorders>
          </w:tcPr>
          <w:p w14:paraId="19A66099"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2019</w:t>
            </w:r>
          </w:p>
        </w:tc>
        <w:tc>
          <w:tcPr>
            <w:tcW w:w="767" w:type="dxa"/>
            <w:tcBorders>
              <w:top w:val="nil"/>
              <w:left w:val="nil"/>
              <w:bottom w:val="single" w:sz="4" w:space="0" w:color="000000"/>
              <w:right w:val="single" w:sz="4" w:space="0" w:color="000000"/>
            </w:tcBorders>
          </w:tcPr>
          <w:p w14:paraId="1ED486FB" w14:textId="77777777" w:rsidR="00C82386" w:rsidRDefault="00E66F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2020</w:t>
            </w:r>
          </w:p>
        </w:tc>
      </w:tr>
      <w:tr w:rsidR="00C82386" w14:paraId="00139DEF" w14:textId="77777777">
        <w:trPr>
          <w:trHeight w:val="300"/>
        </w:trPr>
        <w:tc>
          <w:tcPr>
            <w:tcW w:w="1919" w:type="dxa"/>
            <w:tcBorders>
              <w:top w:val="nil"/>
              <w:left w:val="single" w:sz="4" w:space="0" w:color="000000"/>
              <w:bottom w:val="single" w:sz="4" w:space="0" w:color="000000"/>
              <w:right w:val="single" w:sz="4" w:space="0" w:color="000000"/>
            </w:tcBorders>
            <w:shd w:val="clear" w:color="auto" w:fill="auto"/>
            <w:vAlign w:val="center"/>
          </w:tcPr>
          <w:p w14:paraId="0AE1A204" w14:textId="77777777" w:rsidR="00C82386" w:rsidRDefault="00E66F64">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Населення</w:t>
            </w:r>
          </w:p>
        </w:tc>
        <w:tc>
          <w:tcPr>
            <w:tcW w:w="766" w:type="dxa"/>
            <w:tcBorders>
              <w:top w:val="nil"/>
              <w:left w:val="nil"/>
              <w:bottom w:val="single" w:sz="4" w:space="0" w:color="000000"/>
              <w:right w:val="single" w:sz="4" w:space="0" w:color="000000"/>
            </w:tcBorders>
            <w:shd w:val="clear" w:color="auto" w:fill="auto"/>
            <w:vAlign w:val="center"/>
          </w:tcPr>
          <w:p w14:paraId="0D1138EA"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94435,0</w:t>
            </w:r>
          </w:p>
        </w:tc>
        <w:tc>
          <w:tcPr>
            <w:tcW w:w="766" w:type="dxa"/>
            <w:gridSpan w:val="2"/>
            <w:tcBorders>
              <w:top w:val="nil"/>
              <w:left w:val="nil"/>
              <w:bottom w:val="single" w:sz="4" w:space="0" w:color="000000"/>
              <w:right w:val="single" w:sz="4" w:space="0" w:color="000000"/>
            </w:tcBorders>
            <w:shd w:val="clear" w:color="auto" w:fill="auto"/>
            <w:vAlign w:val="center"/>
          </w:tcPr>
          <w:p w14:paraId="68C12B18"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105252,0</w:t>
            </w:r>
          </w:p>
        </w:tc>
        <w:tc>
          <w:tcPr>
            <w:tcW w:w="767" w:type="dxa"/>
            <w:gridSpan w:val="3"/>
            <w:tcBorders>
              <w:top w:val="nil"/>
              <w:left w:val="nil"/>
              <w:bottom w:val="single" w:sz="4" w:space="0" w:color="000000"/>
              <w:right w:val="single" w:sz="4" w:space="0" w:color="000000"/>
            </w:tcBorders>
            <w:shd w:val="clear" w:color="auto" w:fill="auto"/>
            <w:vAlign w:val="center"/>
          </w:tcPr>
          <w:p w14:paraId="559F1980"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112187,1</w:t>
            </w:r>
          </w:p>
        </w:tc>
        <w:tc>
          <w:tcPr>
            <w:tcW w:w="766" w:type="dxa"/>
            <w:tcBorders>
              <w:top w:val="nil"/>
              <w:left w:val="nil"/>
              <w:bottom w:val="single" w:sz="4" w:space="0" w:color="000000"/>
              <w:right w:val="single" w:sz="4" w:space="0" w:color="000000"/>
            </w:tcBorders>
            <w:shd w:val="clear" w:color="auto" w:fill="auto"/>
            <w:vAlign w:val="center"/>
          </w:tcPr>
          <w:p w14:paraId="53A21EE9"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89095,6</w:t>
            </w:r>
          </w:p>
        </w:tc>
        <w:tc>
          <w:tcPr>
            <w:tcW w:w="767" w:type="dxa"/>
            <w:tcBorders>
              <w:top w:val="nil"/>
              <w:left w:val="nil"/>
              <w:bottom w:val="single" w:sz="4" w:space="0" w:color="000000"/>
              <w:right w:val="single" w:sz="4" w:space="0" w:color="000000"/>
            </w:tcBorders>
            <w:shd w:val="clear" w:color="auto" w:fill="auto"/>
            <w:vAlign w:val="center"/>
          </w:tcPr>
          <w:p w14:paraId="0D88C19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74446,4</w:t>
            </w:r>
          </w:p>
        </w:tc>
        <w:tc>
          <w:tcPr>
            <w:tcW w:w="766" w:type="dxa"/>
            <w:tcBorders>
              <w:top w:val="nil"/>
              <w:left w:val="nil"/>
              <w:bottom w:val="single" w:sz="4" w:space="0" w:color="000000"/>
              <w:right w:val="single" w:sz="4" w:space="0" w:color="000000"/>
            </w:tcBorders>
            <w:shd w:val="clear" w:color="auto" w:fill="auto"/>
            <w:vAlign w:val="center"/>
          </w:tcPr>
          <w:p w14:paraId="527680E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78018,9</w:t>
            </w:r>
          </w:p>
        </w:tc>
        <w:tc>
          <w:tcPr>
            <w:tcW w:w="766" w:type="dxa"/>
            <w:tcBorders>
              <w:top w:val="nil"/>
              <w:left w:val="nil"/>
              <w:bottom w:val="single" w:sz="4" w:space="0" w:color="000000"/>
              <w:right w:val="single" w:sz="4" w:space="0" w:color="000000"/>
            </w:tcBorders>
            <w:shd w:val="clear" w:color="auto" w:fill="auto"/>
            <w:vAlign w:val="center"/>
          </w:tcPr>
          <w:p w14:paraId="273B5A8F"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58934,5</w:t>
            </w:r>
          </w:p>
        </w:tc>
        <w:tc>
          <w:tcPr>
            <w:tcW w:w="767" w:type="dxa"/>
            <w:tcBorders>
              <w:top w:val="nil"/>
              <w:left w:val="nil"/>
              <w:bottom w:val="single" w:sz="4" w:space="0" w:color="000000"/>
              <w:right w:val="single" w:sz="4" w:space="0" w:color="000000"/>
            </w:tcBorders>
            <w:vAlign w:val="center"/>
          </w:tcPr>
          <w:p w14:paraId="2B0DEE7A"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57659,6</w:t>
            </w:r>
          </w:p>
        </w:tc>
        <w:tc>
          <w:tcPr>
            <w:tcW w:w="766" w:type="dxa"/>
            <w:tcBorders>
              <w:top w:val="nil"/>
              <w:left w:val="nil"/>
              <w:bottom w:val="single" w:sz="4" w:space="0" w:color="000000"/>
              <w:right w:val="single" w:sz="4" w:space="0" w:color="000000"/>
            </w:tcBorders>
            <w:vAlign w:val="center"/>
          </w:tcPr>
          <w:p w14:paraId="50827F95"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50076,7</w:t>
            </w:r>
          </w:p>
        </w:tc>
        <w:tc>
          <w:tcPr>
            <w:tcW w:w="767" w:type="dxa"/>
            <w:tcBorders>
              <w:top w:val="nil"/>
              <w:left w:val="nil"/>
              <w:bottom w:val="single" w:sz="4" w:space="0" w:color="000000"/>
              <w:right w:val="single" w:sz="4" w:space="0" w:color="000000"/>
            </w:tcBorders>
            <w:vAlign w:val="center"/>
          </w:tcPr>
          <w:p w14:paraId="396558FC"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50666,5</w:t>
            </w:r>
          </w:p>
        </w:tc>
      </w:tr>
      <w:tr w:rsidR="00C82386" w14:paraId="23903981" w14:textId="77777777">
        <w:trPr>
          <w:trHeight w:val="315"/>
        </w:trPr>
        <w:tc>
          <w:tcPr>
            <w:tcW w:w="1919" w:type="dxa"/>
            <w:tcBorders>
              <w:top w:val="nil"/>
              <w:left w:val="single" w:sz="4" w:space="0" w:color="000000"/>
              <w:bottom w:val="single" w:sz="4" w:space="0" w:color="000000"/>
              <w:right w:val="single" w:sz="4" w:space="0" w:color="000000"/>
            </w:tcBorders>
            <w:shd w:val="clear" w:color="auto" w:fill="auto"/>
            <w:vAlign w:val="center"/>
          </w:tcPr>
          <w:p w14:paraId="0B9E79E6" w14:textId="77777777" w:rsidR="00C82386" w:rsidRDefault="00E66F64">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Юридичні особи, в тому числі:</w:t>
            </w:r>
          </w:p>
        </w:tc>
        <w:tc>
          <w:tcPr>
            <w:tcW w:w="766" w:type="dxa"/>
            <w:tcBorders>
              <w:top w:val="nil"/>
              <w:left w:val="nil"/>
              <w:bottom w:val="single" w:sz="4" w:space="0" w:color="000000"/>
              <w:right w:val="single" w:sz="4" w:space="0" w:color="000000"/>
            </w:tcBorders>
            <w:shd w:val="clear" w:color="auto" w:fill="auto"/>
            <w:vAlign w:val="center"/>
          </w:tcPr>
          <w:p w14:paraId="59B7162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172417,0</w:t>
            </w:r>
          </w:p>
        </w:tc>
        <w:tc>
          <w:tcPr>
            <w:tcW w:w="766" w:type="dxa"/>
            <w:gridSpan w:val="2"/>
            <w:tcBorders>
              <w:top w:val="nil"/>
              <w:left w:val="nil"/>
              <w:bottom w:val="single" w:sz="4" w:space="0" w:color="000000"/>
              <w:right w:val="single" w:sz="4" w:space="0" w:color="000000"/>
            </w:tcBorders>
            <w:shd w:val="clear" w:color="auto" w:fill="auto"/>
            <w:vAlign w:val="center"/>
          </w:tcPr>
          <w:p w14:paraId="5FD9434E"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161012,7</w:t>
            </w:r>
          </w:p>
        </w:tc>
        <w:tc>
          <w:tcPr>
            <w:tcW w:w="767" w:type="dxa"/>
            <w:gridSpan w:val="3"/>
            <w:tcBorders>
              <w:top w:val="nil"/>
              <w:left w:val="nil"/>
              <w:bottom w:val="single" w:sz="4" w:space="0" w:color="000000"/>
              <w:right w:val="single" w:sz="4" w:space="0" w:color="000000"/>
            </w:tcBorders>
            <w:shd w:val="clear" w:color="auto" w:fill="auto"/>
            <w:vAlign w:val="center"/>
          </w:tcPr>
          <w:p w14:paraId="2CF7E200"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147324,9</w:t>
            </w:r>
          </w:p>
        </w:tc>
        <w:tc>
          <w:tcPr>
            <w:tcW w:w="766" w:type="dxa"/>
            <w:tcBorders>
              <w:top w:val="nil"/>
              <w:left w:val="nil"/>
              <w:bottom w:val="single" w:sz="4" w:space="0" w:color="000000"/>
              <w:right w:val="single" w:sz="4" w:space="0" w:color="000000"/>
            </w:tcBorders>
            <w:shd w:val="clear" w:color="auto" w:fill="auto"/>
            <w:vAlign w:val="center"/>
          </w:tcPr>
          <w:p w14:paraId="3CA5EB99"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130219,2</w:t>
            </w:r>
          </w:p>
        </w:tc>
        <w:tc>
          <w:tcPr>
            <w:tcW w:w="767" w:type="dxa"/>
            <w:tcBorders>
              <w:top w:val="nil"/>
              <w:left w:val="nil"/>
              <w:bottom w:val="single" w:sz="4" w:space="0" w:color="000000"/>
              <w:right w:val="single" w:sz="4" w:space="0" w:color="000000"/>
            </w:tcBorders>
            <w:shd w:val="clear" w:color="auto" w:fill="auto"/>
            <w:vAlign w:val="center"/>
          </w:tcPr>
          <w:p w14:paraId="444C1F0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109449,9</w:t>
            </w:r>
          </w:p>
        </w:tc>
        <w:tc>
          <w:tcPr>
            <w:tcW w:w="766" w:type="dxa"/>
            <w:tcBorders>
              <w:top w:val="nil"/>
              <w:left w:val="nil"/>
              <w:bottom w:val="single" w:sz="4" w:space="0" w:color="000000"/>
              <w:right w:val="single" w:sz="4" w:space="0" w:color="000000"/>
            </w:tcBorders>
            <w:shd w:val="clear" w:color="auto" w:fill="auto"/>
            <w:vAlign w:val="center"/>
          </w:tcPr>
          <w:p w14:paraId="374E3BB6"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103405,5</w:t>
            </w:r>
          </w:p>
        </w:tc>
        <w:tc>
          <w:tcPr>
            <w:tcW w:w="766" w:type="dxa"/>
            <w:tcBorders>
              <w:top w:val="nil"/>
              <w:left w:val="nil"/>
              <w:bottom w:val="single" w:sz="4" w:space="0" w:color="000000"/>
              <w:right w:val="single" w:sz="4" w:space="0" w:color="000000"/>
            </w:tcBorders>
            <w:shd w:val="clear" w:color="auto" w:fill="auto"/>
            <w:vAlign w:val="center"/>
          </w:tcPr>
          <w:p w14:paraId="4F55807F"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109041,4</w:t>
            </w:r>
          </w:p>
        </w:tc>
        <w:tc>
          <w:tcPr>
            <w:tcW w:w="767" w:type="dxa"/>
            <w:tcBorders>
              <w:top w:val="nil"/>
              <w:left w:val="nil"/>
              <w:bottom w:val="single" w:sz="4" w:space="0" w:color="000000"/>
              <w:right w:val="single" w:sz="4" w:space="0" w:color="000000"/>
            </w:tcBorders>
            <w:vAlign w:val="center"/>
          </w:tcPr>
          <w:p w14:paraId="1E2F57A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114250,1</w:t>
            </w:r>
          </w:p>
        </w:tc>
        <w:tc>
          <w:tcPr>
            <w:tcW w:w="766" w:type="dxa"/>
            <w:tcBorders>
              <w:top w:val="nil"/>
              <w:left w:val="nil"/>
              <w:bottom w:val="single" w:sz="4" w:space="0" w:color="000000"/>
              <w:right w:val="single" w:sz="4" w:space="0" w:color="000000"/>
            </w:tcBorders>
            <w:vAlign w:val="center"/>
          </w:tcPr>
          <w:p w14:paraId="1941D758"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99365,0</w:t>
            </w:r>
          </w:p>
        </w:tc>
        <w:tc>
          <w:tcPr>
            <w:tcW w:w="767" w:type="dxa"/>
            <w:tcBorders>
              <w:top w:val="nil"/>
              <w:left w:val="nil"/>
              <w:bottom w:val="single" w:sz="4" w:space="0" w:color="000000"/>
              <w:right w:val="single" w:sz="4" w:space="0" w:color="000000"/>
            </w:tcBorders>
            <w:vAlign w:val="center"/>
          </w:tcPr>
          <w:p w14:paraId="0DEEF74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98420,1</w:t>
            </w:r>
          </w:p>
        </w:tc>
      </w:tr>
      <w:tr w:rsidR="00C82386" w14:paraId="2E504131" w14:textId="77777777">
        <w:trPr>
          <w:trHeight w:val="315"/>
        </w:trPr>
        <w:tc>
          <w:tcPr>
            <w:tcW w:w="1919" w:type="dxa"/>
            <w:tcBorders>
              <w:top w:val="nil"/>
              <w:left w:val="single" w:sz="4" w:space="0" w:color="000000"/>
              <w:bottom w:val="single" w:sz="4" w:space="0" w:color="000000"/>
              <w:right w:val="single" w:sz="4" w:space="0" w:color="000000"/>
            </w:tcBorders>
            <w:shd w:val="clear" w:color="auto" w:fill="auto"/>
            <w:vAlign w:val="center"/>
          </w:tcPr>
          <w:p w14:paraId="6EFAC8E0" w14:textId="77777777" w:rsidR="00C82386" w:rsidRDefault="00E66F64">
            <w:pPr>
              <w:spacing w:after="0" w:line="240" w:lineRule="auto"/>
              <w:ind w:left="3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КП "ЖТКЕ"</w:t>
            </w:r>
          </w:p>
        </w:tc>
        <w:tc>
          <w:tcPr>
            <w:tcW w:w="766" w:type="dxa"/>
            <w:tcBorders>
              <w:top w:val="nil"/>
              <w:left w:val="nil"/>
              <w:bottom w:val="single" w:sz="4" w:space="0" w:color="000000"/>
              <w:right w:val="single" w:sz="4" w:space="0" w:color="000000"/>
            </w:tcBorders>
            <w:shd w:val="clear" w:color="auto" w:fill="auto"/>
            <w:vAlign w:val="center"/>
          </w:tcPr>
          <w:p w14:paraId="25F9305D"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96800,0</w:t>
            </w:r>
          </w:p>
        </w:tc>
        <w:tc>
          <w:tcPr>
            <w:tcW w:w="766" w:type="dxa"/>
            <w:gridSpan w:val="2"/>
            <w:tcBorders>
              <w:top w:val="nil"/>
              <w:left w:val="nil"/>
              <w:bottom w:val="single" w:sz="4" w:space="0" w:color="000000"/>
              <w:right w:val="single" w:sz="4" w:space="0" w:color="000000"/>
            </w:tcBorders>
            <w:shd w:val="clear" w:color="auto" w:fill="auto"/>
            <w:vAlign w:val="center"/>
          </w:tcPr>
          <w:p w14:paraId="63C12458"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99277,7</w:t>
            </w:r>
          </w:p>
        </w:tc>
        <w:tc>
          <w:tcPr>
            <w:tcW w:w="767" w:type="dxa"/>
            <w:gridSpan w:val="3"/>
            <w:tcBorders>
              <w:top w:val="nil"/>
              <w:left w:val="nil"/>
              <w:bottom w:val="single" w:sz="4" w:space="0" w:color="000000"/>
              <w:right w:val="single" w:sz="4" w:space="0" w:color="000000"/>
            </w:tcBorders>
            <w:shd w:val="clear" w:color="auto" w:fill="auto"/>
            <w:vAlign w:val="center"/>
          </w:tcPr>
          <w:p w14:paraId="039C2588"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89041,6</w:t>
            </w:r>
          </w:p>
        </w:tc>
        <w:tc>
          <w:tcPr>
            <w:tcW w:w="766" w:type="dxa"/>
            <w:tcBorders>
              <w:top w:val="nil"/>
              <w:left w:val="nil"/>
              <w:bottom w:val="single" w:sz="4" w:space="0" w:color="000000"/>
              <w:right w:val="single" w:sz="4" w:space="0" w:color="000000"/>
            </w:tcBorders>
            <w:shd w:val="clear" w:color="auto" w:fill="auto"/>
            <w:vAlign w:val="center"/>
          </w:tcPr>
          <w:p w14:paraId="1858728E"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75338,6</w:t>
            </w:r>
          </w:p>
        </w:tc>
        <w:tc>
          <w:tcPr>
            <w:tcW w:w="767" w:type="dxa"/>
            <w:tcBorders>
              <w:top w:val="nil"/>
              <w:left w:val="nil"/>
              <w:bottom w:val="single" w:sz="4" w:space="0" w:color="000000"/>
              <w:right w:val="single" w:sz="4" w:space="0" w:color="000000"/>
            </w:tcBorders>
            <w:shd w:val="clear" w:color="auto" w:fill="auto"/>
            <w:vAlign w:val="center"/>
          </w:tcPr>
          <w:p w14:paraId="142F622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61307,7</w:t>
            </w:r>
          </w:p>
        </w:tc>
        <w:tc>
          <w:tcPr>
            <w:tcW w:w="766" w:type="dxa"/>
            <w:tcBorders>
              <w:top w:val="nil"/>
              <w:left w:val="nil"/>
              <w:bottom w:val="single" w:sz="4" w:space="0" w:color="000000"/>
              <w:right w:val="single" w:sz="4" w:space="0" w:color="000000"/>
            </w:tcBorders>
            <w:shd w:val="clear" w:color="auto" w:fill="auto"/>
            <w:vAlign w:val="center"/>
          </w:tcPr>
          <w:p w14:paraId="78D4CD86"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66388,5</w:t>
            </w:r>
          </w:p>
        </w:tc>
        <w:tc>
          <w:tcPr>
            <w:tcW w:w="766" w:type="dxa"/>
            <w:tcBorders>
              <w:top w:val="nil"/>
              <w:left w:val="nil"/>
              <w:bottom w:val="single" w:sz="4" w:space="0" w:color="000000"/>
              <w:right w:val="single" w:sz="4" w:space="0" w:color="000000"/>
            </w:tcBorders>
            <w:shd w:val="clear" w:color="auto" w:fill="auto"/>
            <w:vAlign w:val="center"/>
          </w:tcPr>
          <w:p w14:paraId="16DD94B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65157,7</w:t>
            </w:r>
          </w:p>
        </w:tc>
        <w:tc>
          <w:tcPr>
            <w:tcW w:w="767" w:type="dxa"/>
            <w:tcBorders>
              <w:top w:val="nil"/>
              <w:left w:val="nil"/>
              <w:bottom w:val="single" w:sz="4" w:space="0" w:color="000000"/>
              <w:right w:val="single" w:sz="4" w:space="0" w:color="000000"/>
            </w:tcBorders>
            <w:vAlign w:val="center"/>
          </w:tcPr>
          <w:p w14:paraId="4D9E7D27"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70102,3</w:t>
            </w:r>
          </w:p>
        </w:tc>
        <w:tc>
          <w:tcPr>
            <w:tcW w:w="766" w:type="dxa"/>
            <w:tcBorders>
              <w:top w:val="nil"/>
              <w:left w:val="nil"/>
              <w:bottom w:val="single" w:sz="4" w:space="0" w:color="000000"/>
              <w:right w:val="single" w:sz="4" w:space="0" w:color="000000"/>
            </w:tcBorders>
            <w:vAlign w:val="center"/>
          </w:tcPr>
          <w:p w14:paraId="5434311C"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59780</w:t>
            </w:r>
          </w:p>
        </w:tc>
        <w:tc>
          <w:tcPr>
            <w:tcW w:w="767" w:type="dxa"/>
            <w:tcBorders>
              <w:top w:val="nil"/>
              <w:left w:val="nil"/>
              <w:bottom w:val="single" w:sz="4" w:space="0" w:color="000000"/>
              <w:right w:val="single" w:sz="4" w:space="0" w:color="000000"/>
            </w:tcBorders>
            <w:vAlign w:val="center"/>
          </w:tcPr>
          <w:p w14:paraId="714CE73F"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57967,8</w:t>
            </w:r>
          </w:p>
        </w:tc>
      </w:tr>
      <w:tr w:rsidR="00C82386" w14:paraId="71E56A69" w14:textId="77777777">
        <w:trPr>
          <w:trHeight w:val="315"/>
        </w:trPr>
        <w:tc>
          <w:tcPr>
            <w:tcW w:w="1919" w:type="dxa"/>
            <w:tcBorders>
              <w:top w:val="nil"/>
              <w:left w:val="single" w:sz="4" w:space="0" w:color="000000"/>
              <w:bottom w:val="single" w:sz="4" w:space="0" w:color="000000"/>
              <w:right w:val="single" w:sz="4" w:space="0" w:color="000000"/>
            </w:tcBorders>
            <w:shd w:val="clear" w:color="auto" w:fill="auto"/>
            <w:vAlign w:val="center"/>
          </w:tcPr>
          <w:p w14:paraId="57E1BE74" w14:textId="77777777" w:rsidR="00C82386" w:rsidRDefault="00E66F64">
            <w:pPr>
              <w:spacing w:after="0" w:line="240" w:lineRule="auto"/>
              <w:ind w:left="3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бюджетні установи*</w:t>
            </w:r>
          </w:p>
        </w:tc>
        <w:tc>
          <w:tcPr>
            <w:tcW w:w="766" w:type="dxa"/>
            <w:tcBorders>
              <w:top w:val="nil"/>
              <w:left w:val="nil"/>
              <w:bottom w:val="single" w:sz="4" w:space="0" w:color="000000"/>
              <w:right w:val="single" w:sz="4" w:space="0" w:color="000000"/>
            </w:tcBorders>
            <w:shd w:val="clear" w:color="auto" w:fill="auto"/>
            <w:vAlign w:val="center"/>
          </w:tcPr>
          <w:p w14:paraId="0A545730"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1013,4</w:t>
            </w:r>
          </w:p>
        </w:tc>
        <w:tc>
          <w:tcPr>
            <w:tcW w:w="766" w:type="dxa"/>
            <w:gridSpan w:val="2"/>
            <w:tcBorders>
              <w:top w:val="nil"/>
              <w:left w:val="nil"/>
              <w:bottom w:val="single" w:sz="4" w:space="0" w:color="000000"/>
              <w:right w:val="single" w:sz="4" w:space="0" w:color="000000"/>
            </w:tcBorders>
            <w:shd w:val="clear" w:color="auto" w:fill="auto"/>
            <w:vAlign w:val="center"/>
          </w:tcPr>
          <w:p w14:paraId="60A1874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931,5</w:t>
            </w:r>
          </w:p>
        </w:tc>
        <w:tc>
          <w:tcPr>
            <w:tcW w:w="767" w:type="dxa"/>
            <w:gridSpan w:val="3"/>
            <w:tcBorders>
              <w:top w:val="nil"/>
              <w:left w:val="nil"/>
              <w:bottom w:val="single" w:sz="4" w:space="0" w:color="000000"/>
              <w:right w:val="single" w:sz="4" w:space="0" w:color="000000"/>
            </w:tcBorders>
            <w:shd w:val="clear" w:color="auto" w:fill="auto"/>
            <w:vAlign w:val="center"/>
          </w:tcPr>
          <w:p w14:paraId="2FCEB902"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968,6</w:t>
            </w:r>
          </w:p>
        </w:tc>
        <w:tc>
          <w:tcPr>
            <w:tcW w:w="766" w:type="dxa"/>
            <w:tcBorders>
              <w:top w:val="nil"/>
              <w:left w:val="nil"/>
              <w:bottom w:val="single" w:sz="4" w:space="0" w:color="000000"/>
              <w:right w:val="single" w:sz="4" w:space="0" w:color="000000"/>
            </w:tcBorders>
            <w:shd w:val="clear" w:color="auto" w:fill="auto"/>
            <w:vAlign w:val="center"/>
          </w:tcPr>
          <w:p w14:paraId="289C46E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846,0</w:t>
            </w:r>
          </w:p>
        </w:tc>
        <w:tc>
          <w:tcPr>
            <w:tcW w:w="767" w:type="dxa"/>
            <w:tcBorders>
              <w:top w:val="nil"/>
              <w:left w:val="nil"/>
              <w:bottom w:val="single" w:sz="4" w:space="0" w:color="000000"/>
              <w:right w:val="single" w:sz="4" w:space="0" w:color="000000"/>
            </w:tcBorders>
            <w:shd w:val="clear" w:color="auto" w:fill="auto"/>
            <w:vAlign w:val="center"/>
          </w:tcPr>
          <w:p w14:paraId="0E583F0B"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777,5</w:t>
            </w:r>
          </w:p>
        </w:tc>
        <w:tc>
          <w:tcPr>
            <w:tcW w:w="766" w:type="dxa"/>
            <w:tcBorders>
              <w:top w:val="nil"/>
              <w:left w:val="nil"/>
              <w:bottom w:val="single" w:sz="4" w:space="0" w:color="000000"/>
              <w:right w:val="single" w:sz="4" w:space="0" w:color="000000"/>
            </w:tcBorders>
            <w:shd w:val="clear" w:color="auto" w:fill="auto"/>
            <w:vAlign w:val="center"/>
          </w:tcPr>
          <w:p w14:paraId="6A7754E5"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791,6</w:t>
            </w:r>
          </w:p>
        </w:tc>
        <w:tc>
          <w:tcPr>
            <w:tcW w:w="766" w:type="dxa"/>
            <w:tcBorders>
              <w:top w:val="nil"/>
              <w:left w:val="nil"/>
              <w:bottom w:val="single" w:sz="4" w:space="0" w:color="000000"/>
              <w:right w:val="single" w:sz="4" w:space="0" w:color="000000"/>
            </w:tcBorders>
            <w:shd w:val="clear" w:color="auto" w:fill="auto"/>
            <w:vAlign w:val="center"/>
          </w:tcPr>
          <w:p w14:paraId="7F00D577"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619,7</w:t>
            </w:r>
          </w:p>
        </w:tc>
        <w:tc>
          <w:tcPr>
            <w:tcW w:w="767" w:type="dxa"/>
            <w:tcBorders>
              <w:top w:val="nil"/>
              <w:left w:val="nil"/>
              <w:bottom w:val="single" w:sz="4" w:space="0" w:color="000000"/>
              <w:right w:val="single" w:sz="4" w:space="0" w:color="000000"/>
            </w:tcBorders>
            <w:shd w:val="clear" w:color="auto" w:fill="auto"/>
            <w:vAlign w:val="center"/>
          </w:tcPr>
          <w:p w14:paraId="5E0A353B"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608,0</w:t>
            </w:r>
          </w:p>
        </w:tc>
        <w:tc>
          <w:tcPr>
            <w:tcW w:w="766" w:type="dxa"/>
            <w:tcBorders>
              <w:top w:val="nil"/>
              <w:left w:val="nil"/>
              <w:bottom w:val="single" w:sz="4" w:space="0" w:color="000000"/>
              <w:right w:val="single" w:sz="4" w:space="0" w:color="000000"/>
            </w:tcBorders>
            <w:shd w:val="clear" w:color="auto" w:fill="auto"/>
            <w:vAlign w:val="center"/>
          </w:tcPr>
          <w:p w14:paraId="48A9142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893,5</w:t>
            </w:r>
          </w:p>
        </w:tc>
        <w:tc>
          <w:tcPr>
            <w:tcW w:w="767" w:type="dxa"/>
            <w:tcBorders>
              <w:top w:val="nil"/>
              <w:left w:val="nil"/>
              <w:bottom w:val="single" w:sz="4" w:space="0" w:color="000000"/>
              <w:right w:val="single" w:sz="4" w:space="0" w:color="000000"/>
            </w:tcBorders>
            <w:shd w:val="clear" w:color="auto" w:fill="auto"/>
            <w:vAlign w:val="center"/>
          </w:tcPr>
          <w:p w14:paraId="19767EA6"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756,9</w:t>
            </w:r>
          </w:p>
        </w:tc>
      </w:tr>
      <w:tr w:rsidR="00C82386" w14:paraId="79281741" w14:textId="77777777">
        <w:trPr>
          <w:trHeight w:val="315"/>
        </w:trPr>
        <w:tc>
          <w:tcPr>
            <w:tcW w:w="1919" w:type="dxa"/>
            <w:tcBorders>
              <w:top w:val="nil"/>
              <w:left w:val="single" w:sz="4" w:space="0" w:color="000000"/>
              <w:bottom w:val="single" w:sz="4" w:space="0" w:color="000000"/>
              <w:right w:val="single" w:sz="4" w:space="0" w:color="000000"/>
            </w:tcBorders>
            <w:shd w:val="clear" w:color="auto" w:fill="auto"/>
            <w:vAlign w:val="center"/>
          </w:tcPr>
          <w:p w14:paraId="0930429F" w14:textId="77777777" w:rsidR="00C82386" w:rsidRDefault="00E66F64">
            <w:pPr>
              <w:spacing w:after="0" w:line="240" w:lineRule="auto"/>
              <w:ind w:left="3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Інші споживачі (торгівля, промисловість та інші)</w:t>
            </w:r>
          </w:p>
        </w:tc>
        <w:tc>
          <w:tcPr>
            <w:tcW w:w="766" w:type="dxa"/>
            <w:tcBorders>
              <w:top w:val="nil"/>
              <w:left w:val="nil"/>
              <w:bottom w:val="single" w:sz="4" w:space="0" w:color="000000"/>
              <w:right w:val="single" w:sz="4" w:space="0" w:color="000000"/>
            </w:tcBorders>
            <w:shd w:val="clear" w:color="auto" w:fill="auto"/>
            <w:vAlign w:val="center"/>
          </w:tcPr>
          <w:p w14:paraId="1B7886A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74603,6</w:t>
            </w:r>
          </w:p>
        </w:tc>
        <w:tc>
          <w:tcPr>
            <w:tcW w:w="766" w:type="dxa"/>
            <w:gridSpan w:val="2"/>
            <w:tcBorders>
              <w:top w:val="nil"/>
              <w:left w:val="nil"/>
              <w:bottom w:val="single" w:sz="4" w:space="0" w:color="000000"/>
              <w:right w:val="single" w:sz="4" w:space="0" w:color="000000"/>
            </w:tcBorders>
            <w:shd w:val="clear" w:color="auto" w:fill="auto"/>
            <w:vAlign w:val="center"/>
          </w:tcPr>
          <w:p w14:paraId="79D1C98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60803,5</w:t>
            </w:r>
          </w:p>
        </w:tc>
        <w:tc>
          <w:tcPr>
            <w:tcW w:w="767" w:type="dxa"/>
            <w:gridSpan w:val="3"/>
            <w:tcBorders>
              <w:top w:val="nil"/>
              <w:left w:val="nil"/>
              <w:bottom w:val="single" w:sz="4" w:space="0" w:color="000000"/>
              <w:right w:val="single" w:sz="4" w:space="0" w:color="000000"/>
            </w:tcBorders>
            <w:shd w:val="clear" w:color="auto" w:fill="auto"/>
            <w:vAlign w:val="center"/>
          </w:tcPr>
          <w:p w14:paraId="002CD6E6"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57314,7</w:t>
            </w:r>
          </w:p>
        </w:tc>
        <w:tc>
          <w:tcPr>
            <w:tcW w:w="766" w:type="dxa"/>
            <w:tcBorders>
              <w:top w:val="nil"/>
              <w:left w:val="nil"/>
              <w:bottom w:val="single" w:sz="4" w:space="0" w:color="000000"/>
              <w:right w:val="single" w:sz="4" w:space="0" w:color="000000"/>
            </w:tcBorders>
            <w:shd w:val="clear" w:color="auto" w:fill="auto"/>
            <w:vAlign w:val="center"/>
          </w:tcPr>
          <w:p w14:paraId="533CF877"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54034,6</w:t>
            </w:r>
          </w:p>
        </w:tc>
        <w:tc>
          <w:tcPr>
            <w:tcW w:w="767" w:type="dxa"/>
            <w:tcBorders>
              <w:top w:val="nil"/>
              <w:left w:val="nil"/>
              <w:bottom w:val="single" w:sz="4" w:space="0" w:color="000000"/>
              <w:right w:val="single" w:sz="4" w:space="0" w:color="000000"/>
            </w:tcBorders>
            <w:shd w:val="clear" w:color="auto" w:fill="auto"/>
            <w:vAlign w:val="center"/>
          </w:tcPr>
          <w:p w14:paraId="6514CEF0"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47364,7</w:t>
            </w:r>
          </w:p>
        </w:tc>
        <w:tc>
          <w:tcPr>
            <w:tcW w:w="766" w:type="dxa"/>
            <w:tcBorders>
              <w:top w:val="nil"/>
              <w:left w:val="nil"/>
              <w:bottom w:val="single" w:sz="4" w:space="0" w:color="000000"/>
              <w:right w:val="single" w:sz="4" w:space="0" w:color="000000"/>
            </w:tcBorders>
            <w:shd w:val="clear" w:color="auto" w:fill="auto"/>
            <w:vAlign w:val="center"/>
          </w:tcPr>
          <w:p w14:paraId="6A53B00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36225,4</w:t>
            </w:r>
          </w:p>
        </w:tc>
        <w:tc>
          <w:tcPr>
            <w:tcW w:w="766" w:type="dxa"/>
            <w:tcBorders>
              <w:top w:val="nil"/>
              <w:left w:val="nil"/>
              <w:bottom w:val="single" w:sz="4" w:space="0" w:color="000000"/>
              <w:right w:val="single" w:sz="4" w:space="0" w:color="000000"/>
            </w:tcBorders>
            <w:shd w:val="clear" w:color="auto" w:fill="auto"/>
            <w:vAlign w:val="center"/>
          </w:tcPr>
          <w:p w14:paraId="279479B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43092,1</w:t>
            </w:r>
          </w:p>
        </w:tc>
        <w:tc>
          <w:tcPr>
            <w:tcW w:w="767" w:type="dxa"/>
            <w:tcBorders>
              <w:top w:val="nil"/>
              <w:left w:val="nil"/>
              <w:bottom w:val="single" w:sz="4" w:space="0" w:color="000000"/>
              <w:right w:val="single" w:sz="4" w:space="0" w:color="000000"/>
            </w:tcBorders>
            <w:vAlign w:val="center"/>
          </w:tcPr>
          <w:p w14:paraId="060D7F4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43356,2</w:t>
            </w:r>
          </w:p>
        </w:tc>
        <w:tc>
          <w:tcPr>
            <w:tcW w:w="766" w:type="dxa"/>
            <w:tcBorders>
              <w:top w:val="nil"/>
              <w:left w:val="nil"/>
              <w:bottom w:val="single" w:sz="4" w:space="0" w:color="000000"/>
              <w:right w:val="single" w:sz="4" w:space="0" w:color="000000"/>
            </w:tcBorders>
            <w:vAlign w:val="center"/>
          </w:tcPr>
          <w:p w14:paraId="4ED78F11"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38793,4</w:t>
            </w:r>
          </w:p>
        </w:tc>
        <w:tc>
          <w:tcPr>
            <w:tcW w:w="767" w:type="dxa"/>
            <w:tcBorders>
              <w:top w:val="nil"/>
              <w:left w:val="nil"/>
              <w:bottom w:val="single" w:sz="4" w:space="0" w:color="000000"/>
              <w:right w:val="single" w:sz="4" w:space="0" w:color="000000"/>
            </w:tcBorders>
            <w:vAlign w:val="center"/>
          </w:tcPr>
          <w:p w14:paraId="3E9870B1"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16"/>
                <w:szCs w:val="16"/>
              </w:rPr>
              <w:t>39695,4</w:t>
            </w:r>
          </w:p>
        </w:tc>
      </w:tr>
      <w:tr w:rsidR="00C82386" w14:paraId="39B658B6" w14:textId="77777777">
        <w:trPr>
          <w:trHeight w:val="315"/>
        </w:trPr>
        <w:tc>
          <w:tcPr>
            <w:tcW w:w="1919" w:type="dxa"/>
            <w:tcBorders>
              <w:top w:val="nil"/>
              <w:left w:val="single" w:sz="4" w:space="0" w:color="000000"/>
              <w:bottom w:val="single" w:sz="4" w:space="0" w:color="000000"/>
              <w:right w:val="single" w:sz="4" w:space="0" w:color="000000"/>
            </w:tcBorders>
            <w:shd w:val="clear" w:color="auto" w:fill="auto"/>
            <w:vAlign w:val="center"/>
          </w:tcPr>
          <w:p w14:paraId="12111A78" w14:textId="77777777" w:rsidR="00C82386" w:rsidRDefault="00E66F64">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Всього</w:t>
            </w:r>
          </w:p>
        </w:tc>
        <w:tc>
          <w:tcPr>
            <w:tcW w:w="766" w:type="dxa"/>
            <w:tcBorders>
              <w:top w:val="nil"/>
              <w:left w:val="nil"/>
              <w:bottom w:val="single" w:sz="4" w:space="0" w:color="000000"/>
              <w:right w:val="single" w:sz="4" w:space="0" w:color="000000"/>
            </w:tcBorders>
            <w:shd w:val="clear" w:color="auto" w:fill="auto"/>
            <w:vAlign w:val="center"/>
          </w:tcPr>
          <w:p w14:paraId="353118D4"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266852,0</w:t>
            </w:r>
          </w:p>
        </w:tc>
        <w:tc>
          <w:tcPr>
            <w:tcW w:w="766" w:type="dxa"/>
            <w:gridSpan w:val="2"/>
            <w:tcBorders>
              <w:top w:val="nil"/>
              <w:left w:val="nil"/>
              <w:bottom w:val="single" w:sz="4" w:space="0" w:color="000000"/>
              <w:right w:val="single" w:sz="4" w:space="0" w:color="000000"/>
            </w:tcBorders>
            <w:shd w:val="clear" w:color="auto" w:fill="auto"/>
            <w:vAlign w:val="center"/>
          </w:tcPr>
          <w:p w14:paraId="37924F70"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266264,7</w:t>
            </w:r>
          </w:p>
        </w:tc>
        <w:tc>
          <w:tcPr>
            <w:tcW w:w="767" w:type="dxa"/>
            <w:gridSpan w:val="3"/>
            <w:tcBorders>
              <w:top w:val="nil"/>
              <w:left w:val="nil"/>
              <w:bottom w:val="single" w:sz="4" w:space="0" w:color="000000"/>
              <w:right w:val="single" w:sz="4" w:space="0" w:color="000000"/>
            </w:tcBorders>
            <w:shd w:val="clear" w:color="auto" w:fill="auto"/>
            <w:vAlign w:val="center"/>
          </w:tcPr>
          <w:p w14:paraId="02FE4E0A"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259512,0</w:t>
            </w:r>
          </w:p>
        </w:tc>
        <w:tc>
          <w:tcPr>
            <w:tcW w:w="766" w:type="dxa"/>
            <w:tcBorders>
              <w:top w:val="nil"/>
              <w:left w:val="nil"/>
              <w:bottom w:val="single" w:sz="4" w:space="0" w:color="000000"/>
              <w:right w:val="single" w:sz="4" w:space="0" w:color="000000"/>
            </w:tcBorders>
            <w:shd w:val="clear" w:color="auto" w:fill="auto"/>
            <w:vAlign w:val="center"/>
          </w:tcPr>
          <w:p w14:paraId="71047AA5"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219314,8</w:t>
            </w:r>
          </w:p>
        </w:tc>
        <w:tc>
          <w:tcPr>
            <w:tcW w:w="767" w:type="dxa"/>
            <w:tcBorders>
              <w:top w:val="nil"/>
              <w:left w:val="nil"/>
              <w:bottom w:val="single" w:sz="4" w:space="0" w:color="000000"/>
              <w:right w:val="single" w:sz="4" w:space="0" w:color="000000"/>
            </w:tcBorders>
            <w:shd w:val="clear" w:color="auto" w:fill="auto"/>
            <w:vAlign w:val="center"/>
          </w:tcPr>
          <w:p w14:paraId="53E201CE"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183896,3</w:t>
            </w:r>
          </w:p>
        </w:tc>
        <w:tc>
          <w:tcPr>
            <w:tcW w:w="766" w:type="dxa"/>
            <w:tcBorders>
              <w:top w:val="nil"/>
              <w:left w:val="nil"/>
              <w:bottom w:val="single" w:sz="4" w:space="0" w:color="000000"/>
              <w:right w:val="single" w:sz="4" w:space="0" w:color="000000"/>
            </w:tcBorders>
            <w:shd w:val="clear" w:color="auto" w:fill="auto"/>
            <w:vAlign w:val="center"/>
          </w:tcPr>
          <w:p w14:paraId="206C21F7"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181424,4</w:t>
            </w:r>
          </w:p>
        </w:tc>
        <w:tc>
          <w:tcPr>
            <w:tcW w:w="766" w:type="dxa"/>
            <w:tcBorders>
              <w:top w:val="nil"/>
              <w:left w:val="nil"/>
              <w:bottom w:val="single" w:sz="4" w:space="0" w:color="000000"/>
              <w:right w:val="single" w:sz="4" w:space="0" w:color="000000"/>
            </w:tcBorders>
            <w:shd w:val="clear" w:color="auto" w:fill="auto"/>
            <w:vAlign w:val="center"/>
          </w:tcPr>
          <w:p w14:paraId="6F5FCA4F"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167975,8</w:t>
            </w:r>
          </w:p>
        </w:tc>
        <w:tc>
          <w:tcPr>
            <w:tcW w:w="767" w:type="dxa"/>
            <w:tcBorders>
              <w:top w:val="nil"/>
              <w:left w:val="nil"/>
              <w:bottom w:val="single" w:sz="4" w:space="0" w:color="000000"/>
              <w:right w:val="single" w:sz="4" w:space="0" w:color="000000"/>
            </w:tcBorders>
            <w:vAlign w:val="center"/>
          </w:tcPr>
          <w:p w14:paraId="48E120C6"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171909,7</w:t>
            </w:r>
          </w:p>
        </w:tc>
        <w:tc>
          <w:tcPr>
            <w:tcW w:w="766" w:type="dxa"/>
            <w:tcBorders>
              <w:top w:val="nil"/>
              <w:left w:val="nil"/>
              <w:bottom w:val="single" w:sz="4" w:space="0" w:color="000000"/>
              <w:right w:val="single" w:sz="4" w:space="0" w:color="000000"/>
            </w:tcBorders>
            <w:vAlign w:val="center"/>
          </w:tcPr>
          <w:p w14:paraId="7FB3314E"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149441,7</w:t>
            </w:r>
          </w:p>
        </w:tc>
        <w:tc>
          <w:tcPr>
            <w:tcW w:w="767" w:type="dxa"/>
            <w:tcBorders>
              <w:top w:val="nil"/>
              <w:left w:val="nil"/>
              <w:bottom w:val="single" w:sz="4" w:space="0" w:color="000000"/>
              <w:right w:val="single" w:sz="4" w:space="0" w:color="000000"/>
            </w:tcBorders>
            <w:vAlign w:val="center"/>
          </w:tcPr>
          <w:p w14:paraId="18777453" w14:textId="77777777" w:rsidR="00C82386" w:rsidRDefault="00E66F64">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149086,6</w:t>
            </w:r>
          </w:p>
        </w:tc>
      </w:tr>
    </w:tbl>
    <w:p w14:paraId="23761FAD" w14:textId="77777777" w:rsidR="00C82386" w:rsidRDefault="00E66F64">
      <w:pPr>
        <w:spacing w:before="120" w:after="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 дані по бюджетних установах наведені тільки для бюджетних споживачів, що фінансуються з міського бюджету</w:t>
      </w:r>
      <w:r w:rsidR="003F6E30">
        <w:rPr>
          <w:rFonts w:ascii="Times New Roman" w:eastAsia="Times New Roman" w:hAnsi="Times New Roman" w:cs="Times New Roman"/>
          <w:sz w:val="20"/>
          <w:szCs w:val="20"/>
        </w:rPr>
        <w:t xml:space="preserve"> (бюджету громади)</w:t>
      </w:r>
      <w:r>
        <w:rPr>
          <w:rFonts w:ascii="Times New Roman" w:eastAsia="Times New Roman" w:hAnsi="Times New Roman" w:cs="Times New Roman"/>
          <w:sz w:val="20"/>
          <w:szCs w:val="20"/>
        </w:rPr>
        <w:t>.</w:t>
      </w:r>
    </w:p>
    <w:p w14:paraId="05A9F65C"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Загальне споживання природного газу по м. Житомир з 2010 по 2020 рік зменшилося на 44%.</w:t>
      </w:r>
    </w:p>
    <w:p w14:paraId="645CD7F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Фактичні дані про споживання газу по с. Вереси за 2010 рік відсутні. Тому для подальшого врахування у загальному енергетичному балансі громади воно було отримано розрахунковим шляхом і дорівнює 3 846,29 тис. 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для муніципальних установ окремо 66,34 тис. 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для житлового сектора 3 682,97 тис.м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та для 97,0 тис.м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для інших споживачів.</w:t>
      </w:r>
    </w:p>
    <w:p w14:paraId="58D66045" w14:textId="77777777" w:rsidR="00C82386" w:rsidRDefault="00E66F64">
      <w:pPr>
        <w:spacing w:after="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3.5. наведено структуру споживання природного газу станом на 2010 рік.</w:t>
      </w:r>
    </w:p>
    <w:p w14:paraId="333817BA" w14:textId="77777777" w:rsidR="00C82386" w:rsidRDefault="00E66F64">
      <w:pPr>
        <w:spacing w:before="120" w:after="120"/>
        <w:jc w:val="center"/>
        <w:rPr>
          <w:rFonts w:ascii="Times New Roman" w:eastAsia="Times New Roman" w:hAnsi="Times New Roman" w:cs="Times New Roman"/>
          <w:sz w:val="24"/>
          <w:szCs w:val="24"/>
        </w:rPr>
      </w:pPr>
      <w:r>
        <w:rPr>
          <w:noProof/>
          <w:lang w:val="ru-RU"/>
        </w:rPr>
        <w:lastRenderedPageBreak/>
        <w:drawing>
          <wp:inline distT="0" distB="0" distL="0" distR="0" wp14:anchorId="032C475B" wp14:editId="54BA2CC6">
            <wp:extent cx="4356328" cy="2426081"/>
            <wp:effectExtent l="0" t="0" r="0" b="0"/>
            <wp:docPr id="2144251944" name="Диаграмма 21442519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9F2FA30"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3.5. Структура споживання природного газу по Житомирській міській територіальній громаді станом на 2010 рік.</w:t>
      </w:r>
    </w:p>
    <w:p w14:paraId="4974BF15" w14:textId="77777777" w:rsidR="00C82386" w:rsidRDefault="00E66F64">
      <w:pPr>
        <w:spacing w:before="120" w:after="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2010 рік загальне споживання природного газу приблизно однаково розподіляється між прямим споживанням населенням, КП «Житомиртеплокомуненерго» та іншими споживачами (торгівля, промисловість та інші). Доля споживання бюджетними установами мала і складає лише 0,4%.</w:t>
      </w:r>
    </w:p>
    <w:p w14:paraId="1ED35296" w14:textId="77777777" w:rsidR="00C82386" w:rsidRDefault="00E66F64">
      <w:pPr>
        <w:spacing w:before="120" w:after="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3.6. наведено структуру споживання природного газу станом на 2020 рік.</w:t>
      </w:r>
    </w:p>
    <w:p w14:paraId="2C1402AF" w14:textId="77777777" w:rsidR="00C82386" w:rsidRDefault="00E66F64">
      <w:pPr>
        <w:spacing w:after="0"/>
        <w:ind w:firstLine="709"/>
        <w:jc w:val="both"/>
        <w:rPr>
          <w:rFonts w:ascii="Times New Roman" w:eastAsia="Times New Roman" w:hAnsi="Times New Roman" w:cs="Times New Roman"/>
          <w:sz w:val="24"/>
          <w:szCs w:val="24"/>
        </w:rPr>
      </w:pPr>
      <w:r>
        <w:rPr>
          <w:noProof/>
          <w:lang w:val="ru-RU"/>
        </w:rPr>
        <w:drawing>
          <wp:inline distT="0" distB="0" distL="0" distR="0" wp14:anchorId="0554830C" wp14:editId="1634290C">
            <wp:extent cx="4572304" cy="2489366"/>
            <wp:effectExtent l="0" t="0" r="0" b="0"/>
            <wp:docPr id="2144251945" name="Диаграмма 21442519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6B7C446"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3.6. Структура споживання природного газу по м. Житомир станом на 2020 рік.</w:t>
      </w:r>
    </w:p>
    <w:p w14:paraId="22F17CF6"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 можна побачити на рисунку 2.4., найбільша частка загального обсягу (38,9%) – це споживання КП «Житомиртеплокомуненерго» на генерацію теплової енергії для централізованої системи опалення міста. Друга за розміром частка (34,0%) споживання природного газу належить населенню (використання на побутові потреби та опалення). Пряме споживання природного газу бюджетними установами міста складає 0,5%, а іншими споживачами (установами торгівлі, промисловістю та інше) – 26,6%.</w:t>
      </w:r>
    </w:p>
    <w:p w14:paraId="2553A071" w14:textId="77777777" w:rsidR="00C82386" w:rsidRDefault="00E66F64">
      <w:pPr>
        <w:keepNext/>
        <w:keepLines/>
        <w:numPr>
          <w:ilvl w:val="1"/>
          <w:numId w:val="22"/>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27" w:name="_heading=h.3as4poj" w:colFirst="0" w:colLast="0"/>
      <w:bookmarkEnd w:id="27"/>
      <w:r>
        <w:rPr>
          <w:rFonts w:ascii="Times New Roman" w:eastAsia="Times New Roman" w:hAnsi="Times New Roman" w:cs="Times New Roman"/>
          <w:b/>
          <w:color w:val="000000"/>
          <w:sz w:val="24"/>
          <w:szCs w:val="24"/>
        </w:rPr>
        <w:t>Система електропостачання</w:t>
      </w:r>
    </w:p>
    <w:p w14:paraId="143ED5F0"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Постачання та розподіл електричної енергії споживачам Житомирської міської територіальної громади здійснює АТ «Житомиробленерго». Підприємство є природним монополістом у місті Житомирі та Житомирській області, оскільки є власником існуючої системи розподілу. Крім «Житомиробленерго» постачальниками електроенергії виступають ОСР – Південно-Західна залізниця та незалежні члени енергоринку.</w:t>
      </w:r>
    </w:p>
    <w:p w14:paraId="49A20538"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Коротка характеристика компанії представлено у таблиці 3.6.</w:t>
      </w:r>
    </w:p>
    <w:p w14:paraId="67AF158D" w14:textId="77777777" w:rsidR="00C82386" w:rsidRDefault="00E66F64">
      <w:pPr>
        <w:pBdr>
          <w:top w:val="nil"/>
          <w:left w:val="nil"/>
          <w:bottom w:val="nil"/>
          <w:right w:val="nil"/>
          <w:between w:val="nil"/>
        </w:pBdr>
        <w:tabs>
          <w:tab w:val="left" w:pos="1134"/>
        </w:tabs>
        <w:ind w:firstLine="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3.6</w:t>
      </w:r>
    </w:p>
    <w:tbl>
      <w:tblPr>
        <w:tblStyle w:val="afffe"/>
        <w:tblW w:w="81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1559"/>
      </w:tblGrid>
      <w:tr w:rsidR="00D44B07" w14:paraId="7088E0C0" w14:textId="77777777" w:rsidTr="00D44B07">
        <w:tc>
          <w:tcPr>
            <w:tcW w:w="6629" w:type="dxa"/>
          </w:tcPr>
          <w:p w14:paraId="42DAA4C1"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Назва показника</w:t>
            </w:r>
          </w:p>
        </w:tc>
        <w:tc>
          <w:tcPr>
            <w:tcW w:w="1559" w:type="dxa"/>
          </w:tcPr>
          <w:p w14:paraId="58EF547B"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2010</w:t>
            </w:r>
          </w:p>
        </w:tc>
      </w:tr>
      <w:tr w:rsidR="00D44B07" w14:paraId="3D9080F7" w14:textId="77777777" w:rsidTr="00D44B07">
        <w:tc>
          <w:tcPr>
            <w:tcW w:w="6629" w:type="dxa"/>
          </w:tcPr>
          <w:p w14:paraId="4E231F6F"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Повітряні лінії електропередачі напругою 0,4-110 кВ, км</w:t>
            </w:r>
          </w:p>
        </w:tc>
        <w:tc>
          <w:tcPr>
            <w:tcW w:w="1559" w:type="dxa"/>
          </w:tcPr>
          <w:p w14:paraId="3479BE91"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34022,5</w:t>
            </w:r>
          </w:p>
        </w:tc>
      </w:tr>
      <w:tr w:rsidR="00D44B07" w14:paraId="28DC8B09" w14:textId="77777777" w:rsidTr="00D44B07">
        <w:tc>
          <w:tcPr>
            <w:tcW w:w="6629" w:type="dxa"/>
          </w:tcPr>
          <w:p w14:paraId="6BB057B9"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Кабельні лінії електропередачі напругою 0,4-10 кВ, км</w:t>
            </w:r>
          </w:p>
        </w:tc>
        <w:tc>
          <w:tcPr>
            <w:tcW w:w="1559" w:type="dxa"/>
          </w:tcPr>
          <w:p w14:paraId="672245CC"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1475,7</w:t>
            </w:r>
          </w:p>
        </w:tc>
      </w:tr>
      <w:tr w:rsidR="00D44B07" w14:paraId="306D6A78" w14:textId="77777777" w:rsidTr="00D44B07">
        <w:tc>
          <w:tcPr>
            <w:tcW w:w="6629" w:type="dxa"/>
          </w:tcPr>
          <w:p w14:paraId="2FCEAFA3"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Електропідстанції напругою 35-110 кВ, шт.</w:t>
            </w:r>
          </w:p>
        </w:tc>
        <w:tc>
          <w:tcPr>
            <w:tcW w:w="1559" w:type="dxa"/>
          </w:tcPr>
          <w:p w14:paraId="2734D21D"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193</w:t>
            </w:r>
          </w:p>
        </w:tc>
      </w:tr>
      <w:tr w:rsidR="00D44B07" w14:paraId="405CC92A" w14:textId="77777777" w:rsidTr="00D44B07">
        <w:tc>
          <w:tcPr>
            <w:tcW w:w="6629" w:type="dxa"/>
          </w:tcPr>
          <w:p w14:paraId="709A3F74"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 постачання, кв. км</w:t>
            </w:r>
          </w:p>
        </w:tc>
        <w:tc>
          <w:tcPr>
            <w:tcW w:w="1559" w:type="dxa"/>
          </w:tcPr>
          <w:p w14:paraId="68813861"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29,9</w:t>
            </w:r>
          </w:p>
        </w:tc>
      </w:tr>
      <w:tr w:rsidR="00D44B07" w14:paraId="17AB691D" w14:textId="77777777" w:rsidTr="00D44B07">
        <w:tc>
          <w:tcPr>
            <w:tcW w:w="6629" w:type="dxa"/>
          </w:tcPr>
          <w:p w14:paraId="429E27A0"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споживачів:</w:t>
            </w:r>
          </w:p>
        </w:tc>
        <w:tc>
          <w:tcPr>
            <w:tcW w:w="1559" w:type="dxa"/>
          </w:tcPr>
          <w:p w14:paraId="4862F705" w14:textId="77777777" w:rsidR="00D44B07" w:rsidRDefault="00D44B07">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p>
        </w:tc>
      </w:tr>
      <w:tr w:rsidR="00D44B07" w14:paraId="5182AA3C" w14:textId="77777777" w:rsidTr="00D44B07">
        <w:tc>
          <w:tcPr>
            <w:tcW w:w="6629" w:type="dxa"/>
          </w:tcPr>
          <w:p w14:paraId="25EC3F66" w14:textId="77777777" w:rsidR="00D44B07" w:rsidRDefault="00D44B07">
            <w:pPr>
              <w:numPr>
                <w:ilvl w:val="0"/>
                <w:numId w:val="19"/>
              </w:num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абонентів – фізичних осіб</w:t>
            </w:r>
          </w:p>
        </w:tc>
        <w:tc>
          <w:tcPr>
            <w:tcW w:w="1559" w:type="dxa"/>
          </w:tcPr>
          <w:p w14:paraId="7348F8EE"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583 921</w:t>
            </w:r>
          </w:p>
        </w:tc>
      </w:tr>
      <w:tr w:rsidR="00D44B07" w14:paraId="3B0620B6" w14:textId="77777777" w:rsidTr="00D44B07">
        <w:tc>
          <w:tcPr>
            <w:tcW w:w="6629" w:type="dxa"/>
          </w:tcPr>
          <w:p w14:paraId="1CC9AFAB" w14:textId="77777777" w:rsidR="00D44B07" w:rsidRDefault="00D44B07">
            <w:pPr>
              <w:numPr>
                <w:ilvl w:val="0"/>
                <w:numId w:val="19"/>
              </w:num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абонентів – юридичних осіб</w:t>
            </w:r>
          </w:p>
        </w:tc>
        <w:tc>
          <w:tcPr>
            <w:tcW w:w="1559" w:type="dxa"/>
          </w:tcPr>
          <w:p w14:paraId="0064EDDE" w14:textId="77777777" w:rsidR="00D44B07" w:rsidRDefault="00D44B0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16 629</w:t>
            </w:r>
          </w:p>
        </w:tc>
      </w:tr>
    </w:tbl>
    <w:p w14:paraId="7521AF65"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Генеруючі потужності представлені на території Житомирської міської територіальної громади представлені гідроелектростанцією, що розта</w:t>
      </w:r>
      <w:sdt>
        <w:sdtPr>
          <w:tag w:val="goog_rdk_15"/>
          <w:id w:val="480517730"/>
        </w:sdtPr>
        <w:sdtEndPr/>
        <w:sdtContent/>
      </w:sdt>
      <w:r>
        <w:rPr>
          <w:rFonts w:ascii="Times New Roman" w:eastAsia="Times New Roman" w:hAnsi="Times New Roman" w:cs="Times New Roman"/>
          <w:color w:val="000000"/>
          <w:sz w:val="24"/>
          <w:szCs w:val="24"/>
        </w:rPr>
        <w:t>шована на р. Тетерів, підпорядкованою ТОВ «Житомиркомунсервіс»,</w:t>
      </w:r>
      <w:r w:rsidR="00D44B07">
        <w:rPr>
          <w:rFonts w:ascii="Times New Roman" w:eastAsia="Times New Roman" w:hAnsi="Times New Roman" w:cs="Times New Roman"/>
          <w:color w:val="000000"/>
          <w:sz w:val="24"/>
          <w:szCs w:val="24"/>
        </w:rPr>
        <w:t xml:space="preserve"> установкою дегазації полігону ТПВ</w:t>
      </w:r>
      <w:r>
        <w:rPr>
          <w:rFonts w:ascii="Times New Roman" w:eastAsia="Times New Roman" w:hAnsi="Times New Roman" w:cs="Times New Roman"/>
          <w:color w:val="000000"/>
          <w:sz w:val="24"/>
          <w:szCs w:val="24"/>
        </w:rPr>
        <w:t xml:space="preserve"> та приватними сонячними установками. </w:t>
      </w:r>
    </w:p>
    <w:p w14:paraId="2852B6A5"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Житомирська ГЕС почала свою роботу наприкінці 2016 року. Приєднана генеруюча потужність складає 190 кВт. Показники генерації електроенергії Житомирської ГЕС представлені у таблиці 3.7.</w:t>
      </w:r>
    </w:p>
    <w:p w14:paraId="0835A2A6" w14:textId="77777777" w:rsidR="00C82386" w:rsidRDefault="00E66F64">
      <w:pPr>
        <w:pBdr>
          <w:top w:val="nil"/>
          <w:left w:val="nil"/>
          <w:bottom w:val="nil"/>
          <w:right w:val="nil"/>
          <w:between w:val="nil"/>
        </w:pBdr>
        <w:tabs>
          <w:tab w:val="left" w:pos="1134"/>
        </w:tabs>
        <w:spacing w:after="0"/>
        <w:ind w:firstLine="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3.7.</w:t>
      </w:r>
    </w:p>
    <w:tbl>
      <w:tblPr>
        <w:tblStyle w:val="affff"/>
        <w:tblW w:w="957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6"/>
        <w:gridCol w:w="1371"/>
        <w:gridCol w:w="1370"/>
        <w:gridCol w:w="1333"/>
      </w:tblGrid>
      <w:tr w:rsidR="00C82386" w14:paraId="62E55FCD" w14:textId="77777777">
        <w:tc>
          <w:tcPr>
            <w:tcW w:w="5496" w:type="dxa"/>
          </w:tcPr>
          <w:p w14:paraId="0CAD7175" w14:textId="77777777" w:rsidR="00C82386" w:rsidRDefault="00E66F64" w:rsidP="00AA69C3">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Назва показника</w:t>
            </w:r>
          </w:p>
        </w:tc>
        <w:tc>
          <w:tcPr>
            <w:tcW w:w="1371" w:type="dxa"/>
          </w:tcPr>
          <w:p w14:paraId="74E63CFD"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w:t>
            </w:r>
          </w:p>
        </w:tc>
        <w:tc>
          <w:tcPr>
            <w:tcW w:w="1370" w:type="dxa"/>
          </w:tcPr>
          <w:p w14:paraId="3FBEAB8C"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2019</w:t>
            </w:r>
          </w:p>
        </w:tc>
        <w:tc>
          <w:tcPr>
            <w:tcW w:w="1333" w:type="dxa"/>
          </w:tcPr>
          <w:p w14:paraId="10C7FA98"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40CF52F0" w14:textId="77777777">
        <w:tc>
          <w:tcPr>
            <w:tcW w:w="5496" w:type="dxa"/>
          </w:tcPr>
          <w:p w14:paraId="1499195C" w14:textId="77777777" w:rsidR="00C82386" w:rsidRPr="00AA69C3" w:rsidRDefault="00E66F64">
            <w:pPr>
              <w:pBdr>
                <w:top w:val="nil"/>
                <w:left w:val="nil"/>
                <w:bottom w:val="nil"/>
                <w:right w:val="nil"/>
                <w:between w:val="nil"/>
              </w:pBdr>
              <w:tabs>
                <w:tab w:val="left" w:pos="1134"/>
              </w:tabs>
              <w:spacing w:after="0"/>
              <w:jc w:val="both"/>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sz w:val="24"/>
                <w:szCs w:val="24"/>
              </w:rPr>
              <w:t>Кількість виробленої електроенергії, МВт·год</w:t>
            </w:r>
          </w:p>
        </w:tc>
        <w:tc>
          <w:tcPr>
            <w:tcW w:w="1371" w:type="dxa"/>
            <w:vAlign w:val="center"/>
          </w:tcPr>
          <w:p w14:paraId="506EA8C0"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385,7</w:t>
            </w:r>
          </w:p>
        </w:tc>
        <w:tc>
          <w:tcPr>
            <w:tcW w:w="1370" w:type="dxa"/>
            <w:vAlign w:val="center"/>
          </w:tcPr>
          <w:p w14:paraId="404CAEC8"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308,7</w:t>
            </w:r>
          </w:p>
        </w:tc>
        <w:tc>
          <w:tcPr>
            <w:tcW w:w="1333" w:type="dxa"/>
            <w:shd w:val="clear" w:color="auto" w:fill="auto"/>
            <w:vAlign w:val="center"/>
          </w:tcPr>
          <w:p w14:paraId="58DA111C"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73,1</w:t>
            </w:r>
          </w:p>
        </w:tc>
      </w:tr>
      <w:tr w:rsidR="00C82386" w14:paraId="5698C84D" w14:textId="77777777">
        <w:tc>
          <w:tcPr>
            <w:tcW w:w="5496" w:type="dxa"/>
          </w:tcPr>
          <w:p w14:paraId="6CAD8D03" w14:textId="77777777" w:rsidR="00C82386" w:rsidRPr="00AA69C3" w:rsidRDefault="004341E7">
            <w:pPr>
              <w:pBdr>
                <w:top w:val="nil"/>
                <w:left w:val="nil"/>
                <w:bottom w:val="nil"/>
                <w:right w:val="nil"/>
                <w:between w:val="nil"/>
              </w:pBdr>
              <w:tabs>
                <w:tab w:val="left" w:pos="1134"/>
              </w:tabs>
              <w:spacing w:after="0"/>
              <w:jc w:val="both"/>
              <w:rPr>
                <w:rFonts w:ascii="Times New Roman" w:eastAsia="Times New Roman" w:hAnsi="Times New Roman" w:cs="Times New Roman"/>
                <w:color w:val="000000"/>
                <w:sz w:val="24"/>
                <w:szCs w:val="24"/>
              </w:rPr>
            </w:pPr>
            <w:sdt>
              <w:sdtPr>
                <w:tag w:val="goog_rdk_16"/>
                <w:id w:val="-1503660343"/>
              </w:sdtPr>
              <w:sdtEndPr/>
              <w:sdtContent>
                <w:r w:rsidR="00E66F64" w:rsidRPr="00AA69C3">
                  <w:rPr>
                    <w:rFonts w:ascii="Gungsuh" w:eastAsia="Gungsuh" w:hAnsi="Gungsuh" w:cs="Gungsuh"/>
                    <w:color w:val="000000"/>
                    <w:sz w:val="24"/>
                    <w:szCs w:val="24"/>
                  </w:rPr>
                  <w:t>Кількість електроенергії, відпущеної в мережу, МВт∙год.</w:t>
                </w:r>
              </w:sdtContent>
            </w:sdt>
          </w:p>
        </w:tc>
        <w:tc>
          <w:tcPr>
            <w:tcW w:w="1371" w:type="dxa"/>
            <w:vAlign w:val="center"/>
          </w:tcPr>
          <w:p w14:paraId="5907A566"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371,3</w:t>
            </w:r>
          </w:p>
        </w:tc>
        <w:tc>
          <w:tcPr>
            <w:tcW w:w="1370" w:type="dxa"/>
            <w:vAlign w:val="center"/>
          </w:tcPr>
          <w:p w14:paraId="156116E5"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304,0</w:t>
            </w:r>
          </w:p>
        </w:tc>
        <w:tc>
          <w:tcPr>
            <w:tcW w:w="1333" w:type="dxa"/>
            <w:shd w:val="clear" w:color="auto" w:fill="auto"/>
            <w:vAlign w:val="center"/>
          </w:tcPr>
          <w:p w14:paraId="48B804B1"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65,0</w:t>
            </w:r>
          </w:p>
        </w:tc>
      </w:tr>
    </w:tbl>
    <w:p w14:paraId="3E490F2F" w14:textId="77777777" w:rsidR="00D44B07" w:rsidRDefault="00D44B07" w:rsidP="00D44B07">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w:t>
      </w:r>
      <w:r w:rsidRPr="00D44B07">
        <w:rPr>
          <w:rFonts w:ascii="Times New Roman" w:eastAsia="Times New Roman" w:hAnsi="Times New Roman" w:cs="Times New Roman"/>
          <w:color w:val="000000"/>
          <w:sz w:val="24"/>
          <w:szCs w:val="24"/>
        </w:rPr>
        <w:t xml:space="preserve">дегазації міського </w:t>
      </w:r>
      <w:r w:rsidRPr="00AA69C3">
        <w:rPr>
          <w:rFonts w:ascii="Times New Roman" w:eastAsia="Times New Roman" w:hAnsi="Times New Roman" w:cs="Times New Roman"/>
          <w:color w:val="000000"/>
          <w:sz w:val="24"/>
          <w:szCs w:val="24"/>
        </w:rPr>
        <w:t xml:space="preserve">полігону твердих побутових відходів функціонує установка для відкачування звалищного газу. Біогаз відкачується із </w:t>
      </w:r>
      <w:r w:rsidR="00DB5D30" w:rsidRPr="00AA69C3">
        <w:rPr>
          <w:rFonts w:ascii="Times New Roman" w:eastAsia="Times New Roman" w:hAnsi="Times New Roman" w:cs="Times New Roman"/>
          <w:color w:val="000000"/>
          <w:sz w:val="24"/>
          <w:szCs w:val="24"/>
        </w:rPr>
        <w:t>60</w:t>
      </w:r>
      <w:r w:rsidRPr="00AA69C3">
        <w:rPr>
          <w:rFonts w:ascii="Times New Roman" w:eastAsia="Times New Roman" w:hAnsi="Times New Roman" w:cs="Times New Roman"/>
          <w:color w:val="000000"/>
          <w:sz w:val="24"/>
          <w:szCs w:val="24"/>
        </w:rPr>
        <w:t xml:space="preserve"> </w:t>
      </w:r>
      <w:r w:rsidR="00DB5D30" w:rsidRPr="00AA69C3">
        <w:rPr>
          <w:rFonts w:ascii="Times New Roman" w:eastAsia="Times New Roman" w:hAnsi="Times New Roman" w:cs="Times New Roman"/>
          <w:color w:val="000000"/>
          <w:sz w:val="24"/>
          <w:szCs w:val="24"/>
        </w:rPr>
        <w:t xml:space="preserve">активних </w:t>
      </w:r>
      <w:r w:rsidRPr="00AA69C3">
        <w:rPr>
          <w:rFonts w:ascii="Times New Roman" w:eastAsia="Times New Roman" w:hAnsi="Times New Roman" w:cs="Times New Roman"/>
          <w:color w:val="000000"/>
          <w:sz w:val="24"/>
          <w:szCs w:val="24"/>
        </w:rPr>
        <w:t>свердловин</w:t>
      </w:r>
      <w:r w:rsidR="00DB5D30" w:rsidRPr="00AA69C3">
        <w:rPr>
          <w:rFonts w:ascii="Times New Roman" w:eastAsia="Times New Roman" w:hAnsi="Times New Roman" w:cs="Times New Roman"/>
          <w:color w:val="000000"/>
          <w:sz w:val="24"/>
          <w:szCs w:val="24"/>
        </w:rPr>
        <w:t xml:space="preserve"> (загальна</w:t>
      </w:r>
      <w:r w:rsidRPr="00AA69C3">
        <w:rPr>
          <w:rFonts w:ascii="Times New Roman" w:eastAsia="Times New Roman" w:hAnsi="Times New Roman" w:cs="Times New Roman"/>
          <w:color w:val="000000"/>
          <w:sz w:val="24"/>
          <w:szCs w:val="24"/>
        </w:rPr>
        <w:t xml:space="preserve"> кількість </w:t>
      </w:r>
      <w:r w:rsidR="00DB5D30" w:rsidRPr="00AA69C3">
        <w:rPr>
          <w:rFonts w:ascii="Times New Roman" w:eastAsia="Times New Roman" w:hAnsi="Times New Roman" w:cs="Times New Roman"/>
          <w:color w:val="000000"/>
          <w:sz w:val="24"/>
          <w:szCs w:val="24"/>
        </w:rPr>
        <w:t>свердловин – 14</w:t>
      </w:r>
      <w:r w:rsidRPr="00AA69C3">
        <w:rPr>
          <w:rFonts w:ascii="Times New Roman" w:eastAsia="Times New Roman" w:hAnsi="Times New Roman" w:cs="Times New Roman"/>
          <w:color w:val="000000"/>
          <w:sz w:val="24"/>
          <w:szCs w:val="24"/>
        </w:rPr>
        <w:t>2</w:t>
      </w:r>
      <w:r w:rsidR="00DB5D30" w:rsidRPr="00AA69C3">
        <w:rPr>
          <w:rFonts w:ascii="Times New Roman" w:eastAsia="Times New Roman" w:hAnsi="Times New Roman" w:cs="Times New Roman"/>
          <w:color w:val="000000"/>
          <w:sz w:val="24"/>
          <w:szCs w:val="24"/>
        </w:rPr>
        <w:t>)</w:t>
      </w:r>
      <w:r w:rsidRPr="00AA69C3">
        <w:rPr>
          <w:rFonts w:ascii="Times New Roman" w:eastAsia="Times New Roman" w:hAnsi="Times New Roman" w:cs="Times New Roman"/>
          <w:color w:val="000000"/>
          <w:sz w:val="24"/>
          <w:szCs w:val="24"/>
        </w:rPr>
        <w:t>. Дана установка</w:t>
      </w:r>
      <w:r w:rsidRPr="00D44B07">
        <w:rPr>
          <w:rFonts w:ascii="Times New Roman" w:eastAsia="Times New Roman" w:hAnsi="Times New Roman" w:cs="Times New Roman"/>
          <w:color w:val="000000"/>
          <w:sz w:val="24"/>
          <w:szCs w:val="24"/>
        </w:rPr>
        <w:t xml:space="preserve"> виробляє електричну енергію шляхом спалювання біогазу</w:t>
      </w:r>
      <w:r>
        <w:rPr>
          <w:rFonts w:ascii="Times New Roman" w:eastAsia="Times New Roman" w:hAnsi="Times New Roman" w:cs="Times New Roman"/>
          <w:color w:val="000000"/>
          <w:sz w:val="24"/>
          <w:szCs w:val="24"/>
        </w:rPr>
        <w:t>, потужність установки – 1,063 МВт.</w:t>
      </w:r>
    </w:p>
    <w:p w14:paraId="13D8566B"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w:t>
      </w:r>
      <w:sdt>
        <w:sdtPr>
          <w:tag w:val="goog_rdk_17"/>
          <w:id w:val="1526211447"/>
        </w:sdtPr>
        <w:sdtEndPr/>
        <w:sdtContent/>
      </w:sdt>
      <w:r>
        <w:rPr>
          <w:rFonts w:ascii="Times New Roman" w:eastAsia="Times New Roman" w:hAnsi="Times New Roman" w:cs="Times New Roman"/>
          <w:color w:val="000000"/>
          <w:sz w:val="24"/>
          <w:szCs w:val="24"/>
        </w:rPr>
        <w:t>формація відносно кількості та генеруючої потужності установок у приватних господарствах, що генерують електроенергію з енергії сонячного випромінювання</w:t>
      </w:r>
      <w:r w:rsidR="00D44B07">
        <w:rPr>
          <w:rFonts w:ascii="Times New Roman" w:eastAsia="Times New Roman" w:hAnsi="Times New Roman" w:cs="Times New Roman"/>
          <w:color w:val="000000"/>
          <w:sz w:val="24"/>
          <w:szCs w:val="24"/>
        </w:rPr>
        <w:t>, станом на кінець 2024 року,</w:t>
      </w:r>
      <w:r>
        <w:rPr>
          <w:rFonts w:ascii="Times New Roman" w:eastAsia="Times New Roman" w:hAnsi="Times New Roman" w:cs="Times New Roman"/>
          <w:color w:val="000000"/>
          <w:sz w:val="24"/>
          <w:szCs w:val="24"/>
        </w:rPr>
        <w:t xml:space="preserve"> представлена у таблиці 3.8.</w:t>
      </w:r>
    </w:p>
    <w:p w14:paraId="6D780044" w14:textId="77777777" w:rsidR="00C82386" w:rsidRDefault="00E66F64">
      <w:pPr>
        <w:pBdr>
          <w:top w:val="nil"/>
          <w:left w:val="nil"/>
          <w:bottom w:val="nil"/>
          <w:right w:val="nil"/>
          <w:between w:val="nil"/>
        </w:pBdr>
        <w:tabs>
          <w:tab w:val="left" w:pos="1134"/>
        </w:tabs>
        <w:ind w:firstLine="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3.8.</w:t>
      </w:r>
    </w:p>
    <w:tbl>
      <w:tblPr>
        <w:tblStyle w:val="affff0"/>
        <w:tblW w:w="95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tblCellMar>
        <w:tblLook w:val="0400" w:firstRow="0" w:lastRow="0" w:firstColumn="0" w:lastColumn="0" w:noHBand="0" w:noVBand="1"/>
      </w:tblPr>
      <w:tblGrid>
        <w:gridCol w:w="4361"/>
        <w:gridCol w:w="2693"/>
        <w:gridCol w:w="2516"/>
      </w:tblGrid>
      <w:tr w:rsidR="00C82386" w14:paraId="0E8A6067" w14:textId="77777777" w:rsidTr="001B7378">
        <w:trPr>
          <w:jc w:val="center"/>
        </w:trPr>
        <w:tc>
          <w:tcPr>
            <w:tcW w:w="4361" w:type="dxa"/>
            <w:vAlign w:val="center"/>
          </w:tcPr>
          <w:p w14:paraId="2FAF0FCA" w14:textId="77777777" w:rsidR="00C82386" w:rsidRDefault="00E66F64">
            <w:pPr>
              <w:pBdr>
                <w:top w:val="nil"/>
                <w:left w:val="nil"/>
                <w:bottom w:val="nil"/>
                <w:right w:val="nil"/>
                <w:between w:val="nil"/>
              </w:pBdr>
              <w:tabs>
                <w:tab w:val="left" w:pos="1134"/>
              </w:tabs>
              <w:spacing w:after="20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Населений пункт</w:t>
            </w:r>
          </w:p>
        </w:tc>
        <w:tc>
          <w:tcPr>
            <w:tcW w:w="2693" w:type="dxa"/>
            <w:vAlign w:val="center"/>
          </w:tcPr>
          <w:p w14:paraId="69FD7F30" w14:textId="77777777" w:rsidR="00C82386" w:rsidRDefault="00E66F64"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кількість генеруючих установок, шт.</w:t>
            </w:r>
          </w:p>
        </w:tc>
        <w:tc>
          <w:tcPr>
            <w:tcW w:w="2516" w:type="dxa"/>
            <w:vAlign w:val="center"/>
          </w:tcPr>
          <w:p w14:paraId="3D05473A" w14:textId="77777777" w:rsidR="00C82386" w:rsidRDefault="00E66F64"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Сумарна потужність генеруючих установок, кВт</w:t>
            </w:r>
          </w:p>
        </w:tc>
      </w:tr>
      <w:tr w:rsidR="00C82386" w14:paraId="516DD873" w14:textId="77777777" w:rsidTr="001B7378">
        <w:trPr>
          <w:jc w:val="center"/>
        </w:trPr>
        <w:tc>
          <w:tcPr>
            <w:tcW w:w="4361" w:type="dxa"/>
          </w:tcPr>
          <w:p w14:paraId="6DA10B35" w14:textId="77777777" w:rsidR="00C82386" w:rsidRDefault="00E66F64">
            <w:pPr>
              <w:pBdr>
                <w:top w:val="nil"/>
                <w:left w:val="nil"/>
                <w:bottom w:val="nil"/>
                <w:right w:val="nil"/>
                <w:between w:val="nil"/>
              </w:pBdr>
              <w:tabs>
                <w:tab w:val="left" w:pos="1134"/>
              </w:tabs>
              <w:spacing w:after="20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 Житомир</w:t>
            </w:r>
          </w:p>
        </w:tc>
        <w:tc>
          <w:tcPr>
            <w:tcW w:w="2693" w:type="dxa"/>
            <w:vAlign w:val="center"/>
          </w:tcPr>
          <w:p w14:paraId="5637EE82" w14:textId="77777777" w:rsidR="00C82386" w:rsidRDefault="00D44B07"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w:t>
            </w:r>
          </w:p>
        </w:tc>
        <w:tc>
          <w:tcPr>
            <w:tcW w:w="2516" w:type="dxa"/>
            <w:vAlign w:val="center"/>
          </w:tcPr>
          <w:p w14:paraId="3AC5CD9D" w14:textId="77777777" w:rsidR="00C82386" w:rsidRDefault="00D44B07"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2504</w:t>
            </w:r>
            <w:r w:rsidR="00E66F64">
              <w:rPr>
                <w:rFonts w:ascii="Times New Roman" w:eastAsia="Times New Roman" w:hAnsi="Times New Roman" w:cs="Times New Roman"/>
                <w:color w:val="000000"/>
                <w:sz w:val="24"/>
                <w:szCs w:val="24"/>
              </w:rPr>
              <w:t>,45</w:t>
            </w:r>
          </w:p>
        </w:tc>
      </w:tr>
      <w:tr w:rsidR="00C82386" w14:paraId="7BC2124D" w14:textId="77777777" w:rsidTr="001B7378">
        <w:trPr>
          <w:jc w:val="center"/>
        </w:trPr>
        <w:tc>
          <w:tcPr>
            <w:tcW w:w="4361" w:type="dxa"/>
          </w:tcPr>
          <w:p w14:paraId="7E159A80" w14:textId="77777777" w:rsidR="00C82386" w:rsidRDefault="00E66F64">
            <w:pPr>
              <w:pBdr>
                <w:top w:val="nil"/>
                <w:left w:val="nil"/>
                <w:bottom w:val="nil"/>
                <w:right w:val="nil"/>
                <w:between w:val="nil"/>
              </w:pBdr>
              <w:tabs>
                <w:tab w:val="left" w:pos="1134"/>
              </w:tabs>
              <w:spacing w:after="20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Вереси</w:t>
            </w:r>
          </w:p>
        </w:tc>
        <w:tc>
          <w:tcPr>
            <w:tcW w:w="2693" w:type="dxa"/>
            <w:vAlign w:val="center"/>
          </w:tcPr>
          <w:p w14:paraId="1DD521D4" w14:textId="77777777" w:rsidR="00C82386" w:rsidRDefault="00D44B07"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p>
        </w:tc>
        <w:tc>
          <w:tcPr>
            <w:tcW w:w="2516" w:type="dxa"/>
            <w:vAlign w:val="center"/>
          </w:tcPr>
          <w:p w14:paraId="147F8947" w14:textId="77777777" w:rsidR="00C82386" w:rsidRDefault="00D44B07" w:rsidP="001B7378">
            <w:pPr>
              <w:pBdr>
                <w:top w:val="nil"/>
                <w:left w:val="nil"/>
                <w:bottom w:val="nil"/>
                <w:right w:val="nil"/>
                <w:between w:val="nil"/>
              </w:pBdr>
              <w:tabs>
                <w:tab w:val="left" w:pos="1134"/>
              </w:tabs>
              <w:spacing w:after="20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906</w:t>
            </w:r>
            <w:r w:rsidR="00E66F64">
              <w:rPr>
                <w:rFonts w:ascii="Times New Roman" w:eastAsia="Times New Roman" w:hAnsi="Times New Roman" w:cs="Times New Roman"/>
                <w:color w:val="000000"/>
                <w:sz w:val="24"/>
                <w:szCs w:val="24"/>
              </w:rPr>
              <w:t>,5</w:t>
            </w:r>
          </w:p>
        </w:tc>
      </w:tr>
    </w:tbl>
    <w:p w14:paraId="5F4505F0" w14:textId="77777777" w:rsidR="00C82386" w:rsidRDefault="00E66F64">
      <w:pPr>
        <w:pBdr>
          <w:top w:val="nil"/>
          <w:left w:val="nil"/>
          <w:bottom w:val="nil"/>
          <w:right w:val="nil"/>
          <w:between w:val="nil"/>
        </w:pBdr>
        <w:tabs>
          <w:tab w:val="left" w:pos="1134"/>
        </w:tabs>
        <w:spacing w:before="24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Фактичні дані енергоспоживання для с. Вереси станом на 2010 рік відсутні. Для подальшого використання у оцінці енергоспоживання вони буд</w:t>
      </w:r>
      <w:r>
        <w:rPr>
          <w:rFonts w:ascii="Times New Roman" w:eastAsia="Times New Roman" w:hAnsi="Times New Roman" w:cs="Times New Roman"/>
          <w:sz w:val="24"/>
          <w:szCs w:val="24"/>
        </w:rPr>
        <w:t>уть</w:t>
      </w:r>
      <w:r>
        <w:rPr>
          <w:rFonts w:ascii="Times New Roman" w:eastAsia="Times New Roman" w:hAnsi="Times New Roman" w:cs="Times New Roman"/>
          <w:color w:val="000000"/>
          <w:sz w:val="24"/>
          <w:szCs w:val="24"/>
        </w:rPr>
        <w:t xml:space="preserve"> отримані розрахунковим шляхом. </w:t>
      </w:r>
    </w:p>
    <w:p w14:paraId="7601ACAA"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рисунку 3.7. наведено дані стосовно загального споживання електроенергії по Житомирській громаді (2010 р. –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рахуванням даних ПДСЕР, 2016-2020 рік – відповідь АТ «Житомиробленерго»)</w:t>
      </w:r>
    </w:p>
    <w:p w14:paraId="3949E5DA" w14:textId="77777777" w:rsidR="00C82386" w:rsidRDefault="004341E7">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highlight w:val="yellow"/>
        </w:rPr>
      </w:pPr>
      <w:sdt>
        <w:sdtPr>
          <w:tag w:val="goog_rdk_18"/>
          <w:id w:val="-1390331934"/>
          <w:showingPlcHdr/>
        </w:sdtPr>
        <w:sdtEndPr/>
        <w:sdtContent>
          <w:r w:rsidR="00EE5296">
            <w:t xml:space="preserve">     </w:t>
          </w:r>
        </w:sdtContent>
      </w:sdt>
      <w:r w:rsidR="00E66F64">
        <w:rPr>
          <w:noProof/>
          <w:color w:val="000000"/>
          <w:lang w:val="ru-RU"/>
        </w:rPr>
        <w:drawing>
          <wp:inline distT="0" distB="0" distL="0" distR="0" wp14:anchorId="6A1761FC" wp14:editId="1E16FC55">
            <wp:extent cx="4584700" cy="2755900"/>
            <wp:effectExtent l="0" t="0" r="6350" b="6350"/>
            <wp:docPr id="2144251921" name="Диаграмма 21442519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303ABD8"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 3.7. Загальне споживання електроенергії у Житомирській МТГ за 2010, 2016-2020 рр.</w:t>
      </w:r>
    </w:p>
    <w:p w14:paraId="1EE45A88"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Загальний обсяг споживання електроенергії громади за період з 2010 по 2020 рік збільшився на 16,3%.</w:t>
      </w:r>
    </w:p>
    <w:p w14:paraId="3971DDD0"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Інформація по споживанню електроенергії в розрізі користувачів станом на 2010 рік представлена в таблиці 3.9.</w:t>
      </w:r>
    </w:p>
    <w:p w14:paraId="60573633" w14:textId="77777777" w:rsidR="00C82386" w:rsidRDefault="00E66F64">
      <w:pPr>
        <w:pBdr>
          <w:top w:val="nil"/>
          <w:left w:val="nil"/>
          <w:bottom w:val="nil"/>
          <w:right w:val="nil"/>
          <w:between w:val="nil"/>
        </w:pBdr>
        <w:tabs>
          <w:tab w:val="left" w:pos="1134"/>
        </w:tabs>
        <w:spacing w:after="0"/>
        <w:ind w:firstLine="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3.9.</w:t>
      </w:r>
    </w:p>
    <w:p w14:paraId="0CC720DE" w14:textId="77777777" w:rsidR="00C82386" w:rsidRDefault="004341E7">
      <w:pPr>
        <w:pBdr>
          <w:top w:val="nil"/>
          <w:left w:val="nil"/>
          <w:bottom w:val="nil"/>
          <w:right w:val="nil"/>
          <w:between w:val="nil"/>
        </w:pBdr>
        <w:tabs>
          <w:tab w:val="left" w:pos="1134"/>
        </w:tabs>
        <w:spacing w:after="0"/>
        <w:ind w:firstLine="720"/>
        <w:jc w:val="center"/>
        <w:rPr>
          <w:rFonts w:ascii="Times New Roman" w:eastAsia="Times New Roman" w:hAnsi="Times New Roman" w:cs="Times New Roman"/>
          <w:color w:val="000000"/>
          <w:sz w:val="24"/>
          <w:szCs w:val="24"/>
        </w:rPr>
      </w:pPr>
      <w:sdt>
        <w:sdtPr>
          <w:tag w:val="goog_rdk_19"/>
          <w:id w:val="-107590663"/>
        </w:sdtPr>
        <w:sdtEndPr/>
        <w:sdtContent>
          <w:r w:rsidR="00E66F64">
            <w:rPr>
              <w:rFonts w:ascii="Gungsuh" w:eastAsia="Gungsuh" w:hAnsi="Gungsuh" w:cs="Gungsuh"/>
              <w:b/>
              <w:color w:val="000000"/>
              <w:sz w:val="24"/>
              <w:szCs w:val="24"/>
            </w:rPr>
            <w:t>Споживання електроенергії в 2010 р., МВт∙год</w:t>
          </w:r>
        </w:sdtContent>
      </w:sdt>
    </w:p>
    <w:tbl>
      <w:tblPr>
        <w:tblStyle w:val="affff1"/>
        <w:tblW w:w="5852" w:type="dxa"/>
        <w:jc w:val="center"/>
        <w:tblInd w:w="0" w:type="dxa"/>
        <w:tblLayout w:type="fixed"/>
        <w:tblLook w:val="0400" w:firstRow="0" w:lastRow="0" w:firstColumn="0" w:lastColumn="0" w:noHBand="0" w:noVBand="1"/>
      </w:tblPr>
      <w:tblGrid>
        <w:gridCol w:w="2552"/>
        <w:gridCol w:w="1900"/>
        <w:gridCol w:w="1400"/>
      </w:tblGrid>
      <w:tr w:rsidR="00AA69C3" w14:paraId="43BEC394" w14:textId="77777777" w:rsidTr="00AA69C3">
        <w:trPr>
          <w:trHeight w:val="330"/>
          <w:jc w:val="center"/>
        </w:trPr>
        <w:tc>
          <w:tcPr>
            <w:tcW w:w="255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448C0F" w14:textId="77777777" w:rsidR="00AA69C3" w:rsidRDefault="00AA69C3">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rPr>
              <w:t>Сектори кінцевих споживачів</w:t>
            </w:r>
          </w:p>
        </w:tc>
        <w:tc>
          <w:tcPr>
            <w:tcW w:w="190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36BE0A1F" w14:textId="77777777" w:rsidR="00AA69C3" w:rsidRDefault="00AA69C3">
            <w:pPr>
              <w:spacing w:after="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Громада</w:t>
            </w:r>
          </w:p>
        </w:tc>
        <w:tc>
          <w:tcPr>
            <w:tcW w:w="1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397059A" w14:textId="77777777" w:rsidR="00AA69C3" w:rsidRDefault="00AA69C3">
            <w:pPr>
              <w:spacing w:after="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Відсоток</w:t>
            </w:r>
          </w:p>
        </w:tc>
      </w:tr>
      <w:tr w:rsidR="00AA69C3" w14:paraId="6BA6C769" w14:textId="77777777" w:rsidTr="00AA69C3">
        <w:trPr>
          <w:trHeight w:val="42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61EE6B"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Муніципальні будівлі, обладнання/об'єкти</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300436B2"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54 558,5</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2CB30A81"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9,9%</w:t>
            </w:r>
          </w:p>
        </w:tc>
      </w:tr>
      <w:tr w:rsidR="00AA69C3" w14:paraId="18A47F8D"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3CEB19"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Третинні будівлі, обладнання/об'єкти</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541403E9"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54 932,0</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1EE6D5CB"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r>
      <w:tr w:rsidR="00AA69C3" w14:paraId="2E3059EA"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BDFD8A"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Житлові будинки</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08B4959E"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173 422,1</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12DC72E4"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31,5%</w:t>
            </w:r>
          </w:p>
        </w:tc>
      </w:tr>
      <w:tr w:rsidR="00AA69C3" w14:paraId="593C6C2A"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F62B9F"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Муніципальне освітлення</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71F41C6B" w14:textId="77777777" w:rsidR="00AA69C3" w:rsidRPr="00AA69C3" w:rsidRDefault="00AA69C3">
            <w:pPr>
              <w:spacing w:after="0"/>
              <w:jc w:val="center"/>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sz w:val="24"/>
                <w:szCs w:val="24"/>
              </w:rPr>
              <w:t>3 476,0</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3CF334C6" w14:textId="77777777" w:rsidR="00AA69C3" w:rsidRPr="00AA69C3" w:rsidRDefault="00AA69C3">
            <w:pPr>
              <w:spacing w:after="0"/>
              <w:jc w:val="center"/>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rPr>
              <w:t>0,6%</w:t>
            </w:r>
          </w:p>
        </w:tc>
      </w:tr>
      <w:tr w:rsidR="00AA69C3" w14:paraId="3072B736"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0E7819"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Транспорт</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0C22460E"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15 237,6</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19E63B04" w14:textId="77777777" w:rsidR="00AA69C3" w:rsidRPr="00AA69C3" w:rsidRDefault="00AA69C3">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w:t>
            </w:r>
          </w:p>
        </w:tc>
      </w:tr>
      <w:tr w:rsidR="00AA69C3" w14:paraId="7AC77DC1"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EB5348" w14:textId="77777777" w:rsidR="00AA69C3" w:rsidRDefault="00AA69C3">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Промисловість</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4DE6C1A1" w14:textId="77777777" w:rsidR="00AA69C3" w:rsidRPr="00AA69C3" w:rsidRDefault="00AA69C3">
            <w:pPr>
              <w:spacing w:after="0"/>
              <w:jc w:val="center"/>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sz w:val="24"/>
                <w:szCs w:val="24"/>
              </w:rPr>
              <w:t>223 904,5</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289F1A7A" w14:textId="77777777" w:rsidR="00AA69C3" w:rsidRPr="00AA69C3" w:rsidRDefault="00AA69C3">
            <w:pPr>
              <w:spacing w:after="0"/>
              <w:jc w:val="center"/>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sz w:val="24"/>
                <w:szCs w:val="24"/>
              </w:rPr>
              <w:t>40,7%</w:t>
            </w:r>
          </w:p>
        </w:tc>
      </w:tr>
      <w:tr w:rsidR="00AA69C3" w14:paraId="4BEBA1BB" w14:textId="77777777" w:rsidTr="00AA69C3">
        <w:trPr>
          <w:trHeight w:val="330"/>
          <w:jc w:val="center"/>
        </w:trPr>
        <w:tc>
          <w:tcPr>
            <w:tcW w:w="25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30413C" w14:textId="77777777" w:rsidR="00AA69C3" w:rsidRDefault="00AA69C3">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rPr>
              <w:t>Разом</w:t>
            </w:r>
          </w:p>
        </w:tc>
        <w:tc>
          <w:tcPr>
            <w:tcW w:w="19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204378D6" w14:textId="77777777" w:rsidR="00AA69C3" w:rsidRPr="00AA69C3" w:rsidRDefault="00AA69C3">
            <w:pPr>
              <w:spacing w:after="0"/>
              <w:jc w:val="center"/>
              <w:rPr>
                <w:rFonts w:ascii="Times New Roman" w:eastAsia="Times New Roman" w:hAnsi="Times New Roman" w:cs="Times New Roman"/>
                <w:b/>
                <w:color w:val="000000"/>
                <w:sz w:val="24"/>
                <w:szCs w:val="24"/>
              </w:rPr>
            </w:pPr>
            <w:r w:rsidRPr="00AA69C3">
              <w:rPr>
                <w:rFonts w:ascii="Times New Roman" w:eastAsia="Times New Roman" w:hAnsi="Times New Roman" w:cs="Times New Roman"/>
                <w:b/>
                <w:color w:val="000000"/>
              </w:rPr>
              <w:t>549 999,61</w:t>
            </w:r>
          </w:p>
        </w:tc>
        <w:tc>
          <w:tcPr>
            <w:tcW w:w="140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577F5BA5" w14:textId="77777777" w:rsidR="00AA69C3" w:rsidRPr="00AA69C3" w:rsidRDefault="00AA69C3">
            <w:pPr>
              <w:spacing w:after="0"/>
              <w:jc w:val="center"/>
              <w:rPr>
                <w:rFonts w:ascii="Times New Roman" w:eastAsia="Times New Roman" w:hAnsi="Times New Roman" w:cs="Times New Roman"/>
                <w:color w:val="000000"/>
                <w:sz w:val="24"/>
                <w:szCs w:val="24"/>
              </w:rPr>
            </w:pPr>
            <w:r w:rsidRPr="00AA69C3">
              <w:rPr>
                <w:rFonts w:ascii="Times New Roman" w:eastAsia="Times New Roman" w:hAnsi="Times New Roman" w:cs="Times New Roman"/>
                <w:color w:val="000000"/>
                <w:sz w:val="24"/>
                <w:szCs w:val="24"/>
              </w:rPr>
              <w:t>100%</w:t>
            </w:r>
          </w:p>
        </w:tc>
      </w:tr>
    </w:tbl>
    <w:p w14:paraId="29A86624" w14:textId="77777777" w:rsidR="00C82386" w:rsidRDefault="00E66F64" w:rsidP="002A5011">
      <w:pPr>
        <w:pBdr>
          <w:top w:val="nil"/>
          <w:left w:val="nil"/>
          <w:bottom w:val="nil"/>
          <w:right w:val="nil"/>
          <w:between w:val="nil"/>
        </w:pBdr>
        <w:tabs>
          <w:tab w:val="left" w:pos="1134"/>
        </w:tabs>
        <w:spacing w:after="12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Найбільшими кінцевими </w:t>
      </w:r>
      <w:r w:rsidRPr="007C7DEC">
        <w:rPr>
          <w:rFonts w:ascii="Times New Roman" w:eastAsia="Times New Roman" w:hAnsi="Times New Roman" w:cs="Times New Roman"/>
          <w:color w:val="000000"/>
          <w:sz w:val="24"/>
          <w:szCs w:val="24"/>
        </w:rPr>
        <w:t>споживачами електроенергії станом на 2010 рік є промисловість (</w:t>
      </w:r>
      <w:r w:rsidR="007C7DEC" w:rsidRPr="007C7DEC">
        <w:rPr>
          <w:rFonts w:ascii="Times New Roman" w:eastAsia="Times New Roman" w:hAnsi="Times New Roman" w:cs="Times New Roman"/>
          <w:color w:val="000000"/>
          <w:sz w:val="24"/>
          <w:szCs w:val="24"/>
        </w:rPr>
        <w:t>40</w:t>
      </w:r>
      <w:r w:rsidRPr="007C7DEC">
        <w:rPr>
          <w:rFonts w:ascii="Times New Roman" w:eastAsia="Times New Roman" w:hAnsi="Times New Roman" w:cs="Times New Roman"/>
          <w:color w:val="000000"/>
          <w:sz w:val="24"/>
          <w:szCs w:val="24"/>
        </w:rPr>
        <w:t>,</w:t>
      </w:r>
      <w:r w:rsidR="007C7DEC" w:rsidRPr="007C7DEC">
        <w:rPr>
          <w:rFonts w:ascii="Times New Roman" w:eastAsia="Times New Roman" w:hAnsi="Times New Roman" w:cs="Times New Roman"/>
          <w:color w:val="000000"/>
          <w:sz w:val="24"/>
          <w:szCs w:val="24"/>
        </w:rPr>
        <w:t>7</w:t>
      </w:r>
      <w:r w:rsidRPr="007C7DEC">
        <w:rPr>
          <w:rFonts w:ascii="Times New Roman" w:eastAsia="Times New Roman" w:hAnsi="Times New Roman" w:cs="Times New Roman"/>
          <w:color w:val="000000"/>
          <w:sz w:val="24"/>
          <w:szCs w:val="24"/>
        </w:rPr>
        <w:t>%) та житлові будівлі (31,5%).</w:t>
      </w:r>
    </w:p>
    <w:p w14:paraId="3C633970" w14:textId="77777777" w:rsidR="00C82386" w:rsidRDefault="00E66F64">
      <w:pPr>
        <w:keepNext/>
        <w:keepLines/>
        <w:numPr>
          <w:ilvl w:val="1"/>
          <w:numId w:val="22"/>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28" w:name="_heading=h.1pxezwc" w:colFirst="0" w:colLast="0"/>
      <w:bookmarkEnd w:id="28"/>
      <w:r>
        <w:rPr>
          <w:rFonts w:ascii="Times New Roman" w:eastAsia="Times New Roman" w:hAnsi="Times New Roman" w:cs="Times New Roman"/>
          <w:b/>
          <w:color w:val="000000"/>
          <w:sz w:val="24"/>
          <w:szCs w:val="24"/>
        </w:rPr>
        <w:t>Система водопостачання та водовідведення</w:t>
      </w:r>
    </w:p>
    <w:p w14:paraId="459F46AB"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Комунальне підприємство «Житомирводоканал» Житомирської міської ради забезпечує питною водою населення міст</w:t>
      </w:r>
      <w:r w:rsidR="002A5011">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z w:val="24"/>
          <w:szCs w:val="24"/>
        </w:rPr>
        <w:t xml:space="preserve"> Житомира та 15 найближчих населених пунктів. Джерелом централізованого водопостачання є річка Тетерів.</w:t>
      </w:r>
    </w:p>
    <w:p w14:paraId="0A66E4D1" w14:textId="77777777" w:rsidR="00C82386" w:rsidRDefault="00E66F64" w:rsidP="0078791F">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ЖМР має безстрокову ліцензію на централізоване водопостачання та водовідведення, видану Національною комісією, що здійснює державне регулювання у сферах енергетики та комунальних послуг.</w:t>
      </w:r>
    </w:p>
    <w:p w14:paraId="2864DF79" w14:textId="77777777" w:rsidR="00C82386" w:rsidRDefault="00E66F64" w:rsidP="0078791F">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Станом на 2010 рік КП «Житомирводоканал» забезпечувало питною водою населення міста – 243,8 тисяч фізичних осіб, або 89,7% від загальної чисельності населення у зоні відповідальності підприємства, а також підприємства, заклади, установи, організації обласного центру – 2430 абонентів. </w:t>
      </w:r>
    </w:p>
    <w:p w14:paraId="40DDEB9D" w14:textId="77777777" w:rsidR="00C82386" w:rsidRDefault="00E66F64">
      <w:pPr>
        <w:pBdr>
          <w:top w:val="nil"/>
          <w:left w:val="nil"/>
          <w:bottom w:val="nil"/>
          <w:right w:val="nil"/>
          <w:between w:val="nil"/>
        </w:pBdr>
        <w:spacing w:after="0" w:line="240" w:lineRule="auto"/>
        <w:ind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споживачів послуг КП  «Житомирводоканал» станом на 2022 р.:</w:t>
      </w:r>
    </w:p>
    <w:p w14:paraId="1CA4CAE4" w14:textId="77777777" w:rsidR="00C82386" w:rsidRDefault="00E66F64">
      <w:pPr>
        <w:numPr>
          <w:ilvl w:val="0"/>
          <w:numId w:val="59"/>
        </w:numPr>
        <w:pBdr>
          <w:top w:val="nil"/>
          <w:left w:val="nil"/>
          <w:bottom w:val="nil"/>
          <w:right w:val="nil"/>
          <w:between w:val="nil"/>
        </w:pBdr>
        <w:spacing w:after="0" w:line="240"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договори на водопостачання – 100357, абонентів - 233272 осіб,</w:t>
      </w:r>
    </w:p>
    <w:p w14:paraId="79085308" w14:textId="77777777" w:rsidR="00C82386" w:rsidRDefault="00E66F64">
      <w:pPr>
        <w:numPr>
          <w:ilvl w:val="0"/>
          <w:numId w:val="59"/>
        </w:numPr>
        <w:pBdr>
          <w:top w:val="nil"/>
          <w:left w:val="nil"/>
          <w:bottom w:val="nil"/>
          <w:right w:val="nil"/>
          <w:between w:val="nil"/>
        </w:pBdr>
        <w:spacing w:after="0" w:line="240"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договори на водовідведення – 87530, абонентів - 200 008 осіб.</w:t>
      </w:r>
    </w:p>
    <w:p w14:paraId="4F6661AD" w14:textId="77777777" w:rsidR="00C82386" w:rsidRDefault="00E66F64">
      <w:pPr>
        <w:tabs>
          <w:tab w:val="left" w:pos="1134"/>
        </w:tabs>
        <w:spacing w:before="120"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Якість питної води забезпечується відповідно до чинних Державних санітарних норм та правил «Гігієнічні вимоги до води питної, призначеної до споживання людиною» (ДСанПіН 2.2.4-171-10) та Директиви Ради 98/83/ЄС від 3 листопада 1998 року «Про якість води, призначеної для споживання людиною».</w:t>
      </w:r>
    </w:p>
    <w:p w14:paraId="25BE08C9" w14:textId="77777777" w:rsidR="00C82386" w:rsidRDefault="00E66F64">
      <w:pPr>
        <w:tabs>
          <w:tab w:val="left" w:pos="1134"/>
        </w:tabs>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Заміри якості питної води виконуються Контрольно-вимірювальною лабораторією (атестат про відповідність лабораторії вимогам ДСТУ EN ISO/IEK 17025:2019 у сфері випробування стічних вод за фізико-хімічними методами отриманий у 2023 році.) з дотримання санітарно-гігієнічних норм водопостачання. Спеціалісти лабораторії у цілодобовому режимі ведуть контроль якості води з Денишівського та Відсічного водосховищ на усіх етапах очищення, досліджують вплив реагентів, проводять дослідження питної води із розподільчої мережі (водорозбірних колонок), житлових будинків, організацій та інші. </w:t>
      </w:r>
    </w:p>
    <w:p w14:paraId="0663BFD2" w14:textId="77777777" w:rsidR="00C82386" w:rsidRDefault="00E66F64">
      <w:pPr>
        <w:pBdr>
          <w:top w:val="nil"/>
          <w:left w:val="nil"/>
          <w:bottom w:val="nil"/>
          <w:right w:val="nil"/>
          <w:between w:val="nil"/>
        </w:pBdr>
        <w:tabs>
          <w:tab w:val="left" w:pos="1134"/>
        </w:tabs>
        <w:spacing w:before="12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Підприємство займає – 89,43 гектара території, на якій розміщено – 46 об’єктів.</w:t>
      </w:r>
    </w:p>
    <w:p w14:paraId="3BC282A1"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водопостачання на балансі підприємства рахуються : 2 греблі на річці Тетерів в с. Побитівка та в с. Дениші, поверхневий водозабір, р. Тетерів, водозабір та насосна станція І підйому, водоочисна станція та насосна станція ІІ підйому, виробнича база підприємства, 4 насосні станції ІІІ підйому, 14 підвищувальних насосних станцій.</w:t>
      </w:r>
    </w:p>
    <w:p w14:paraId="301A1BD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водовідведення на балансі підприємства рахуються: 24 каналізаційних станцій перекачування стічних вод, головну каналізаційну насосну станцію, очисні споруди каналізації (площадка №1), очисні споруди каналізації (площадка №2).</w:t>
      </w:r>
    </w:p>
    <w:p w14:paraId="74AA5679" w14:textId="77777777" w:rsidR="00C82386" w:rsidRDefault="00E66F64">
      <w:pPr>
        <w:pBdr>
          <w:top w:val="nil"/>
          <w:left w:val="nil"/>
          <w:bottom w:val="nil"/>
          <w:right w:val="nil"/>
          <w:between w:val="nil"/>
        </w:pBdr>
        <w:tabs>
          <w:tab w:val="left" w:pos="1134"/>
        </w:tabs>
        <w:spacing w:before="12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Основні технічні показники системи водопостачання та водовідведення станом на 2010 та 2020 роки наведено у таблиці 3.10.</w:t>
      </w:r>
    </w:p>
    <w:p w14:paraId="45C46495" w14:textId="77777777" w:rsidR="00C82386" w:rsidRDefault="00E66F64">
      <w:pPr>
        <w:pBdr>
          <w:top w:val="nil"/>
          <w:left w:val="nil"/>
          <w:bottom w:val="nil"/>
          <w:right w:val="nil"/>
          <w:between w:val="nil"/>
        </w:pBdr>
        <w:tabs>
          <w:tab w:val="left" w:pos="1134"/>
        </w:tabs>
        <w:spacing w:after="0"/>
        <w:ind w:firstLine="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3.10.</w:t>
      </w:r>
    </w:p>
    <w:tbl>
      <w:tblPr>
        <w:tblStyle w:val="affff2"/>
        <w:tblW w:w="903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5"/>
        <w:gridCol w:w="1470"/>
        <w:gridCol w:w="1471"/>
      </w:tblGrid>
      <w:tr w:rsidR="00C82386" w14:paraId="17A19259" w14:textId="77777777">
        <w:trPr>
          <w:jc w:val="center"/>
        </w:trPr>
        <w:tc>
          <w:tcPr>
            <w:tcW w:w="6095" w:type="dxa"/>
          </w:tcPr>
          <w:p w14:paraId="1A536F17"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показника</w:t>
            </w:r>
          </w:p>
        </w:tc>
        <w:tc>
          <w:tcPr>
            <w:tcW w:w="1470" w:type="dxa"/>
          </w:tcPr>
          <w:p w14:paraId="0DD9795C"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1471" w:type="dxa"/>
          </w:tcPr>
          <w:p w14:paraId="6B117425"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r>
      <w:tr w:rsidR="00C82386" w14:paraId="1A038B2E" w14:textId="77777777">
        <w:trPr>
          <w:jc w:val="center"/>
        </w:trPr>
        <w:tc>
          <w:tcPr>
            <w:tcW w:w="9036" w:type="dxa"/>
            <w:gridSpan w:val="3"/>
            <w:shd w:val="clear" w:color="auto" w:fill="F2F2F2"/>
          </w:tcPr>
          <w:p w14:paraId="2C78312E"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Система водопостачання</w:t>
            </w:r>
          </w:p>
        </w:tc>
      </w:tr>
      <w:tr w:rsidR="00C82386" w14:paraId="195AC2F8" w14:textId="77777777">
        <w:trPr>
          <w:jc w:val="center"/>
        </w:trPr>
        <w:tc>
          <w:tcPr>
            <w:tcW w:w="6095" w:type="dxa"/>
          </w:tcPr>
          <w:p w14:paraId="14FF128B"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Річний обсяг підйому води, млн. куб.</w:t>
            </w:r>
            <w:r w:rsidR="002A50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w:t>
            </w:r>
          </w:p>
        </w:tc>
        <w:tc>
          <w:tcPr>
            <w:tcW w:w="1470" w:type="dxa"/>
          </w:tcPr>
          <w:p w14:paraId="18772621"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c>
          <w:tcPr>
            <w:tcW w:w="1471" w:type="dxa"/>
            <w:shd w:val="clear" w:color="auto" w:fill="auto"/>
          </w:tcPr>
          <w:p w14:paraId="2DFE8C57"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22,4</w:t>
            </w:r>
          </w:p>
        </w:tc>
      </w:tr>
      <w:tr w:rsidR="00C82386" w14:paraId="6539031C" w14:textId="77777777">
        <w:trPr>
          <w:jc w:val="center"/>
        </w:trPr>
        <w:tc>
          <w:tcPr>
            <w:tcW w:w="6095" w:type="dxa"/>
          </w:tcPr>
          <w:p w14:paraId="49F66402"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Річний обсяг води, наданий споживачеві, млн. куб.</w:t>
            </w:r>
            <w:r w:rsidR="002A50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w:t>
            </w:r>
          </w:p>
        </w:tc>
        <w:tc>
          <w:tcPr>
            <w:tcW w:w="1470" w:type="dxa"/>
          </w:tcPr>
          <w:p w14:paraId="0C67783F"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15,1</w:t>
            </w:r>
          </w:p>
        </w:tc>
        <w:tc>
          <w:tcPr>
            <w:tcW w:w="1471" w:type="dxa"/>
            <w:shd w:val="clear" w:color="auto" w:fill="auto"/>
          </w:tcPr>
          <w:p w14:paraId="787CC25B"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11,3</w:t>
            </w:r>
          </w:p>
        </w:tc>
      </w:tr>
      <w:tr w:rsidR="00C82386" w14:paraId="4DEE2C06" w14:textId="77777777">
        <w:trPr>
          <w:jc w:val="center"/>
        </w:trPr>
        <w:tc>
          <w:tcPr>
            <w:tcW w:w="6095" w:type="dxa"/>
          </w:tcPr>
          <w:p w14:paraId="5739324C"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Потужність системи водопостачання, тис. куб.</w:t>
            </w:r>
            <w:r w:rsidR="002A50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 за добу</w:t>
            </w:r>
          </w:p>
        </w:tc>
        <w:tc>
          <w:tcPr>
            <w:tcW w:w="1470" w:type="dxa"/>
          </w:tcPr>
          <w:p w14:paraId="484B6161"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120</w:t>
            </w:r>
          </w:p>
        </w:tc>
        <w:tc>
          <w:tcPr>
            <w:tcW w:w="1471" w:type="dxa"/>
          </w:tcPr>
          <w:p w14:paraId="0EE3A2EE"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175</w:t>
            </w:r>
          </w:p>
        </w:tc>
      </w:tr>
      <w:tr w:rsidR="00C82386" w14:paraId="706BC5F6" w14:textId="77777777">
        <w:trPr>
          <w:jc w:val="center"/>
        </w:trPr>
        <w:tc>
          <w:tcPr>
            <w:tcW w:w="6095" w:type="dxa"/>
          </w:tcPr>
          <w:p w14:paraId="451BB86C"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Протяжність мереж водопостачання, км</w:t>
            </w:r>
          </w:p>
        </w:tc>
        <w:tc>
          <w:tcPr>
            <w:tcW w:w="1470" w:type="dxa"/>
          </w:tcPr>
          <w:p w14:paraId="537EE3B2"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522,0</w:t>
            </w:r>
          </w:p>
        </w:tc>
        <w:tc>
          <w:tcPr>
            <w:tcW w:w="1471" w:type="dxa"/>
          </w:tcPr>
          <w:p w14:paraId="45F2030C"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528,0</w:t>
            </w:r>
          </w:p>
        </w:tc>
      </w:tr>
      <w:tr w:rsidR="00C82386" w14:paraId="3F150245" w14:textId="77777777">
        <w:trPr>
          <w:jc w:val="center"/>
        </w:trPr>
        <w:tc>
          <w:tcPr>
            <w:tcW w:w="6095" w:type="dxa"/>
          </w:tcPr>
          <w:p w14:paraId="71967011"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втрат води в мережах, %</w:t>
            </w:r>
          </w:p>
        </w:tc>
        <w:tc>
          <w:tcPr>
            <w:tcW w:w="1470" w:type="dxa"/>
          </w:tcPr>
          <w:p w14:paraId="33562633"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c>
          <w:tcPr>
            <w:tcW w:w="1471" w:type="dxa"/>
          </w:tcPr>
          <w:p w14:paraId="0B044D45"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49,5%</w:t>
            </w:r>
          </w:p>
        </w:tc>
      </w:tr>
      <w:tr w:rsidR="00C82386" w14:paraId="631AD2E7" w14:textId="77777777">
        <w:trPr>
          <w:jc w:val="center"/>
        </w:trPr>
        <w:tc>
          <w:tcPr>
            <w:tcW w:w="6095" w:type="dxa"/>
          </w:tcPr>
          <w:p w14:paraId="2404DF5E"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зношеності мереж,%</w:t>
            </w:r>
          </w:p>
        </w:tc>
        <w:tc>
          <w:tcPr>
            <w:tcW w:w="1470" w:type="dxa"/>
          </w:tcPr>
          <w:p w14:paraId="69F9EBDE"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c>
          <w:tcPr>
            <w:tcW w:w="1471" w:type="dxa"/>
          </w:tcPr>
          <w:p w14:paraId="33DA91DE"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w:t>
            </w:r>
          </w:p>
        </w:tc>
      </w:tr>
      <w:tr w:rsidR="00C82386" w14:paraId="47670447" w14:textId="77777777">
        <w:trPr>
          <w:jc w:val="center"/>
        </w:trPr>
        <w:tc>
          <w:tcPr>
            <w:tcW w:w="6095" w:type="dxa"/>
            <w:shd w:val="clear" w:color="auto" w:fill="F2F2F2"/>
          </w:tcPr>
          <w:p w14:paraId="1719DF48"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Система водовідведення</w:t>
            </w:r>
          </w:p>
        </w:tc>
        <w:tc>
          <w:tcPr>
            <w:tcW w:w="1470" w:type="dxa"/>
            <w:shd w:val="clear" w:color="auto" w:fill="F2F2F2"/>
          </w:tcPr>
          <w:p w14:paraId="56978E31"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c>
          <w:tcPr>
            <w:tcW w:w="1471" w:type="dxa"/>
            <w:shd w:val="clear" w:color="auto" w:fill="F2F2F2"/>
          </w:tcPr>
          <w:p w14:paraId="0F36E11E"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r>
      <w:tr w:rsidR="00C82386" w14:paraId="2AF81406" w14:textId="77777777">
        <w:trPr>
          <w:jc w:val="center"/>
        </w:trPr>
        <w:tc>
          <w:tcPr>
            <w:tcW w:w="6095" w:type="dxa"/>
          </w:tcPr>
          <w:p w14:paraId="561C0377"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Річний обсяг послуг з водовідведення, млн. куб.</w:t>
            </w:r>
            <w:r w:rsidR="002A50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w:t>
            </w:r>
          </w:p>
        </w:tc>
        <w:tc>
          <w:tcPr>
            <w:tcW w:w="1470" w:type="dxa"/>
          </w:tcPr>
          <w:p w14:paraId="0BBDC6BF"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12,7</w:t>
            </w:r>
          </w:p>
        </w:tc>
        <w:tc>
          <w:tcPr>
            <w:tcW w:w="1471" w:type="dxa"/>
          </w:tcPr>
          <w:p w14:paraId="0A7E510D"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w:t>
            </w:r>
          </w:p>
        </w:tc>
      </w:tr>
      <w:tr w:rsidR="00C82386" w14:paraId="155EC165" w14:textId="77777777">
        <w:trPr>
          <w:jc w:val="center"/>
        </w:trPr>
        <w:tc>
          <w:tcPr>
            <w:tcW w:w="6095" w:type="dxa"/>
          </w:tcPr>
          <w:p w14:paraId="0A24FBC8"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Потужність очисних споруд, тис. куб.</w:t>
            </w:r>
            <w:r w:rsidR="002A50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 за добу</w:t>
            </w:r>
          </w:p>
        </w:tc>
        <w:tc>
          <w:tcPr>
            <w:tcW w:w="1470" w:type="dxa"/>
          </w:tcPr>
          <w:p w14:paraId="47DBD3B7"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103,0</w:t>
            </w:r>
          </w:p>
        </w:tc>
        <w:tc>
          <w:tcPr>
            <w:tcW w:w="1471" w:type="dxa"/>
          </w:tcPr>
          <w:p w14:paraId="5755E5D3"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103,2</w:t>
            </w:r>
          </w:p>
        </w:tc>
      </w:tr>
      <w:tr w:rsidR="00C82386" w14:paraId="29FABF47" w14:textId="77777777">
        <w:trPr>
          <w:jc w:val="center"/>
        </w:trPr>
        <w:tc>
          <w:tcPr>
            <w:tcW w:w="6095" w:type="dxa"/>
          </w:tcPr>
          <w:p w14:paraId="6F2E0F30"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Протяжність мереж водовідведення, км</w:t>
            </w:r>
          </w:p>
        </w:tc>
        <w:tc>
          <w:tcPr>
            <w:tcW w:w="1470" w:type="dxa"/>
          </w:tcPr>
          <w:p w14:paraId="550999ED"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255</w:t>
            </w:r>
          </w:p>
        </w:tc>
        <w:tc>
          <w:tcPr>
            <w:tcW w:w="1471" w:type="dxa"/>
          </w:tcPr>
          <w:p w14:paraId="6C62EBBE"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259,4</w:t>
            </w:r>
          </w:p>
        </w:tc>
      </w:tr>
      <w:tr w:rsidR="00C82386" w14:paraId="4EBEA694" w14:textId="77777777">
        <w:trPr>
          <w:jc w:val="center"/>
        </w:trPr>
        <w:tc>
          <w:tcPr>
            <w:tcW w:w="6095" w:type="dxa"/>
          </w:tcPr>
          <w:p w14:paraId="1388C5F6" w14:textId="77777777" w:rsidR="00C82386" w:rsidRDefault="00E66F64">
            <w:pPr>
              <w:pBdr>
                <w:top w:val="nil"/>
                <w:left w:val="nil"/>
                <w:bottom w:val="nil"/>
                <w:right w:val="nil"/>
                <w:between w:val="nil"/>
              </w:pBdr>
              <w:tabs>
                <w:tab w:val="left" w:pos="1134"/>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зношеності мереж,%</w:t>
            </w:r>
          </w:p>
        </w:tc>
        <w:tc>
          <w:tcPr>
            <w:tcW w:w="1470" w:type="dxa"/>
          </w:tcPr>
          <w:p w14:paraId="011F2691" w14:textId="77777777" w:rsidR="00C82386" w:rsidRDefault="00C82386">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p>
        </w:tc>
        <w:tc>
          <w:tcPr>
            <w:tcW w:w="1471" w:type="dxa"/>
          </w:tcPr>
          <w:p w14:paraId="231744FF" w14:textId="77777777" w:rsidR="00C82386" w:rsidRDefault="00E66F64">
            <w:pPr>
              <w:pBdr>
                <w:top w:val="nil"/>
                <w:left w:val="nil"/>
                <w:bottom w:val="nil"/>
                <w:right w:val="nil"/>
                <w:between w:val="nil"/>
              </w:pBdr>
              <w:tabs>
                <w:tab w:val="left" w:pos="1134"/>
              </w:tabs>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w:t>
            </w:r>
          </w:p>
        </w:tc>
      </w:tr>
    </w:tbl>
    <w:p w14:paraId="03096D19" w14:textId="77777777" w:rsidR="00C82386" w:rsidRDefault="00E66F64">
      <w:pPr>
        <w:pBdr>
          <w:top w:val="nil"/>
          <w:left w:val="nil"/>
          <w:bottom w:val="nil"/>
          <w:right w:val="nil"/>
          <w:between w:val="nil"/>
        </w:pBdr>
        <w:tabs>
          <w:tab w:val="left" w:pos="1134"/>
        </w:tabs>
        <w:spacing w:before="24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Відповідно до Стратегічної програми розвитку КП «Житомирводоканал» Житомирської міської ради до 2030 року визначені основні цілі:</w:t>
      </w:r>
    </w:p>
    <w:p w14:paraId="1BAB147A" w14:textId="77777777" w:rsidR="00C82386" w:rsidRDefault="00E66F64">
      <w:pPr>
        <w:numPr>
          <w:ilvl w:val="0"/>
          <w:numId w:val="10"/>
        </w:numPr>
        <w:pBdr>
          <w:top w:val="nil"/>
          <w:left w:val="nil"/>
          <w:bottom w:val="nil"/>
          <w:right w:val="nil"/>
          <w:between w:val="nil"/>
        </w:pBdr>
        <w:tabs>
          <w:tab w:val="left" w:pos="426"/>
        </w:tabs>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зменшення втрат води,</w:t>
      </w:r>
    </w:p>
    <w:p w14:paraId="0D3D4F3D" w14:textId="77777777" w:rsidR="00C82386" w:rsidRDefault="00E66F64">
      <w:pPr>
        <w:numPr>
          <w:ilvl w:val="0"/>
          <w:numId w:val="10"/>
        </w:numPr>
        <w:pBdr>
          <w:top w:val="nil"/>
          <w:left w:val="nil"/>
          <w:bottom w:val="nil"/>
          <w:right w:val="nil"/>
          <w:between w:val="nil"/>
        </w:pBdr>
        <w:tabs>
          <w:tab w:val="left" w:pos="426"/>
        </w:tabs>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зменшення власного споживання води в процесі її підготовки,</w:t>
      </w:r>
    </w:p>
    <w:p w14:paraId="04158326" w14:textId="77777777" w:rsidR="00C82386" w:rsidRDefault="00E66F64">
      <w:pPr>
        <w:numPr>
          <w:ilvl w:val="0"/>
          <w:numId w:val="10"/>
        </w:numPr>
        <w:pBdr>
          <w:top w:val="nil"/>
          <w:left w:val="nil"/>
          <w:bottom w:val="nil"/>
          <w:right w:val="nil"/>
          <w:between w:val="nil"/>
        </w:pBdr>
        <w:tabs>
          <w:tab w:val="left" w:pos="426"/>
        </w:tabs>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покращення енергетичної ефективності.</w:t>
      </w:r>
    </w:p>
    <w:p w14:paraId="4854EDD2"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Стратегією передбачено проведення аудиту всієї системи водопостачання, покращення обліку води, створення районних зон обліку, покращення системи виявлення витоків та швидке усунення, реконструкція та заміна трубопроводів, реконструкція очисних споруд міста.</w:t>
      </w:r>
    </w:p>
    <w:p w14:paraId="7D3460C9"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Основною проблемою системи водопостачання та водовідведення у місті є зношеність мереж, та відповідно великий відсоток втрат у мережах. Мережа водовідведення стічних вод також перебуває в незадовільному стані.</w:t>
      </w:r>
    </w:p>
    <w:p w14:paraId="5D71F481" w14:textId="77777777" w:rsidR="00C82386" w:rsidRDefault="00E66F64" w:rsidP="0078791F">
      <w:pPr>
        <w:pBdr>
          <w:top w:val="nil"/>
          <w:left w:val="nil"/>
          <w:bottom w:val="nil"/>
          <w:right w:val="nil"/>
          <w:between w:val="nil"/>
        </w:pBdr>
        <w:tabs>
          <w:tab w:val="left" w:pos="1134"/>
        </w:tabs>
        <w:spacing w:after="0"/>
        <w:ind w:firstLine="720"/>
        <w:jc w:val="both"/>
        <w:rPr>
          <w:rFonts w:ascii="Times New Roman" w:eastAsia="Times New Roman" w:hAnsi="Times New Roman" w:cs="Times New Roman"/>
          <w:sz w:val="24"/>
          <w:szCs w:val="24"/>
        </w:rPr>
      </w:pPr>
      <w:r w:rsidRPr="0078791F">
        <w:rPr>
          <w:rFonts w:ascii="Times New Roman" w:eastAsia="Times New Roman" w:hAnsi="Times New Roman" w:cs="Times New Roman"/>
          <w:color w:val="000000"/>
          <w:sz w:val="24"/>
          <w:szCs w:val="24"/>
        </w:rPr>
        <w:t>КП «Житомирводоканал</w:t>
      </w:r>
      <w:r>
        <w:rPr>
          <w:rFonts w:ascii="Times New Roman" w:eastAsia="Times New Roman" w:hAnsi="Times New Roman" w:cs="Times New Roman"/>
          <w:sz w:val="24"/>
          <w:szCs w:val="24"/>
        </w:rPr>
        <w:t>» ЖМР залучений до міжнародного проєкту розвитку міської інфраструктури, що впроваджується в Україні з залученням фінансування Міжнародного банку реконструкції та розвитку. В рамках проєкту в Житомирі передбачено:</w:t>
      </w:r>
    </w:p>
    <w:p w14:paraId="77BDF1DF" w14:textId="77777777" w:rsidR="00C82386" w:rsidRDefault="00E66F64">
      <w:pPr>
        <w:numPr>
          <w:ilvl w:val="0"/>
          <w:numId w:val="58"/>
        </w:numPr>
        <w:pBdr>
          <w:top w:val="nil"/>
          <w:left w:val="nil"/>
          <w:bottom w:val="nil"/>
          <w:right w:val="nil"/>
          <w:between w:val="nil"/>
        </w:pBdr>
        <w:spacing w:after="0"/>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водопровідних та каналізаційних очисних споруд з метою досягнення нормативного ступеню очистки води та стічних вод за рахунок впровадження енергоефективних технологій</w:t>
      </w:r>
      <w:r>
        <w:rPr>
          <w:rFonts w:ascii="Times New Roman" w:eastAsia="Times New Roman" w:hAnsi="Times New Roman" w:cs="Times New Roman"/>
          <w:sz w:val="24"/>
          <w:szCs w:val="24"/>
        </w:rPr>
        <w:t>;</w:t>
      </w:r>
    </w:p>
    <w:p w14:paraId="4CF4DF43" w14:textId="77777777" w:rsidR="00C82386" w:rsidRDefault="00E66F64">
      <w:pPr>
        <w:numPr>
          <w:ilvl w:val="0"/>
          <w:numId w:val="58"/>
        </w:numPr>
        <w:pBdr>
          <w:top w:val="nil"/>
          <w:left w:val="nil"/>
          <w:bottom w:val="nil"/>
          <w:right w:val="nil"/>
          <w:between w:val="nil"/>
        </w:pBdr>
        <w:spacing w:after="0"/>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водопровідних насосних станцій для створення енергоефективної системи транспортування води</w:t>
      </w:r>
      <w:r w:rsidRPr="0078791F">
        <w:rPr>
          <w:rFonts w:ascii="Times New Roman" w:eastAsia="Times New Roman" w:hAnsi="Times New Roman" w:cs="Times New Roman"/>
          <w:color w:val="000000"/>
          <w:sz w:val="24"/>
          <w:szCs w:val="24"/>
        </w:rPr>
        <w:t>;</w:t>
      </w:r>
    </w:p>
    <w:p w14:paraId="6925F2DE" w14:textId="77777777" w:rsidR="00C82386" w:rsidRDefault="00E66F64" w:rsidP="0078791F">
      <w:pPr>
        <w:numPr>
          <w:ilvl w:val="0"/>
          <w:numId w:val="58"/>
        </w:numPr>
        <w:pBdr>
          <w:top w:val="nil"/>
          <w:left w:val="nil"/>
          <w:bottom w:val="nil"/>
          <w:right w:val="nil"/>
          <w:between w:val="nil"/>
        </w:pBdr>
        <w:spacing w:after="0"/>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заміна аварійних ділянок водопровідних мереж для зменшення значних втрат як води, так і енергоресурсів.</w:t>
      </w:r>
    </w:p>
    <w:p w14:paraId="6FE30D35" w14:textId="77777777" w:rsidR="00C82386" w:rsidRPr="0078791F" w:rsidRDefault="00E66F64" w:rsidP="0078791F">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sidRPr="0078791F">
        <w:rPr>
          <w:rFonts w:ascii="Times New Roman" w:eastAsia="Times New Roman" w:hAnsi="Times New Roman" w:cs="Times New Roman"/>
          <w:color w:val="000000"/>
          <w:sz w:val="24"/>
          <w:szCs w:val="24"/>
        </w:rPr>
        <w:t>Загальна сума фінансування КП «Житомирводоканал» в рамках ПРМІ-2 становить 43,5 млн. дол. США.</w:t>
      </w:r>
      <w:r w:rsidR="0078791F">
        <w:rPr>
          <w:rFonts w:ascii="Times New Roman" w:eastAsia="Times New Roman" w:hAnsi="Times New Roman" w:cs="Times New Roman"/>
          <w:color w:val="000000"/>
          <w:sz w:val="24"/>
          <w:szCs w:val="24"/>
        </w:rPr>
        <w:t xml:space="preserve"> </w:t>
      </w:r>
      <w:r w:rsidRPr="0078791F">
        <w:rPr>
          <w:rFonts w:ascii="Times New Roman" w:eastAsia="Times New Roman" w:hAnsi="Times New Roman" w:cs="Times New Roman"/>
          <w:color w:val="000000"/>
          <w:sz w:val="24"/>
          <w:szCs w:val="24"/>
        </w:rPr>
        <w:t>Виконання проєкту розпочато у 2014 році. Станом на липень 2023 проєкт перебуває в активній стадії реалізації, будівельні роботи на майданчиках підприємства виконані на 45-90%.</w:t>
      </w:r>
    </w:p>
    <w:p w14:paraId="747E8CEE" w14:textId="77777777" w:rsidR="00C82386" w:rsidRDefault="00E66F64" w:rsidP="0078791F">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зменшення тарифного навантаження на абонентів підприємства КП «Житомирводоканал» спільно з обласною радою та обласною державною адміністрацією постійно шукає різні джерела фінансування вкрай необхідних для життєзабезпечення регіону проектів. В першу чергу, це звичайно кошти бюджетів різних рівнів. Залучені кошти направляються на реалізацію заходів з покращення якості надання послуг з водопостачання, водовідведення та технічної бази підприємства.</w:t>
      </w:r>
    </w:p>
    <w:p w14:paraId="35F18F35" w14:textId="77777777" w:rsidR="00C82386" w:rsidRDefault="00E66F64">
      <w:pPr>
        <w:keepNext/>
        <w:keepLines/>
        <w:numPr>
          <w:ilvl w:val="1"/>
          <w:numId w:val="18"/>
        </w:numPr>
        <w:pBdr>
          <w:top w:val="nil"/>
          <w:left w:val="nil"/>
          <w:bottom w:val="nil"/>
          <w:right w:val="nil"/>
          <w:between w:val="nil"/>
        </w:pBdr>
        <w:spacing w:before="200" w:after="0"/>
        <w:ind w:left="709" w:hanging="709"/>
        <w:rPr>
          <w:rFonts w:ascii="Times New Roman" w:eastAsia="Times New Roman" w:hAnsi="Times New Roman" w:cs="Times New Roman"/>
          <w:b/>
          <w:color w:val="000000"/>
          <w:sz w:val="24"/>
          <w:szCs w:val="24"/>
        </w:rPr>
      </w:pPr>
      <w:bookmarkStart w:id="29" w:name="_heading=h.49x2ik5" w:colFirst="0" w:colLast="0"/>
      <w:bookmarkEnd w:id="29"/>
      <w:r>
        <w:rPr>
          <w:rFonts w:ascii="Times New Roman" w:eastAsia="Times New Roman" w:hAnsi="Times New Roman" w:cs="Times New Roman"/>
          <w:b/>
          <w:color w:val="000000"/>
          <w:sz w:val="24"/>
          <w:szCs w:val="24"/>
        </w:rPr>
        <w:t>Основні споживачі енергоресурсів</w:t>
      </w:r>
    </w:p>
    <w:p w14:paraId="0F0FAAC4" w14:textId="77777777" w:rsidR="00C82386" w:rsidRDefault="00E66F64">
      <w:pPr>
        <w:keepNext/>
        <w:keepLines/>
        <w:numPr>
          <w:ilvl w:val="0"/>
          <w:numId w:val="54"/>
        </w:numPr>
        <w:pBdr>
          <w:top w:val="nil"/>
          <w:left w:val="nil"/>
          <w:bottom w:val="nil"/>
          <w:right w:val="nil"/>
          <w:between w:val="nil"/>
        </w:pBdr>
        <w:spacing w:after="0"/>
        <w:ind w:hanging="420"/>
        <w:rPr>
          <w:rFonts w:ascii="Times New Roman" w:eastAsia="Times New Roman" w:hAnsi="Times New Roman" w:cs="Times New Roman"/>
          <w:b/>
          <w:color w:val="000000"/>
          <w:sz w:val="24"/>
          <w:szCs w:val="24"/>
        </w:rPr>
      </w:pPr>
      <w:bookmarkStart w:id="30" w:name="_heading=h.2p2csry" w:colFirst="0" w:colLast="0"/>
      <w:bookmarkEnd w:id="30"/>
      <w:r>
        <w:rPr>
          <w:rFonts w:ascii="Times New Roman" w:eastAsia="Times New Roman" w:hAnsi="Times New Roman" w:cs="Times New Roman"/>
          <w:b/>
          <w:color w:val="000000"/>
          <w:sz w:val="24"/>
          <w:szCs w:val="24"/>
        </w:rPr>
        <w:t>Будівлі муніципальних установ та підприємств</w:t>
      </w:r>
    </w:p>
    <w:p w14:paraId="6716D1C1"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2020 р. у Житомирській територіальній громаді нараховувалося 130 розпорядників та 209 одержувачів бюджетних коштів (комунальні підприємства, установи, заклади). Починаючи з 2014 року ведеться моніторинг споживання енергоресурсів в муніципальних будівлях та приміщеннях з використанням спеціалізованого програмного забезпечення (у 2023 році в системі енергомоніторингу міститься інформація про 179 об’єктів). Більшість будівель характеризується великим споживанням енергії на опалення, освітлення та на роботу електрообладнання, наслідком чого є високим рівень витрат на експлуатацію будівель та приміщень.</w:t>
      </w:r>
    </w:p>
    <w:p w14:paraId="7179CDEC"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Обсяги споживання енергетичних ресурсів будівлями муніципальних установ та підприємств, що фінансуються з бюджету громади, приведено у таблиці 3.11. </w:t>
      </w:r>
    </w:p>
    <w:p w14:paraId="68DDDDC1"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Споживання енергії муніципальними підприємствами теплопостачання, водопостачання, КП «Міськсвітло» та транспортних підприємств (паливо та електроенергія для тролейбусного парку) розглянуто в інших відповідних пунктах.</w:t>
      </w:r>
    </w:p>
    <w:p w14:paraId="22911B3E" w14:textId="77777777" w:rsidR="00C82386" w:rsidRDefault="00E66F64">
      <w:pPr>
        <w:spacing w:after="0"/>
        <w:ind w:firstLine="567"/>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Таблиця 3.11. </w:t>
      </w:r>
    </w:p>
    <w:p w14:paraId="33CEE31B" w14:textId="77777777" w:rsidR="00C82386" w:rsidRDefault="00E66F64">
      <w:pPr>
        <w:spacing w:after="0"/>
        <w:ind w:firstLine="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Обсяги споживання енергоресурсів будівлями муніципальних установ та підприємств, що фінансуються з бюджету громади</w:t>
      </w:r>
      <w:r w:rsidR="00684375">
        <w:rPr>
          <w:rFonts w:ascii="Times New Roman" w:eastAsia="Times New Roman" w:hAnsi="Times New Roman" w:cs="Times New Roman"/>
          <w:sz w:val="24"/>
          <w:szCs w:val="24"/>
        </w:rPr>
        <w:t xml:space="preserve"> (без врахування комунальних підприємств)</w:t>
      </w:r>
      <w:r>
        <w:rPr>
          <w:rFonts w:ascii="Times New Roman" w:eastAsia="Times New Roman" w:hAnsi="Times New Roman" w:cs="Times New Roman"/>
          <w:sz w:val="24"/>
          <w:szCs w:val="24"/>
        </w:rPr>
        <w:t>, за період 2010-2020 рр.</w:t>
      </w:r>
    </w:p>
    <w:tbl>
      <w:tblPr>
        <w:tblStyle w:val="affff3"/>
        <w:tblW w:w="9570" w:type="dxa"/>
        <w:tblInd w:w="-115" w:type="dxa"/>
        <w:tblLayout w:type="fixed"/>
        <w:tblLook w:val="0000" w:firstRow="0" w:lastRow="0" w:firstColumn="0" w:lastColumn="0" w:noHBand="0" w:noVBand="0"/>
      </w:tblPr>
      <w:tblGrid>
        <w:gridCol w:w="769"/>
        <w:gridCol w:w="1474"/>
        <w:gridCol w:w="1606"/>
        <w:gridCol w:w="1070"/>
        <w:gridCol w:w="1064"/>
        <w:gridCol w:w="1200"/>
        <w:gridCol w:w="1196"/>
        <w:gridCol w:w="1191"/>
      </w:tblGrid>
      <w:tr w:rsidR="00C82386" w14:paraId="25190DED" w14:textId="77777777">
        <w:trPr>
          <w:trHeight w:val="705"/>
        </w:trPr>
        <w:tc>
          <w:tcPr>
            <w:tcW w:w="769" w:type="dxa"/>
            <w:vMerge w:val="restart"/>
            <w:tcBorders>
              <w:top w:val="single" w:sz="8" w:space="0" w:color="000000"/>
              <w:left w:val="single" w:sz="8" w:space="0" w:color="000000"/>
              <w:bottom w:val="single" w:sz="8" w:space="0" w:color="000000"/>
              <w:right w:val="single" w:sz="4" w:space="0" w:color="000000"/>
            </w:tcBorders>
            <w:vAlign w:val="center"/>
          </w:tcPr>
          <w:p w14:paraId="22EB448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Рік</w:t>
            </w:r>
          </w:p>
        </w:tc>
        <w:tc>
          <w:tcPr>
            <w:tcW w:w="1474" w:type="dxa"/>
            <w:tcBorders>
              <w:top w:val="single" w:sz="4" w:space="0" w:color="000000"/>
              <w:left w:val="single" w:sz="4" w:space="0" w:color="000000"/>
              <w:bottom w:val="single" w:sz="4" w:space="0" w:color="000000"/>
              <w:right w:val="single" w:sz="4" w:space="0" w:color="000000"/>
            </w:tcBorders>
            <w:vAlign w:val="center"/>
          </w:tcPr>
          <w:p w14:paraId="36B0879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Теплова енергія</w:t>
            </w:r>
          </w:p>
        </w:tc>
        <w:tc>
          <w:tcPr>
            <w:tcW w:w="1606" w:type="dxa"/>
            <w:tcBorders>
              <w:top w:val="single" w:sz="8" w:space="0" w:color="000000"/>
              <w:left w:val="nil"/>
              <w:bottom w:val="single" w:sz="4" w:space="0" w:color="000000"/>
              <w:right w:val="single" w:sz="4" w:space="0" w:color="000000"/>
            </w:tcBorders>
            <w:vAlign w:val="center"/>
          </w:tcPr>
          <w:p w14:paraId="2D4FA86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Електроенергія</w:t>
            </w:r>
          </w:p>
        </w:tc>
        <w:tc>
          <w:tcPr>
            <w:tcW w:w="1070" w:type="dxa"/>
            <w:tcBorders>
              <w:top w:val="single" w:sz="8" w:space="0" w:color="000000"/>
              <w:left w:val="nil"/>
              <w:bottom w:val="single" w:sz="4" w:space="0" w:color="000000"/>
              <w:right w:val="single" w:sz="4" w:space="0" w:color="000000"/>
            </w:tcBorders>
            <w:vAlign w:val="center"/>
          </w:tcPr>
          <w:p w14:paraId="63FCD98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Вода</w:t>
            </w:r>
          </w:p>
        </w:tc>
        <w:tc>
          <w:tcPr>
            <w:tcW w:w="1064" w:type="dxa"/>
            <w:tcBorders>
              <w:top w:val="single" w:sz="8" w:space="0" w:color="000000"/>
              <w:left w:val="nil"/>
              <w:bottom w:val="single" w:sz="4" w:space="0" w:color="000000"/>
              <w:right w:val="single" w:sz="4" w:space="0" w:color="000000"/>
            </w:tcBorders>
            <w:vAlign w:val="center"/>
          </w:tcPr>
          <w:p w14:paraId="7632D76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Природний газ</w:t>
            </w:r>
          </w:p>
        </w:tc>
        <w:tc>
          <w:tcPr>
            <w:tcW w:w="1200" w:type="dxa"/>
            <w:tcBorders>
              <w:top w:val="single" w:sz="8" w:space="0" w:color="000000"/>
              <w:left w:val="nil"/>
              <w:bottom w:val="single" w:sz="4" w:space="0" w:color="000000"/>
              <w:right w:val="single" w:sz="4" w:space="0" w:color="000000"/>
            </w:tcBorders>
            <w:vAlign w:val="center"/>
          </w:tcPr>
          <w:p w14:paraId="177E7AD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Вугілля</w:t>
            </w:r>
          </w:p>
        </w:tc>
        <w:tc>
          <w:tcPr>
            <w:tcW w:w="1196" w:type="dxa"/>
            <w:tcBorders>
              <w:top w:val="single" w:sz="8" w:space="0" w:color="000000"/>
              <w:left w:val="nil"/>
              <w:bottom w:val="single" w:sz="4" w:space="0" w:color="000000"/>
              <w:right w:val="single" w:sz="4" w:space="0" w:color="000000"/>
            </w:tcBorders>
            <w:vAlign w:val="center"/>
          </w:tcPr>
          <w:p w14:paraId="6A3A42B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Торфобрикети</w:t>
            </w:r>
          </w:p>
        </w:tc>
        <w:tc>
          <w:tcPr>
            <w:tcW w:w="1191" w:type="dxa"/>
            <w:tcBorders>
              <w:top w:val="single" w:sz="4" w:space="0" w:color="000000"/>
              <w:left w:val="single" w:sz="4" w:space="0" w:color="000000"/>
              <w:bottom w:val="single" w:sz="4" w:space="0" w:color="000000"/>
              <w:right w:val="single" w:sz="4" w:space="0" w:color="000000"/>
            </w:tcBorders>
            <w:vAlign w:val="center"/>
          </w:tcPr>
          <w:p w14:paraId="581E7FC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Інше (дрова, пелети)</w:t>
            </w:r>
          </w:p>
        </w:tc>
      </w:tr>
      <w:tr w:rsidR="00C82386" w14:paraId="4A79847C" w14:textId="77777777">
        <w:trPr>
          <w:trHeight w:val="390"/>
        </w:trPr>
        <w:tc>
          <w:tcPr>
            <w:tcW w:w="769" w:type="dxa"/>
            <w:vMerge/>
            <w:tcBorders>
              <w:top w:val="single" w:sz="8" w:space="0" w:color="000000"/>
              <w:left w:val="single" w:sz="8" w:space="0" w:color="000000"/>
              <w:bottom w:val="single" w:sz="8" w:space="0" w:color="000000"/>
              <w:right w:val="single" w:sz="4" w:space="0" w:color="000000"/>
            </w:tcBorders>
            <w:vAlign w:val="center"/>
          </w:tcPr>
          <w:p w14:paraId="4D37F0A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7617E8F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Гкал</w:t>
            </w:r>
          </w:p>
        </w:tc>
        <w:tc>
          <w:tcPr>
            <w:tcW w:w="1606" w:type="dxa"/>
            <w:tcBorders>
              <w:top w:val="nil"/>
              <w:left w:val="nil"/>
              <w:bottom w:val="single" w:sz="8" w:space="0" w:color="000000"/>
              <w:right w:val="single" w:sz="4" w:space="0" w:color="000000"/>
            </w:tcBorders>
            <w:vAlign w:val="center"/>
          </w:tcPr>
          <w:p w14:paraId="0E50613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кВт. год</w:t>
            </w:r>
          </w:p>
        </w:tc>
        <w:tc>
          <w:tcPr>
            <w:tcW w:w="1070" w:type="dxa"/>
            <w:tcBorders>
              <w:top w:val="nil"/>
              <w:left w:val="nil"/>
              <w:bottom w:val="single" w:sz="8" w:space="0" w:color="000000"/>
              <w:right w:val="single" w:sz="4" w:space="0" w:color="000000"/>
            </w:tcBorders>
            <w:vAlign w:val="center"/>
          </w:tcPr>
          <w:p w14:paraId="3CAD16D3" w14:textId="77777777" w:rsidR="00C82386" w:rsidRDefault="00E66F64">
            <w:pPr>
              <w:spacing w:after="0"/>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тис.м</w:t>
            </w:r>
            <w:r>
              <w:rPr>
                <w:rFonts w:ascii="Times New Roman" w:eastAsia="Times New Roman" w:hAnsi="Times New Roman" w:cs="Times New Roman"/>
                <w:sz w:val="24"/>
                <w:szCs w:val="24"/>
                <w:vertAlign w:val="superscript"/>
              </w:rPr>
              <w:t>3</w:t>
            </w:r>
          </w:p>
        </w:tc>
        <w:tc>
          <w:tcPr>
            <w:tcW w:w="1064" w:type="dxa"/>
            <w:tcBorders>
              <w:top w:val="nil"/>
              <w:left w:val="nil"/>
              <w:bottom w:val="single" w:sz="8" w:space="0" w:color="000000"/>
              <w:right w:val="single" w:sz="4" w:space="0" w:color="000000"/>
            </w:tcBorders>
            <w:vAlign w:val="center"/>
          </w:tcPr>
          <w:p w14:paraId="575172D2" w14:textId="77777777" w:rsidR="00C82386" w:rsidRDefault="00E66F64">
            <w:pPr>
              <w:spacing w:after="0"/>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тис.м</w:t>
            </w:r>
            <w:r>
              <w:rPr>
                <w:rFonts w:ascii="Times New Roman" w:eastAsia="Times New Roman" w:hAnsi="Times New Roman" w:cs="Times New Roman"/>
                <w:sz w:val="24"/>
                <w:szCs w:val="24"/>
                <w:vertAlign w:val="superscript"/>
              </w:rPr>
              <w:t>3</w:t>
            </w:r>
          </w:p>
        </w:tc>
        <w:tc>
          <w:tcPr>
            <w:tcW w:w="1200" w:type="dxa"/>
            <w:tcBorders>
              <w:top w:val="nil"/>
              <w:left w:val="nil"/>
              <w:bottom w:val="single" w:sz="8" w:space="0" w:color="000000"/>
              <w:right w:val="single" w:sz="4" w:space="0" w:color="000000"/>
            </w:tcBorders>
            <w:vAlign w:val="center"/>
          </w:tcPr>
          <w:p w14:paraId="6AAEB7C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тонн</w:t>
            </w:r>
          </w:p>
        </w:tc>
        <w:tc>
          <w:tcPr>
            <w:tcW w:w="1196" w:type="dxa"/>
            <w:tcBorders>
              <w:top w:val="single" w:sz="4" w:space="0" w:color="000000"/>
              <w:left w:val="nil"/>
              <w:bottom w:val="single" w:sz="8" w:space="0" w:color="000000"/>
              <w:right w:val="single" w:sz="4" w:space="0" w:color="000000"/>
            </w:tcBorders>
            <w:vAlign w:val="center"/>
          </w:tcPr>
          <w:p w14:paraId="4BCD5729"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тонн</w:t>
            </w:r>
          </w:p>
        </w:tc>
        <w:tc>
          <w:tcPr>
            <w:tcW w:w="1191" w:type="dxa"/>
            <w:tcBorders>
              <w:top w:val="single" w:sz="4" w:space="0" w:color="000000"/>
              <w:left w:val="nil"/>
              <w:bottom w:val="single" w:sz="4" w:space="0" w:color="000000"/>
              <w:right w:val="single" w:sz="4" w:space="0" w:color="000000"/>
            </w:tcBorders>
            <w:vAlign w:val="center"/>
          </w:tcPr>
          <w:p w14:paraId="1F95A22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тонн</w:t>
            </w:r>
          </w:p>
        </w:tc>
      </w:tr>
      <w:tr w:rsidR="00C82386" w14:paraId="24069D82"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32DC613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2010</w:t>
            </w:r>
          </w:p>
        </w:tc>
        <w:tc>
          <w:tcPr>
            <w:tcW w:w="1474" w:type="dxa"/>
            <w:tcBorders>
              <w:top w:val="single" w:sz="4" w:space="0" w:color="000000"/>
              <w:left w:val="single" w:sz="4" w:space="0" w:color="000000"/>
              <w:bottom w:val="single" w:sz="4" w:space="0" w:color="000000"/>
              <w:right w:val="single" w:sz="4" w:space="0" w:color="000000"/>
            </w:tcBorders>
          </w:tcPr>
          <w:p w14:paraId="4B8B32F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48 000</w:t>
            </w:r>
          </w:p>
        </w:tc>
        <w:tc>
          <w:tcPr>
            <w:tcW w:w="1606" w:type="dxa"/>
            <w:tcBorders>
              <w:top w:val="nil"/>
              <w:left w:val="nil"/>
              <w:bottom w:val="single" w:sz="4" w:space="0" w:color="000000"/>
              <w:right w:val="single" w:sz="4" w:space="0" w:color="000000"/>
            </w:tcBorders>
          </w:tcPr>
          <w:p w14:paraId="362FAE8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6 919,0</w:t>
            </w:r>
          </w:p>
        </w:tc>
        <w:tc>
          <w:tcPr>
            <w:tcW w:w="1070" w:type="dxa"/>
            <w:tcBorders>
              <w:top w:val="nil"/>
              <w:left w:val="single" w:sz="8" w:space="0" w:color="000000"/>
              <w:bottom w:val="single" w:sz="4" w:space="0" w:color="000000"/>
              <w:right w:val="single" w:sz="4" w:space="0" w:color="000000"/>
            </w:tcBorders>
          </w:tcPr>
          <w:p w14:paraId="5E469D9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64" w:type="dxa"/>
            <w:tcBorders>
              <w:top w:val="nil"/>
              <w:left w:val="nil"/>
              <w:bottom w:val="single" w:sz="4" w:space="0" w:color="000000"/>
              <w:right w:val="single" w:sz="4" w:space="0" w:color="000000"/>
            </w:tcBorders>
          </w:tcPr>
          <w:p w14:paraId="5617DCE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1 013,4</w:t>
            </w:r>
          </w:p>
        </w:tc>
        <w:tc>
          <w:tcPr>
            <w:tcW w:w="1200" w:type="dxa"/>
            <w:tcBorders>
              <w:top w:val="nil"/>
              <w:left w:val="single" w:sz="8" w:space="0" w:color="000000"/>
              <w:bottom w:val="single" w:sz="4" w:space="0" w:color="000000"/>
              <w:right w:val="single" w:sz="4" w:space="0" w:color="000000"/>
            </w:tcBorders>
            <w:vAlign w:val="center"/>
          </w:tcPr>
          <w:p w14:paraId="6C82753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121,0</w:t>
            </w:r>
          </w:p>
        </w:tc>
        <w:tc>
          <w:tcPr>
            <w:tcW w:w="1196" w:type="dxa"/>
            <w:tcBorders>
              <w:top w:val="nil"/>
              <w:left w:val="nil"/>
              <w:bottom w:val="single" w:sz="4" w:space="0" w:color="000000"/>
              <w:right w:val="single" w:sz="4" w:space="0" w:color="000000"/>
            </w:tcBorders>
            <w:vAlign w:val="center"/>
          </w:tcPr>
          <w:p w14:paraId="63D79D0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61AF7AC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C82386" w14:paraId="5A1D8279"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2CD53CF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2011</w:t>
            </w:r>
          </w:p>
        </w:tc>
        <w:tc>
          <w:tcPr>
            <w:tcW w:w="1474" w:type="dxa"/>
            <w:tcBorders>
              <w:top w:val="single" w:sz="4" w:space="0" w:color="000000"/>
              <w:left w:val="single" w:sz="4" w:space="0" w:color="000000"/>
              <w:bottom w:val="single" w:sz="4" w:space="0" w:color="000000"/>
              <w:right w:val="single" w:sz="4" w:space="0" w:color="000000"/>
            </w:tcBorders>
            <w:vAlign w:val="center"/>
          </w:tcPr>
          <w:p w14:paraId="0B8FFD0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40 350</w:t>
            </w:r>
          </w:p>
        </w:tc>
        <w:tc>
          <w:tcPr>
            <w:tcW w:w="1606" w:type="dxa"/>
            <w:tcBorders>
              <w:top w:val="nil"/>
              <w:left w:val="nil"/>
              <w:bottom w:val="single" w:sz="4" w:space="0" w:color="000000"/>
              <w:right w:val="single" w:sz="4" w:space="0" w:color="000000"/>
            </w:tcBorders>
            <w:vAlign w:val="center"/>
          </w:tcPr>
          <w:p w14:paraId="2DEA218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6 800,2</w:t>
            </w:r>
          </w:p>
        </w:tc>
        <w:tc>
          <w:tcPr>
            <w:tcW w:w="1070" w:type="dxa"/>
            <w:tcBorders>
              <w:top w:val="nil"/>
              <w:left w:val="single" w:sz="8" w:space="0" w:color="000000"/>
              <w:bottom w:val="single" w:sz="4" w:space="0" w:color="000000"/>
              <w:right w:val="single" w:sz="4" w:space="0" w:color="000000"/>
            </w:tcBorders>
            <w:vAlign w:val="center"/>
          </w:tcPr>
          <w:p w14:paraId="0A15E05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64" w:type="dxa"/>
            <w:tcBorders>
              <w:top w:val="nil"/>
              <w:left w:val="nil"/>
              <w:bottom w:val="single" w:sz="4" w:space="0" w:color="000000"/>
              <w:right w:val="single" w:sz="4" w:space="0" w:color="000000"/>
            </w:tcBorders>
            <w:vAlign w:val="center"/>
          </w:tcPr>
          <w:p w14:paraId="044B187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1 007,7</w:t>
            </w:r>
          </w:p>
        </w:tc>
        <w:tc>
          <w:tcPr>
            <w:tcW w:w="1200" w:type="dxa"/>
            <w:tcBorders>
              <w:top w:val="nil"/>
              <w:left w:val="single" w:sz="8" w:space="0" w:color="000000"/>
              <w:bottom w:val="single" w:sz="4" w:space="0" w:color="000000"/>
              <w:right w:val="single" w:sz="4" w:space="0" w:color="000000"/>
            </w:tcBorders>
            <w:vAlign w:val="center"/>
          </w:tcPr>
          <w:p w14:paraId="4FF7021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196" w:type="dxa"/>
            <w:tcBorders>
              <w:top w:val="nil"/>
              <w:left w:val="nil"/>
              <w:bottom w:val="single" w:sz="4" w:space="0" w:color="000000"/>
              <w:right w:val="single" w:sz="4" w:space="0" w:color="000000"/>
            </w:tcBorders>
            <w:vAlign w:val="center"/>
          </w:tcPr>
          <w:p w14:paraId="521843A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07E793C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C82386" w14:paraId="557FC6D0"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392350D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2012</w:t>
            </w:r>
          </w:p>
        </w:tc>
        <w:tc>
          <w:tcPr>
            <w:tcW w:w="1474" w:type="dxa"/>
            <w:tcBorders>
              <w:top w:val="single" w:sz="4" w:space="0" w:color="000000"/>
              <w:left w:val="single" w:sz="4" w:space="0" w:color="000000"/>
              <w:bottom w:val="single" w:sz="4" w:space="0" w:color="000000"/>
              <w:right w:val="single" w:sz="4" w:space="0" w:color="000000"/>
            </w:tcBorders>
            <w:vAlign w:val="center"/>
          </w:tcPr>
          <w:p w14:paraId="1AE15619"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47 585</w:t>
            </w:r>
          </w:p>
        </w:tc>
        <w:tc>
          <w:tcPr>
            <w:tcW w:w="1606" w:type="dxa"/>
            <w:tcBorders>
              <w:top w:val="nil"/>
              <w:left w:val="nil"/>
              <w:bottom w:val="single" w:sz="4" w:space="0" w:color="000000"/>
              <w:right w:val="single" w:sz="4" w:space="0" w:color="000000"/>
            </w:tcBorders>
            <w:vAlign w:val="center"/>
          </w:tcPr>
          <w:p w14:paraId="51B0B89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6 472,2</w:t>
            </w:r>
          </w:p>
        </w:tc>
        <w:tc>
          <w:tcPr>
            <w:tcW w:w="1070" w:type="dxa"/>
            <w:tcBorders>
              <w:top w:val="nil"/>
              <w:left w:val="single" w:sz="8" w:space="0" w:color="000000"/>
              <w:bottom w:val="single" w:sz="4" w:space="0" w:color="000000"/>
              <w:right w:val="single" w:sz="4" w:space="0" w:color="000000"/>
            </w:tcBorders>
            <w:vAlign w:val="center"/>
          </w:tcPr>
          <w:p w14:paraId="03A5C1CA"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371,9</w:t>
            </w:r>
          </w:p>
        </w:tc>
        <w:tc>
          <w:tcPr>
            <w:tcW w:w="1064" w:type="dxa"/>
            <w:tcBorders>
              <w:top w:val="nil"/>
              <w:left w:val="nil"/>
              <w:bottom w:val="single" w:sz="4" w:space="0" w:color="000000"/>
              <w:right w:val="single" w:sz="4" w:space="0" w:color="000000"/>
            </w:tcBorders>
            <w:vAlign w:val="center"/>
          </w:tcPr>
          <w:p w14:paraId="0908027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1 017,4</w:t>
            </w:r>
          </w:p>
        </w:tc>
        <w:tc>
          <w:tcPr>
            <w:tcW w:w="1200" w:type="dxa"/>
            <w:tcBorders>
              <w:top w:val="nil"/>
              <w:left w:val="single" w:sz="8" w:space="0" w:color="000000"/>
              <w:bottom w:val="single" w:sz="4" w:space="0" w:color="000000"/>
              <w:right w:val="single" w:sz="4" w:space="0" w:color="000000"/>
            </w:tcBorders>
            <w:vAlign w:val="center"/>
          </w:tcPr>
          <w:p w14:paraId="1352EC1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65,3</w:t>
            </w:r>
          </w:p>
        </w:tc>
        <w:tc>
          <w:tcPr>
            <w:tcW w:w="1196" w:type="dxa"/>
            <w:tcBorders>
              <w:top w:val="nil"/>
              <w:left w:val="nil"/>
              <w:bottom w:val="single" w:sz="4" w:space="0" w:color="000000"/>
              <w:right w:val="single" w:sz="4" w:space="0" w:color="000000"/>
            </w:tcBorders>
            <w:vAlign w:val="center"/>
          </w:tcPr>
          <w:p w14:paraId="6F3800E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5288646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8,17</w:t>
            </w:r>
          </w:p>
        </w:tc>
      </w:tr>
      <w:tr w:rsidR="00C82386" w14:paraId="4D585547"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21FAF0C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2013</w:t>
            </w:r>
          </w:p>
        </w:tc>
        <w:tc>
          <w:tcPr>
            <w:tcW w:w="1474" w:type="dxa"/>
            <w:tcBorders>
              <w:top w:val="single" w:sz="4" w:space="0" w:color="000000"/>
              <w:left w:val="single" w:sz="4" w:space="0" w:color="000000"/>
              <w:bottom w:val="single" w:sz="4" w:space="0" w:color="000000"/>
              <w:right w:val="single" w:sz="4" w:space="0" w:color="000000"/>
            </w:tcBorders>
            <w:vAlign w:val="center"/>
          </w:tcPr>
          <w:p w14:paraId="32F3EC9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47 474</w:t>
            </w:r>
          </w:p>
        </w:tc>
        <w:tc>
          <w:tcPr>
            <w:tcW w:w="1606" w:type="dxa"/>
            <w:tcBorders>
              <w:top w:val="nil"/>
              <w:left w:val="nil"/>
              <w:bottom w:val="single" w:sz="4" w:space="0" w:color="000000"/>
              <w:right w:val="single" w:sz="4" w:space="0" w:color="000000"/>
            </w:tcBorders>
            <w:vAlign w:val="center"/>
          </w:tcPr>
          <w:p w14:paraId="52C9399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6 731,4</w:t>
            </w:r>
          </w:p>
        </w:tc>
        <w:tc>
          <w:tcPr>
            <w:tcW w:w="1070" w:type="dxa"/>
            <w:tcBorders>
              <w:top w:val="nil"/>
              <w:left w:val="single" w:sz="8" w:space="0" w:color="000000"/>
              <w:bottom w:val="single" w:sz="4" w:space="0" w:color="000000"/>
              <w:right w:val="single" w:sz="4" w:space="0" w:color="000000"/>
            </w:tcBorders>
            <w:vAlign w:val="center"/>
          </w:tcPr>
          <w:p w14:paraId="0CB27D8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357,0</w:t>
            </w:r>
          </w:p>
        </w:tc>
        <w:tc>
          <w:tcPr>
            <w:tcW w:w="1064" w:type="dxa"/>
            <w:tcBorders>
              <w:top w:val="nil"/>
              <w:left w:val="nil"/>
              <w:bottom w:val="single" w:sz="4" w:space="0" w:color="000000"/>
              <w:right w:val="single" w:sz="4" w:space="0" w:color="000000"/>
            </w:tcBorders>
            <w:vAlign w:val="center"/>
          </w:tcPr>
          <w:p w14:paraId="368604E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968,5</w:t>
            </w:r>
          </w:p>
        </w:tc>
        <w:tc>
          <w:tcPr>
            <w:tcW w:w="1200" w:type="dxa"/>
            <w:tcBorders>
              <w:top w:val="nil"/>
              <w:left w:val="single" w:sz="8" w:space="0" w:color="000000"/>
              <w:bottom w:val="single" w:sz="4" w:space="0" w:color="000000"/>
              <w:right w:val="single" w:sz="4" w:space="0" w:color="000000"/>
            </w:tcBorders>
            <w:vAlign w:val="center"/>
          </w:tcPr>
          <w:p w14:paraId="4E75C9A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65,3</w:t>
            </w:r>
          </w:p>
        </w:tc>
        <w:tc>
          <w:tcPr>
            <w:tcW w:w="1196" w:type="dxa"/>
            <w:tcBorders>
              <w:top w:val="nil"/>
              <w:left w:val="nil"/>
              <w:bottom w:val="single" w:sz="4" w:space="0" w:color="000000"/>
              <w:right w:val="single" w:sz="4" w:space="0" w:color="000000"/>
            </w:tcBorders>
            <w:vAlign w:val="center"/>
          </w:tcPr>
          <w:p w14:paraId="17C537E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03FE498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6,46</w:t>
            </w:r>
          </w:p>
        </w:tc>
      </w:tr>
      <w:tr w:rsidR="00C82386" w14:paraId="1FCD4908"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50CC615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2014</w:t>
            </w:r>
          </w:p>
        </w:tc>
        <w:tc>
          <w:tcPr>
            <w:tcW w:w="1474" w:type="dxa"/>
            <w:tcBorders>
              <w:top w:val="single" w:sz="4" w:space="0" w:color="000000"/>
              <w:left w:val="single" w:sz="4" w:space="0" w:color="000000"/>
              <w:bottom w:val="single" w:sz="4" w:space="0" w:color="000000"/>
              <w:right w:val="single" w:sz="4" w:space="0" w:color="000000"/>
            </w:tcBorders>
            <w:vAlign w:val="center"/>
          </w:tcPr>
          <w:p w14:paraId="4BBEB9D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40 272</w:t>
            </w:r>
          </w:p>
        </w:tc>
        <w:tc>
          <w:tcPr>
            <w:tcW w:w="1606" w:type="dxa"/>
            <w:tcBorders>
              <w:top w:val="nil"/>
              <w:left w:val="nil"/>
              <w:bottom w:val="single" w:sz="4" w:space="0" w:color="000000"/>
              <w:right w:val="single" w:sz="4" w:space="0" w:color="000000"/>
            </w:tcBorders>
            <w:vAlign w:val="center"/>
          </w:tcPr>
          <w:p w14:paraId="6EED582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7 034,0</w:t>
            </w:r>
          </w:p>
        </w:tc>
        <w:tc>
          <w:tcPr>
            <w:tcW w:w="1070" w:type="dxa"/>
            <w:tcBorders>
              <w:top w:val="nil"/>
              <w:left w:val="single" w:sz="8" w:space="0" w:color="000000"/>
              <w:bottom w:val="single" w:sz="4" w:space="0" w:color="000000"/>
              <w:right w:val="single" w:sz="4" w:space="0" w:color="000000"/>
            </w:tcBorders>
            <w:vAlign w:val="center"/>
          </w:tcPr>
          <w:p w14:paraId="225AEC1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354,9</w:t>
            </w:r>
          </w:p>
        </w:tc>
        <w:tc>
          <w:tcPr>
            <w:tcW w:w="1064" w:type="dxa"/>
            <w:tcBorders>
              <w:top w:val="nil"/>
              <w:left w:val="nil"/>
              <w:bottom w:val="single" w:sz="4" w:space="0" w:color="000000"/>
              <w:right w:val="single" w:sz="4" w:space="0" w:color="000000"/>
            </w:tcBorders>
            <w:vAlign w:val="center"/>
          </w:tcPr>
          <w:p w14:paraId="151F083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846,0</w:t>
            </w:r>
          </w:p>
        </w:tc>
        <w:tc>
          <w:tcPr>
            <w:tcW w:w="1200" w:type="dxa"/>
            <w:tcBorders>
              <w:top w:val="nil"/>
              <w:left w:val="single" w:sz="8" w:space="0" w:color="000000"/>
              <w:bottom w:val="single" w:sz="4" w:space="0" w:color="000000"/>
              <w:right w:val="single" w:sz="4" w:space="0" w:color="000000"/>
            </w:tcBorders>
            <w:vAlign w:val="center"/>
          </w:tcPr>
          <w:p w14:paraId="628BF19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63,5</w:t>
            </w:r>
          </w:p>
        </w:tc>
        <w:tc>
          <w:tcPr>
            <w:tcW w:w="1196" w:type="dxa"/>
            <w:tcBorders>
              <w:top w:val="nil"/>
              <w:left w:val="nil"/>
              <w:bottom w:val="single" w:sz="4" w:space="0" w:color="000000"/>
              <w:right w:val="single" w:sz="4" w:space="0" w:color="000000"/>
            </w:tcBorders>
            <w:vAlign w:val="center"/>
          </w:tcPr>
          <w:p w14:paraId="2DC0EBA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5D1C3FE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3,04</w:t>
            </w:r>
          </w:p>
        </w:tc>
      </w:tr>
      <w:tr w:rsidR="00C82386" w14:paraId="29938473"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21777AE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2015</w:t>
            </w:r>
          </w:p>
        </w:tc>
        <w:tc>
          <w:tcPr>
            <w:tcW w:w="1474" w:type="dxa"/>
            <w:tcBorders>
              <w:top w:val="single" w:sz="4" w:space="0" w:color="000000"/>
              <w:left w:val="single" w:sz="4" w:space="0" w:color="000000"/>
              <w:bottom w:val="single" w:sz="4" w:space="0" w:color="000000"/>
              <w:right w:val="single" w:sz="4" w:space="0" w:color="000000"/>
            </w:tcBorders>
            <w:vAlign w:val="center"/>
          </w:tcPr>
          <w:p w14:paraId="7FB2658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35 775</w:t>
            </w:r>
          </w:p>
        </w:tc>
        <w:tc>
          <w:tcPr>
            <w:tcW w:w="1606" w:type="dxa"/>
            <w:tcBorders>
              <w:top w:val="nil"/>
              <w:left w:val="nil"/>
              <w:bottom w:val="single" w:sz="4" w:space="0" w:color="000000"/>
              <w:right w:val="single" w:sz="4" w:space="0" w:color="000000"/>
            </w:tcBorders>
            <w:vAlign w:val="center"/>
          </w:tcPr>
          <w:p w14:paraId="79ECD62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6 808,7</w:t>
            </w:r>
          </w:p>
        </w:tc>
        <w:tc>
          <w:tcPr>
            <w:tcW w:w="1070" w:type="dxa"/>
            <w:tcBorders>
              <w:top w:val="nil"/>
              <w:left w:val="single" w:sz="8" w:space="0" w:color="000000"/>
              <w:bottom w:val="single" w:sz="4" w:space="0" w:color="000000"/>
              <w:right w:val="single" w:sz="4" w:space="0" w:color="000000"/>
            </w:tcBorders>
            <w:vAlign w:val="center"/>
          </w:tcPr>
          <w:p w14:paraId="0DE1BE7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314,8</w:t>
            </w:r>
          </w:p>
        </w:tc>
        <w:tc>
          <w:tcPr>
            <w:tcW w:w="1064" w:type="dxa"/>
            <w:tcBorders>
              <w:top w:val="nil"/>
              <w:left w:val="nil"/>
              <w:bottom w:val="single" w:sz="4" w:space="0" w:color="000000"/>
              <w:right w:val="single" w:sz="4" w:space="0" w:color="000000"/>
            </w:tcBorders>
            <w:vAlign w:val="center"/>
          </w:tcPr>
          <w:p w14:paraId="28558D2A"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777,5</w:t>
            </w:r>
          </w:p>
        </w:tc>
        <w:tc>
          <w:tcPr>
            <w:tcW w:w="1200" w:type="dxa"/>
            <w:tcBorders>
              <w:top w:val="nil"/>
              <w:left w:val="single" w:sz="8" w:space="0" w:color="000000"/>
              <w:bottom w:val="single" w:sz="4" w:space="0" w:color="000000"/>
              <w:right w:val="single" w:sz="4" w:space="0" w:color="000000"/>
            </w:tcBorders>
            <w:vAlign w:val="center"/>
          </w:tcPr>
          <w:p w14:paraId="7515503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75,6</w:t>
            </w:r>
          </w:p>
        </w:tc>
        <w:tc>
          <w:tcPr>
            <w:tcW w:w="1196" w:type="dxa"/>
            <w:tcBorders>
              <w:top w:val="nil"/>
              <w:left w:val="nil"/>
              <w:bottom w:val="single" w:sz="4" w:space="0" w:color="000000"/>
              <w:right w:val="single" w:sz="4" w:space="0" w:color="000000"/>
            </w:tcBorders>
            <w:vAlign w:val="center"/>
          </w:tcPr>
          <w:p w14:paraId="4DB3EEA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0AD85DC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4,56</w:t>
            </w:r>
          </w:p>
        </w:tc>
      </w:tr>
      <w:tr w:rsidR="00C82386" w14:paraId="607D2EA5"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1B4CF6B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2016</w:t>
            </w:r>
          </w:p>
        </w:tc>
        <w:tc>
          <w:tcPr>
            <w:tcW w:w="1474" w:type="dxa"/>
            <w:tcBorders>
              <w:top w:val="single" w:sz="4" w:space="0" w:color="000000"/>
              <w:left w:val="single" w:sz="4" w:space="0" w:color="000000"/>
              <w:bottom w:val="single" w:sz="4" w:space="0" w:color="000000"/>
              <w:right w:val="single" w:sz="4" w:space="0" w:color="000000"/>
            </w:tcBorders>
            <w:vAlign w:val="center"/>
          </w:tcPr>
          <w:p w14:paraId="72A264A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40 142</w:t>
            </w:r>
          </w:p>
        </w:tc>
        <w:tc>
          <w:tcPr>
            <w:tcW w:w="1606" w:type="dxa"/>
            <w:tcBorders>
              <w:top w:val="nil"/>
              <w:left w:val="nil"/>
              <w:bottom w:val="single" w:sz="4" w:space="0" w:color="000000"/>
              <w:right w:val="single" w:sz="4" w:space="0" w:color="000000"/>
            </w:tcBorders>
            <w:vAlign w:val="center"/>
          </w:tcPr>
          <w:p w14:paraId="5AFC837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8 677,9</w:t>
            </w:r>
          </w:p>
        </w:tc>
        <w:tc>
          <w:tcPr>
            <w:tcW w:w="1070" w:type="dxa"/>
            <w:tcBorders>
              <w:top w:val="nil"/>
              <w:left w:val="single" w:sz="8" w:space="0" w:color="000000"/>
              <w:bottom w:val="single" w:sz="4" w:space="0" w:color="000000"/>
              <w:right w:val="single" w:sz="4" w:space="0" w:color="000000"/>
            </w:tcBorders>
            <w:vAlign w:val="center"/>
          </w:tcPr>
          <w:p w14:paraId="244CE8AA"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334,3</w:t>
            </w:r>
          </w:p>
        </w:tc>
        <w:tc>
          <w:tcPr>
            <w:tcW w:w="1064" w:type="dxa"/>
            <w:tcBorders>
              <w:top w:val="nil"/>
              <w:left w:val="nil"/>
              <w:bottom w:val="single" w:sz="4" w:space="0" w:color="000000"/>
              <w:right w:val="single" w:sz="4" w:space="0" w:color="000000"/>
            </w:tcBorders>
            <w:vAlign w:val="center"/>
          </w:tcPr>
          <w:p w14:paraId="3586999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791,6</w:t>
            </w:r>
          </w:p>
        </w:tc>
        <w:tc>
          <w:tcPr>
            <w:tcW w:w="1200" w:type="dxa"/>
            <w:tcBorders>
              <w:top w:val="nil"/>
              <w:left w:val="single" w:sz="8" w:space="0" w:color="000000"/>
              <w:bottom w:val="single" w:sz="4" w:space="0" w:color="000000"/>
              <w:right w:val="single" w:sz="4" w:space="0" w:color="000000"/>
            </w:tcBorders>
            <w:vAlign w:val="center"/>
          </w:tcPr>
          <w:p w14:paraId="07BE71C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188,5</w:t>
            </w:r>
          </w:p>
        </w:tc>
        <w:tc>
          <w:tcPr>
            <w:tcW w:w="1196" w:type="dxa"/>
            <w:tcBorders>
              <w:top w:val="nil"/>
              <w:left w:val="nil"/>
              <w:bottom w:val="single" w:sz="4" w:space="0" w:color="000000"/>
              <w:right w:val="single" w:sz="4" w:space="0" w:color="000000"/>
            </w:tcBorders>
            <w:vAlign w:val="center"/>
          </w:tcPr>
          <w:p w14:paraId="301E81F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1D6C581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C82386" w14:paraId="12758CA7" w14:textId="77777777">
        <w:trPr>
          <w:trHeight w:val="227"/>
        </w:trPr>
        <w:tc>
          <w:tcPr>
            <w:tcW w:w="769" w:type="dxa"/>
            <w:tcBorders>
              <w:top w:val="nil"/>
              <w:left w:val="single" w:sz="8" w:space="0" w:color="000000"/>
              <w:bottom w:val="single" w:sz="4" w:space="0" w:color="000000"/>
              <w:right w:val="single" w:sz="4" w:space="0" w:color="000000"/>
            </w:tcBorders>
            <w:vAlign w:val="center"/>
          </w:tcPr>
          <w:p w14:paraId="3D734F2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2017</w:t>
            </w:r>
          </w:p>
        </w:tc>
        <w:tc>
          <w:tcPr>
            <w:tcW w:w="1474" w:type="dxa"/>
            <w:tcBorders>
              <w:top w:val="single" w:sz="4" w:space="0" w:color="000000"/>
              <w:left w:val="single" w:sz="4" w:space="0" w:color="000000"/>
              <w:bottom w:val="single" w:sz="4" w:space="0" w:color="000000"/>
              <w:right w:val="single" w:sz="4" w:space="0" w:color="000000"/>
            </w:tcBorders>
            <w:vAlign w:val="center"/>
          </w:tcPr>
          <w:p w14:paraId="0BB1460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46 200</w:t>
            </w:r>
          </w:p>
        </w:tc>
        <w:tc>
          <w:tcPr>
            <w:tcW w:w="1606" w:type="dxa"/>
            <w:tcBorders>
              <w:top w:val="nil"/>
              <w:left w:val="nil"/>
              <w:bottom w:val="single" w:sz="4" w:space="0" w:color="000000"/>
              <w:right w:val="single" w:sz="4" w:space="0" w:color="000000"/>
            </w:tcBorders>
            <w:vAlign w:val="center"/>
          </w:tcPr>
          <w:p w14:paraId="2AD7EB09"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9 236,9</w:t>
            </w:r>
          </w:p>
        </w:tc>
        <w:tc>
          <w:tcPr>
            <w:tcW w:w="1070" w:type="dxa"/>
            <w:tcBorders>
              <w:top w:val="nil"/>
              <w:left w:val="single" w:sz="8" w:space="0" w:color="000000"/>
              <w:bottom w:val="single" w:sz="4" w:space="0" w:color="000000"/>
              <w:right w:val="single" w:sz="4" w:space="0" w:color="000000"/>
            </w:tcBorders>
            <w:vAlign w:val="center"/>
          </w:tcPr>
          <w:p w14:paraId="38607B1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353,4</w:t>
            </w:r>
          </w:p>
        </w:tc>
        <w:tc>
          <w:tcPr>
            <w:tcW w:w="1064" w:type="dxa"/>
            <w:tcBorders>
              <w:top w:val="nil"/>
              <w:left w:val="nil"/>
              <w:bottom w:val="single" w:sz="4" w:space="0" w:color="000000"/>
              <w:right w:val="single" w:sz="4" w:space="0" w:color="000000"/>
            </w:tcBorders>
            <w:vAlign w:val="center"/>
          </w:tcPr>
          <w:p w14:paraId="685F958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619,7</w:t>
            </w:r>
          </w:p>
        </w:tc>
        <w:tc>
          <w:tcPr>
            <w:tcW w:w="1200" w:type="dxa"/>
            <w:tcBorders>
              <w:top w:val="nil"/>
              <w:left w:val="single" w:sz="8" w:space="0" w:color="000000"/>
              <w:bottom w:val="single" w:sz="4" w:space="0" w:color="000000"/>
              <w:right w:val="single" w:sz="4" w:space="0" w:color="000000"/>
            </w:tcBorders>
            <w:vAlign w:val="center"/>
          </w:tcPr>
          <w:p w14:paraId="35F8F46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410,1</w:t>
            </w:r>
          </w:p>
        </w:tc>
        <w:tc>
          <w:tcPr>
            <w:tcW w:w="1196" w:type="dxa"/>
            <w:tcBorders>
              <w:top w:val="nil"/>
              <w:left w:val="nil"/>
              <w:bottom w:val="single" w:sz="4" w:space="0" w:color="000000"/>
              <w:right w:val="single" w:sz="4" w:space="0" w:color="000000"/>
            </w:tcBorders>
            <w:vAlign w:val="center"/>
          </w:tcPr>
          <w:p w14:paraId="2AC5C7E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nil"/>
              <w:bottom w:val="single" w:sz="4" w:space="0" w:color="000000"/>
              <w:right w:val="single" w:sz="4" w:space="0" w:color="000000"/>
            </w:tcBorders>
            <w:vAlign w:val="center"/>
          </w:tcPr>
          <w:p w14:paraId="0092954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C82386" w14:paraId="4593D787" w14:textId="77777777">
        <w:trPr>
          <w:trHeight w:val="227"/>
        </w:trPr>
        <w:tc>
          <w:tcPr>
            <w:tcW w:w="769" w:type="dxa"/>
            <w:tcBorders>
              <w:top w:val="single" w:sz="4" w:space="0" w:color="000000"/>
              <w:left w:val="single" w:sz="4" w:space="0" w:color="000000"/>
              <w:bottom w:val="single" w:sz="4" w:space="0" w:color="000000"/>
              <w:right w:val="single" w:sz="4" w:space="0" w:color="000000"/>
            </w:tcBorders>
            <w:vAlign w:val="center"/>
          </w:tcPr>
          <w:p w14:paraId="42A19D9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2018</w:t>
            </w:r>
          </w:p>
        </w:tc>
        <w:tc>
          <w:tcPr>
            <w:tcW w:w="1474" w:type="dxa"/>
            <w:tcBorders>
              <w:top w:val="single" w:sz="4" w:space="0" w:color="000000"/>
              <w:left w:val="single" w:sz="4" w:space="0" w:color="000000"/>
              <w:bottom w:val="single" w:sz="4" w:space="0" w:color="000000"/>
              <w:right w:val="single" w:sz="4" w:space="0" w:color="000000"/>
            </w:tcBorders>
            <w:vAlign w:val="center"/>
          </w:tcPr>
          <w:p w14:paraId="4D2679D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42 650</w:t>
            </w:r>
          </w:p>
        </w:tc>
        <w:tc>
          <w:tcPr>
            <w:tcW w:w="1606" w:type="dxa"/>
            <w:tcBorders>
              <w:top w:val="single" w:sz="4" w:space="0" w:color="000000"/>
              <w:left w:val="single" w:sz="4" w:space="0" w:color="000000"/>
              <w:bottom w:val="single" w:sz="4" w:space="0" w:color="000000"/>
              <w:right w:val="single" w:sz="4" w:space="0" w:color="000000"/>
            </w:tcBorders>
            <w:vAlign w:val="center"/>
          </w:tcPr>
          <w:p w14:paraId="581BF049"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9 406,4</w:t>
            </w:r>
          </w:p>
        </w:tc>
        <w:tc>
          <w:tcPr>
            <w:tcW w:w="1070" w:type="dxa"/>
            <w:tcBorders>
              <w:top w:val="single" w:sz="4" w:space="0" w:color="000000"/>
              <w:left w:val="single" w:sz="4" w:space="0" w:color="000000"/>
              <w:bottom w:val="single" w:sz="4" w:space="0" w:color="000000"/>
              <w:right w:val="single" w:sz="4" w:space="0" w:color="000000"/>
            </w:tcBorders>
            <w:vAlign w:val="center"/>
          </w:tcPr>
          <w:p w14:paraId="42DE048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311,1</w:t>
            </w:r>
          </w:p>
        </w:tc>
        <w:tc>
          <w:tcPr>
            <w:tcW w:w="1064" w:type="dxa"/>
            <w:tcBorders>
              <w:top w:val="single" w:sz="4" w:space="0" w:color="000000"/>
              <w:left w:val="single" w:sz="4" w:space="0" w:color="000000"/>
              <w:bottom w:val="single" w:sz="4" w:space="0" w:color="000000"/>
              <w:right w:val="single" w:sz="4" w:space="0" w:color="000000"/>
            </w:tcBorders>
            <w:vAlign w:val="center"/>
          </w:tcPr>
          <w:p w14:paraId="5A615B8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608,0</w:t>
            </w:r>
          </w:p>
        </w:tc>
        <w:tc>
          <w:tcPr>
            <w:tcW w:w="1200" w:type="dxa"/>
            <w:tcBorders>
              <w:top w:val="single" w:sz="4" w:space="0" w:color="000000"/>
              <w:left w:val="single" w:sz="4" w:space="0" w:color="000000"/>
              <w:bottom w:val="single" w:sz="4" w:space="0" w:color="000000"/>
              <w:right w:val="single" w:sz="4" w:space="0" w:color="000000"/>
            </w:tcBorders>
            <w:vAlign w:val="center"/>
          </w:tcPr>
          <w:p w14:paraId="64004C3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38,8</w:t>
            </w:r>
          </w:p>
        </w:tc>
        <w:tc>
          <w:tcPr>
            <w:tcW w:w="1196" w:type="dxa"/>
            <w:tcBorders>
              <w:top w:val="single" w:sz="4" w:space="0" w:color="000000"/>
              <w:left w:val="single" w:sz="4" w:space="0" w:color="000000"/>
              <w:bottom w:val="single" w:sz="4" w:space="0" w:color="000000"/>
              <w:right w:val="single" w:sz="4" w:space="0" w:color="000000"/>
            </w:tcBorders>
            <w:vAlign w:val="center"/>
          </w:tcPr>
          <w:p w14:paraId="7A799AF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single" w:sz="4" w:space="0" w:color="000000"/>
              <w:bottom w:val="single" w:sz="4" w:space="0" w:color="000000"/>
              <w:right w:val="single" w:sz="4" w:space="0" w:color="000000"/>
            </w:tcBorders>
            <w:vAlign w:val="center"/>
          </w:tcPr>
          <w:p w14:paraId="263B21F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98,8</w:t>
            </w:r>
          </w:p>
        </w:tc>
      </w:tr>
      <w:tr w:rsidR="00C82386" w14:paraId="0EF842F4" w14:textId="77777777">
        <w:trPr>
          <w:trHeight w:val="227"/>
        </w:trPr>
        <w:tc>
          <w:tcPr>
            <w:tcW w:w="769" w:type="dxa"/>
            <w:tcBorders>
              <w:top w:val="single" w:sz="4" w:space="0" w:color="000000"/>
              <w:left w:val="single" w:sz="4" w:space="0" w:color="000000"/>
              <w:bottom w:val="single" w:sz="4" w:space="0" w:color="000000"/>
              <w:right w:val="single" w:sz="4" w:space="0" w:color="000000"/>
            </w:tcBorders>
            <w:vAlign w:val="center"/>
          </w:tcPr>
          <w:p w14:paraId="53C0301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2019</w:t>
            </w:r>
          </w:p>
        </w:tc>
        <w:tc>
          <w:tcPr>
            <w:tcW w:w="1474" w:type="dxa"/>
            <w:tcBorders>
              <w:top w:val="single" w:sz="4" w:space="0" w:color="000000"/>
              <w:left w:val="single" w:sz="4" w:space="0" w:color="000000"/>
              <w:bottom w:val="single" w:sz="4" w:space="0" w:color="000000"/>
              <w:right w:val="single" w:sz="4" w:space="0" w:color="000000"/>
            </w:tcBorders>
            <w:vAlign w:val="center"/>
          </w:tcPr>
          <w:p w14:paraId="0F02626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39 943</w:t>
            </w:r>
          </w:p>
        </w:tc>
        <w:tc>
          <w:tcPr>
            <w:tcW w:w="1606" w:type="dxa"/>
            <w:tcBorders>
              <w:top w:val="single" w:sz="4" w:space="0" w:color="000000"/>
              <w:left w:val="single" w:sz="4" w:space="0" w:color="000000"/>
              <w:bottom w:val="single" w:sz="4" w:space="0" w:color="000000"/>
              <w:right w:val="single" w:sz="4" w:space="0" w:color="000000"/>
            </w:tcBorders>
            <w:vAlign w:val="center"/>
          </w:tcPr>
          <w:p w14:paraId="69853CF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9 367,6</w:t>
            </w:r>
          </w:p>
        </w:tc>
        <w:tc>
          <w:tcPr>
            <w:tcW w:w="1070" w:type="dxa"/>
            <w:tcBorders>
              <w:top w:val="single" w:sz="4" w:space="0" w:color="000000"/>
              <w:left w:val="single" w:sz="4" w:space="0" w:color="000000"/>
              <w:bottom w:val="single" w:sz="4" w:space="0" w:color="000000"/>
              <w:right w:val="single" w:sz="4" w:space="0" w:color="000000"/>
            </w:tcBorders>
            <w:vAlign w:val="center"/>
          </w:tcPr>
          <w:p w14:paraId="3781ABA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318,0</w:t>
            </w:r>
          </w:p>
        </w:tc>
        <w:tc>
          <w:tcPr>
            <w:tcW w:w="1064" w:type="dxa"/>
            <w:tcBorders>
              <w:top w:val="single" w:sz="4" w:space="0" w:color="000000"/>
              <w:left w:val="single" w:sz="4" w:space="0" w:color="000000"/>
              <w:bottom w:val="single" w:sz="4" w:space="0" w:color="000000"/>
              <w:right w:val="single" w:sz="4" w:space="0" w:color="000000"/>
            </w:tcBorders>
            <w:vAlign w:val="center"/>
          </w:tcPr>
          <w:p w14:paraId="04A1DA5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610,0</w:t>
            </w:r>
          </w:p>
        </w:tc>
        <w:tc>
          <w:tcPr>
            <w:tcW w:w="1200" w:type="dxa"/>
            <w:tcBorders>
              <w:top w:val="single" w:sz="4" w:space="0" w:color="000000"/>
              <w:left w:val="single" w:sz="4" w:space="0" w:color="000000"/>
              <w:bottom w:val="single" w:sz="4" w:space="0" w:color="000000"/>
              <w:right w:val="single" w:sz="4" w:space="0" w:color="000000"/>
            </w:tcBorders>
            <w:vAlign w:val="center"/>
          </w:tcPr>
          <w:p w14:paraId="504109F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85,3</w:t>
            </w:r>
          </w:p>
        </w:tc>
        <w:tc>
          <w:tcPr>
            <w:tcW w:w="1196" w:type="dxa"/>
            <w:tcBorders>
              <w:top w:val="single" w:sz="4" w:space="0" w:color="000000"/>
              <w:left w:val="single" w:sz="4" w:space="0" w:color="000000"/>
              <w:bottom w:val="single" w:sz="4" w:space="0" w:color="000000"/>
              <w:right w:val="single" w:sz="4" w:space="0" w:color="000000"/>
            </w:tcBorders>
            <w:vAlign w:val="center"/>
          </w:tcPr>
          <w:p w14:paraId="6A2795C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16,7</w:t>
            </w:r>
          </w:p>
        </w:tc>
        <w:tc>
          <w:tcPr>
            <w:tcW w:w="1191" w:type="dxa"/>
            <w:tcBorders>
              <w:top w:val="single" w:sz="4" w:space="0" w:color="000000"/>
              <w:left w:val="single" w:sz="4" w:space="0" w:color="000000"/>
              <w:bottom w:val="single" w:sz="4" w:space="0" w:color="000000"/>
              <w:right w:val="single" w:sz="4" w:space="0" w:color="000000"/>
            </w:tcBorders>
            <w:vAlign w:val="center"/>
          </w:tcPr>
          <w:p w14:paraId="0BA9DFB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269,64</w:t>
            </w:r>
          </w:p>
        </w:tc>
      </w:tr>
      <w:tr w:rsidR="00C82386" w14:paraId="66F0CD2C" w14:textId="77777777">
        <w:trPr>
          <w:trHeight w:val="227"/>
        </w:trPr>
        <w:tc>
          <w:tcPr>
            <w:tcW w:w="769" w:type="dxa"/>
            <w:tcBorders>
              <w:top w:val="single" w:sz="4" w:space="0" w:color="000000"/>
              <w:left w:val="single" w:sz="4" w:space="0" w:color="000000"/>
              <w:bottom w:val="single" w:sz="4" w:space="0" w:color="000000"/>
              <w:right w:val="single" w:sz="4" w:space="0" w:color="000000"/>
            </w:tcBorders>
            <w:vAlign w:val="center"/>
          </w:tcPr>
          <w:p w14:paraId="652D4B7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2020</w:t>
            </w:r>
          </w:p>
        </w:tc>
        <w:tc>
          <w:tcPr>
            <w:tcW w:w="14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47F8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32 794</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E18F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10 355,9</w:t>
            </w:r>
          </w:p>
        </w:tc>
        <w:tc>
          <w:tcPr>
            <w:tcW w:w="1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0A64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257,6</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7D6D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756,9</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B041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57,2</w:t>
            </w:r>
          </w:p>
        </w:tc>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A14A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7C44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728,86</w:t>
            </w:r>
          </w:p>
        </w:tc>
      </w:tr>
    </w:tbl>
    <w:p w14:paraId="3EFC0FD7" w14:textId="77777777" w:rsidR="00C82386" w:rsidRDefault="00C82386">
      <w:pPr>
        <w:spacing w:after="0"/>
        <w:ind w:firstLine="709"/>
        <w:jc w:val="both"/>
        <w:rPr>
          <w:rFonts w:ascii="Times New Roman" w:eastAsia="Times New Roman" w:hAnsi="Times New Roman" w:cs="Times New Roman"/>
          <w:sz w:val="24"/>
          <w:szCs w:val="24"/>
          <w:highlight w:val="yellow"/>
        </w:rPr>
      </w:pPr>
    </w:p>
    <w:p w14:paraId="66F8726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прикладі базового 2010 року представлено частки споживання енергоресурсів в муніципальних будівлях</w:t>
      </w:r>
      <w:r w:rsidR="00684375">
        <w:rPr>
          <w:rFonts w:ascii="Times New Roman" w:eastAsia="Times New Roman" w:hAnsi="Times New Roman" w:cs="Times New Roman"/>
          <w:sz w:val="24"/>
          <w:szCs w:val="24"/>
        </w:rPr>
        <w:t xml:space="preserve"> (без врахування комунальних підприємств)</w:t>
      </w:r>
      <w:r>
        <w:rPr>
          <w:rFonts w:ascii="Times New Roman" w:eastAsia="Times New Roman" w:hAnsi="Times New Roman" w:cs="Times New Roman"/>
          <w:sz w:val="24"/>
          <w:szCs w:val="24"/>
        </w:rPr>
        <w:t xml:space="preserve"> (Рис. 3.8.). </w:t>
      </w:r>
    </w:p>
    <w:p w14:paraId="644B0987" w14:textId="77777777" w:rsidR="00C82386" w:rsidRDefault="00E66F64">
      <w:pPr>
        <w:spacing w:after="0"/>
        <w:ind w:firstLine="709"/>
        <w:jc w:val="both"/>
        <w:rPr>
          <w:rFonts w:ascii="Times New Roman" w:eastAsia="Times New Roman" w:hAnsi="Times New Roman" w:cs="Times New Roman"/>
          <w:sz w:val="24"/>
          <w:szCs w:val="24"/>
        </w:rPr>
      </w:pPr>
      <w:r>
        <w:rPr>
          <w:noProof/>
          <w:lang w:val="ru-RU"/>
        </w:rPr>
        <w:drawing>
          <wp:inline distT="0" distB="0" distL="0" distR="0" wp14:anchorId="72DAFF0D" wp14:editId="56777C13">
            <wp:extent cx="4584700" cy="2755900"/>
            <wp:effectExtent l="0" t="0" r="0" b="0"/>
            <wp:docPr id="2144251922" name="Диаграмма 21442519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DB96DE4" w14:textId="77777777" w:rsidR="00C82386" w:rsidRDefault="00E66F64">
      <w:pPr>
        <w:spacing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 3.8. Частки споживання енергоресурсів у муніципальних установах станом на 2010 рік.</w:t>
      </w:r>
    </w:p>
    <w:p w14:paraId="3DB9823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порівняння на рисунку 3.9. представлено частки споживання енергоресурсів у муніципальних установах у 2020 році.</w:t>
      </w:r>
    </w:p>
    <w:p w14:paraId="10C66A21" w14:textId="77777777" w:rsidR="00C82386" w:rsidRDefault="00E66F64">
      <w:pPr>
        <w:spacing w:after="0"/>
        <w:jc w:val="center"/>
        <w:rPr>
          <w:rFonts w:ascii="Times New Roman" w:eastAsia="Times New Roman" w:hAnsi="Times New Roman" w:cs="Times New Roman"/>
          <w:sz w:val="24"/>
          <w:szCs w:val="24"/>
        </w:rPr>
      </w:pPr>
      <w:r>
        <w:rPr>
          <w:noProof/>
          <w:lang w:val="ru-RU"/>
        </w:rPr>
        <w:lastRenderedPageBreak/>
        <w:drawing>
          <wp:inline distT="0" distB="0" distL="0" distR="0" wp14:anchorId="40DFC389" wp14:editId="635D486B">
            <wp:extent cx="4597612" cy="2755900"/>
            <wp:effectExtent l="0" t="0" r="0" b="0"/>
            <wp:docPr id="2144251923" name="Диаграмма 21442519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6E23328" w14:textId="77777777" w:rsidR="00C82386" w:rsidRDefault="00E66F64">
      <w:pPr>
        <w:spacing w:after="0"/>
        <w:ind w:firstLine="709"/>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3.9. Частки споживання енергоресурсів у муніципальних установах станом на 2020 рік</w:t>
      </w:r>
    </w:p>
    <w:p w14:paraId="4ED13DB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Збільшилася доля використання електроенергії. Але, як і раніше частка споживання тепла (та енергоресурсів на опалення) остається найзначнішою серед інших в розподілі загального обсягу енергоспоживання. Тому під час планування варто приділяти увагу енергоефективним заходам, що спрямовані на зменшення потреби на опалення.</w:t>
      </w:r>
    </w:p>
    <w:p w14:paraId="4C39EB4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Обсяги споживання тепла від централізованої системи теплопостачання в муніципальних будівлях в 2010-2020 рр. наведені на рисунку 3.10.</w:t>
      </w:r>
    </w:p>
    <w:p w14:paraId="6502D88E" w14:textId="77777777" w:rsidR="00C82386" w:rsidRDefault="00E66F64">
      <w:pPr>
        <w:spacing w:after="0"/>
        <w:jc w:val="center"/>
        <w:rPr>
          <w:rFonts w:ascii="Times New Roman" w:eastAsia="Times New Roman" w:hAnsi="Times New Roman" w:cs="Times New Roman"/>
          <w:sz w:val="24"/>
          <w:szCs w:val="24"/>
        </w:rPr>
      </w:pPr>
      <w:r>
        <w:rPr>
          <w:noProof/>
          <w:lang w:val="ru-RU"/>
        </w:rPr>
        <w:drawing>
          <wp:inline distT="0" distB="0" distL="0" distR="0" wp14:anchorId="0CB00F0F" wp14:editId="593E7249">
            <wp:extent cx="4635500" cy="2971800"/>
            <wp:effectExtent l="0" t="0" r="12700" b="0"/>
            <wp:docPr id="2144251924" name="Диаграмма 21442519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93AA56A" w14:textId="77777777" w:rsidR="00C82386" w:rsidRDefault="00E66F64">
      <w:pPr>
        <w:pBdr>
          <w:top w:val="nil"/>
          <w:left w:val="nil"/>
          <w:bottom w:val="nil"/>
          <w:right w:val="nil"/>
          <w:between w:val="nil"/>
        </w:pBdr>
        <w:spacing w:after="0"/>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 3.10. Обсяги споживання тепла в муніципальних будівлях протягом періоду 2010-2020 рр.</w:t>
      </w:r>
    </w:p>
    <w:p w14:paraId="19E8A79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 можна побачити, обсяги споживання тепла мають нерівномірний характер. Такі зміни пояснюються як зменшенням періоду опалення по кількості днів опалення, збільшенням середніх зовнішніх температур в період опалення, та впливом реалізації енергоефективних заходів. У 2010 році процес термомодернізації будівель муніципальних установ ще не розпочався. Станом на кінець 2020 року у громаді термомодернізовані 28 будівель за рахунок коштів бюджету громади та в рамках співпраці з міжнародними організаціями (NEFCO, SECO, GIZ).</w:t>
      </w:r>
    </w:p>
    <w:p w14:paraId="0D71AAF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Обсяги споживання електроенергії в муніципальних будівлях за 2010-2020 рр. показані на рисунку 3.11.</w:t>
      </w:r>
    </w:p>
    <w:p w14:paraId="5CB8832C" w14:textId="77777777" w:rsidR="00C82386" w:rsidRDefault="00E66F64">
      <w:pPr>
        <w:spacing w:after="0"/>
        <w:jc w:val="center"/>
        <w:rPr>
          <w:rFonts w:ascii="Times New Roman" w:eastAsia="Times New Roman" w:hAnsi="Times New Roman" w:cs="Times New Roman"/>
          <w:sz w:val="24"/>
          <w:szCs w:val="24"/>
        </w:rPr>
      </w:pPr>
      <w:r>
        <w:rPr>
          <w:noProof/>
          <w:lang w:val="ru-RU"/>
        </w:rPr>
        <w:drawing>
          <wp:inline distT="0" distB="0" distL="0" distR="0" wp14:anchorId="4BB3516E" wp14:editId="3947CCEA">
            <wp:extent cx="4635500" cy="2971800"/>
            <wp:effectExtent l="0" t="0" r="12700" b="0"/>
            <wp:docPr id="2144251925" name="Диаграмма 21442519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D8D06BA"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3.11. Обсяги споживання електроенергії в муніципальних будівлях протягом періоду 2010-2020 років.</w:t>
      </w:r>
    </w:p>
    <w:p w14:paraId="1647DBF3" w14:textId="77777777" w:rsidR="00C82386" w:rsidRDefault="00E66F64">
      <w:pPr>
        <w:pBdr>
          <w:top w:val="nil"/>
          <w:left w:val="nil"/>
          <w:bottom w:val="nil"/>
          <w:right w:val="nil"/>
          <w:between w:val="nil"/>
        </w:pBdr>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Споживання електроенергії у муніципальних закладах зросло починаючи з 2016 року, що пов’язано з заміною кухонного обладнання, яке використовує природний газ, на електричне, а також збільшенням кількості енергоспоживаючого обладнання – комп’ютерної технік</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 xml:space="preserve">, мультимедійного обладнання та приладами для </w:t>
      </w:r>
      <w:r>
        <w:rPr>
          <w:rFonts w:ascii="Times New Roman" w:eastAsia="Times New Roman" w:hAnsi="Times New Roman" w:cs="Times New Roman"/>
          <w:sz w:val="24"/>
          <w:szCs w:val="24"/>
        </w:rPr>
        <w:t>опалення</w:t>
      </w:r>
      <w:r>
        <w:rPr>
          <w:rFonts w:ascii="Times New Roman" w:eastAsia="Times New Roman" w:hAnsi="Times New Roman" w:cs="Times New Roman"/>
          <w:color w:val="000000"/>
          <w:sz w:val="24"/>
          <w:szCs w:val="24"/>
        </w:rPr>
        <w:t xml:space="preserve"> тощо.</w:t>
      </w:r>
    </w:p>
    <w:p w14:paraId="5DCDAC9A" w14:textId="77777777" w:rsidR="00C82386" w:rsidRDefault="00E66F64">
      <w:pPr>
        <w:keepNext/>
        <w:keepLines/>
        <w:numPr>
          <w:ilvl w:val="0"/>
          <w:numId w:val="54"/>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31" w:name="_heading=h.147n2zr" w:colFirst="0" w:colLast="0"/>
      <w:bookmarkEnd w:id="31"/>
      <w:r>
        <w:rPr>
          <w:rFonts w:ascii="Times New Roman" w:eastAsia="Times New Roman" w:hAnsi="Times New Roman" w:cs="Times New Roman"/>
          <w:b/>
          <w:color w:val="000000"/>
          <w:sz w:val="24"/>
          <w:szCs w:val="24"/>
        </w:rPr>
        <w:t>Житловий сектор</w:t>
      </w:r>
    </w:p>
    <w:p w14:paraId="36637A0B"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2010 рік в комунальній власності міста перебувало 1525 житлових будинків загальною площею понад 3,0 млн.м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(переважно то багатоповерхові будинки). В житлових будинках комунальної власності міста проживало понад 151,8 тис. чол., в будинках житлово-будівельних кооперативів понад 33,0 тис. чол., в будинках відомчої належності понад 26,0 тис. чол., в будинках приватної власності понад 64,2 тис. чол. </w:t>
      </w:r>
    </w:p>
    <w:p w14:paraId="214DD9A1"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2010 році утримання та експлуатація житлового фонду міської ради здійснювалося 14 КВЖРЕП за рахунок коштів, які надходять від споживачів за утримання будинків та прибудинкових територій. Станом на кінець 2010 року в місті було зареєстровано 42 ОСББ.</w:t>
      </w:r>
    </w:p>
    <w:p w14:paraId="42A2C2F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Житловий фонд багатоквартирних будинків станом на 1 січня 2020 року налічує 1540 будинків, кількість приватних будинків близько 13 960. Загальна площа житлового фонду склала 5399 тис.м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Форма управління житловими будинками у порівнянні з  2010 роком сильно змінилася. В громади функціонують 28 управляючі компанії, які здійснюють управління 931 житловим багатоквартирним будинком. Створено 354 об’єднання співвласників багатоквартирних будинків (далі - ОСББ) у 417 житлових будинках. </w:t>
      </w:r>
    </w:p>
    <w:p w14:paraId="791E5086" w14:textId="77777777" w:rsidR="00C82386" w:rsidRDefault="00E66F64" w:rsidP="002A5430">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даними статистичного збірника «Житомир» 2019 наведено дані стосовно загальної площі житлового фонду та кількості житлових будинків у таблиці 3.12.</w:t>
      </w:r>
    </w:p>
    <w:p w14:paraId="1B0419DF"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3.12.</w:t>
      </w:r>
    </w:p>
    <w:p w14:paraId="076136CA"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житлового фонду м. Житомир у період 2005-2019 рр.</w:t>
      </w:r>
    </w:p>
    <w:tbl>
      <w:tblPr>
        <w:tblStyle w:val="affff4"/>
        <w:tblW w:w="9639"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8"/>
        <w:gridCol w:w="794"/>
        <w:gridCol w:w="794"/>
        <w:gridCol w:w="794"/>
        <w:gridCol w:w="794"/>
        <w:gridCol w:w="794"/>
        <w:gridCol w:w="794"/>
        <w:gridCol w:w="794"/>
        <w:gridCol w:w="823"/>
      </w:tblGrid>
      <w:tr w:rsidR="00C82386" w14:paraId="4871ADF7" w14:textId="77777777">
        <w:trPr>
          <w:trHeight w:val="300"/>
        </w:trPr>
        <w:tc>
          <w:tcPr>
            <w:tcW w:w="3259" w:type="dxa"/>
            <w:vMerge w:val="restart"/>
            <w:shd w:val="clear" w:color="auto" w:fill="auto"/>
            <w:vAlign w:val="center"/>
          </w:tcPr>
          <w:p w14:paraId="377F8E64"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Показник</w:t>
            </w:r>
          </w:p>
        </w:tc>
        <w:tc>
          <w:tcPr>
            <w:tcW w:w="6381" w:type="dxa"/>
            <w:gridSpan w:val="8"/>
            <w:shd w:val="clear" w:color="auto" w:fill="auto"/>
            <w:vAlign w:val="center"/>
          </w:tcPr>
          <w:p w14:paraId="33867635"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Роки</w:t>
            </w:r>
          </w:p>
        </w:tc>
      </w:tr>
      <w:tr w:rsidR="00C82386" w14:paraId="790D0714" w14:textId="77777777">
        <w:trPr>
          <w:trHeight w:val="300"/>
        </w:trPr>
        <w:tc>
          <w:tcPr>
            <w:tcW w:w="3259" w:type="dxa"/>
            <w:vMerge/>
            <w:shd w:val="clear" w:color="auto" w:fill="auto"/>
            <w:vAlign w:val="center"/>
          </w:tcPr>
          <w:p w14:paraId="4C2BA6F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794" w:type="dxa"/>
            <w:shd w:val="clear" w:color="auto" w:fill="auto"/>
            <w:vAlign w:val="center"/>
          </w:tcPr>
          <w:p w14:paraId="41B1EB9C"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2005</w:t>
            </w:r>
          </w:p>
        </w:tc>
        <w:tc>
          <w:tcPr>
            <w:tcW w:w="794" w:type="dxa"/>
            <w:shd w:val="clear" w:color="auto" w:fill="auto"/>
            <w:vAlign w:val="center"/>
          </w:tcPr>
          <w:p w14:paraId="61A8A63F"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2010</w:t>
            </w:r>
          </w:p>
        </w:tc>
        <w:tc>
          <w:tcPr>
            <w:tcW w:w="794" w:type="dxa"/>
            <w:shd w:val="clear" w:color="auto" w:fill="auto"/>
            <w:vAlign w:val="center"/>
          </w:tcPr>
          <w:p w14:paraId="1DFEB247"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2015</w:t>
            </w:r>
          </w:p>
        </w:tc>
        <w:tc>
          <w:tcPr>
            <w:tcW w:w="794" w:type="dxa"/>
            <w:shd w:val="clear" w:color="auto" w:fill="auto"/>
            <w:vAlign w:val="center"/>
          </w:tcPr>
          <w:p w14:paraId="4F0A1D24"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2016</w:t>
            </w:r>
          </w:p>
        </w:tc>
        <w:tc>
          <w:tcPr>
            <w:tcW w:w="794" w:type="dxa"/>
            <w:shd w:val="clear" w:color="auto" w:fill="auto"/>
            <w:vAlign w:val="center"/>
          </w:tcPr>
          <w:p w14:paraId="520CD5A1"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2017</w:t>
            </w:r>
          </w:p>
        </w:tc>
        <w:tc>
          <w:tcPr>
            <w:tcW w:w="794" w:type="dxa"/>
            <w:shd w:val="clear" w:color="auto" w:fill="auto"/>
            <w:vAlign w:val="center"/>
          </w:tcPr>
          <w:p w14:paraId="516C5C60"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2018</w:t>
            </w:r>
          </w:p>
        </w:tc>
        <w:tc>
          <w:tcPr>
            <w:tcW w:w="794" w:type="dxa"/>
            <w:shd w:val="clear" w:color="auto" w:fill="auto"/>
            <w:vAlign w:val="center"/>
          </w:tcPr>
          <w:p w14:paraId="4520B560"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2019</w:t>
            </w:r>
          </w:p>
        </w:tc>
        <w:tc>
          <w:tcPr>
            <w:tcW w:w="823" w:type="dxa"/>
          </w:tcPr>
          <w:p w14:paraId="12DB104D" w14:textId="77777777" w:rsidR="00C82386" w:rsidRDefault="00E66F64">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2020</w:t>
            </w:r>
          </w:p>
        </w:tc>
      </w:tr>
      <w:tr w:rsidR="00C82386" w14:paraId="2C5A5048" w14:textId="77777777">
        <w:trPr>
          <w:trHeight w:val="300"/>
        </w:trPr>
        <w:tc>
          <w:tcPr>
            <w:tcW w:w="3259" w:type="dxa"/>
            <w:shd w:val="clear" w:color="auto" w:fill="auto"/>
            <w:vAlign w:val="center"/>
          </w:tcPr>
          <w:p w14:paraId="03D57172"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Загальна площа житлового фонду, м</w:t>
            </w:r>
            <w:r>
              <w:rPr>
                <w:rFonts w:ascii="Times New Roman" w:eastAsia="Times New Roman" w:hAnsi="Times New Roman" w:cs="Times New Roman"/>
                <w:color w:val="000000"/>
                <w:vertAlign w:val="superscript"/>
              </w:rPr>
              <w:t>2</w:t>
            </w:r>
          </w:p>
        </w:tc>
        <w:tc>
          <w:tcPr>
            <w:tcW w:w="794" w:type="dxa"/>
            <w:shd w:val="clear" w:color="auto" w:fill="auto"/>
            <w:vAlign w:val="center"/>
          </w:tcPr>
          <w:p w14:paraId="2E6DDA89"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5273</w:t>
            </w:r>
          </w:p>
        </w:tc>
        <w:tc>
          <w:tcPr>
            <w:tcW w:w="794" w:type="dxa"/>
            <w:shd w:val="clear" w:color="auto" w:fill="auto"/>
            <w:vAlign w:val="center"/>
          </w:tcPr>
          <w:p w14:paraId="4765957B"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5403</w:t>
            </w:r>
          </w:p>
        </w:tc>
        <w:tc>
          <w:tcPr>
            <w:tcW w:w="794" w:type="dxa"/>
            <w:shd w:val="clear" w:color="auto" w:fill="auto"/>
            <w:vAlign w:val="center"/>
          </w:tcPr>
          <w:p w14:paraId="1F24761D"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5389</w:t>
            </w:r>
          </w:p>
        </w:tc>
        <w:tc>
          <w:tcPr>
            <w:tcW w:w="794" w:type="dxa"/>
            <w:shd w:val="clear" w:color="auto" w:fill="auto"/>
            <w:vAlign w:val="center"/>
          </w:tcPr>
          <w:p w14:paraId="54D3F5A0"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5366</w:t>
            </w:r>
          </w:p>
        </w:tc>
        <w:tc>
          <w:tcPr>
            <w:tcW w:w="794" w:type="dxa"/>
            <w:shd w:val="clear" w:color="auto" w:fill="auto"/>
            <w:vAlign w:val="center"/>
          </w:tcPr>
          <w:p w14:paraId="6282D2B7"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5382</w:t>
            </w:r>
          </w:p>
        </w:tc>
        <w:tc>
          <w:tcPr>
            <w:tcW w:w="794" w:type="dxa"/>
            <w:shd w:val="clear" w:color="auto" w:fill="auto"/>
            <w:vAlign w:val="center"/>
          </w:tcPr>
          <w:p w14:paraId="4FDA9D48"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5402</w:t>
            </w:r>
          </w:p>
        </w:tc>
        <w:tc>
          <w:tcPr>
            <w:tcW w:w="794" w:type="dxa"/>
            <w:shd w:val="clear" w:color="auto" w:fill="auto"/>
            <w:vAlign w:val="center"/>
          </w:tcPr>
          <w:p w14:paraId="10D0B517"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5399</w:t>
            </w:r>
          </w:p>
        </w:tc>
        <w:tc>
          <w:tcPr>
            <w:tcW w:w="823" w:type="dxa"/>
            <w:shd w:val="clear" w:color="auto" w:fill="auto"/>
            <w:vAlign w:val="center"/>
          </w:tcPr>
          <w:p w14:paraId="31BFF658"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5188</w:t>
            </w:r>
          </w:p>
        </w:tc>
      </w:tr>
      <w:tr w:rsidR="00C82386" w14:paraId="652E2FCF" w14:textId="77777777">
        <w:trPr>
          <w:trHeight w:val="300"/>
        </w:trPr>
        <w:tc>
          <w:tcPr>
            <w:tcW w:w="3259" w:type="dxa"/>
            <w:shd w:val="clear" w:color="auto" w:fill="auto"/>
            <w:vAlign w:val="center"/>
          </w:tcPr>
          <w:p w14:paraId="1FC6AA7B"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Кількість житлових будинків, тис.</w:t>
            </w:r>
          </w:p>
        </w:tc>
        <w:tc>
          <w:tcPr>
            <w:tcW w:w="794" w:type="dxa"/>
            <w:shd w:val="clear" w:color="auto" w:fill="auto"/>
            <w:vAlign w:val="center"/>
          </w:tcPr>
          <w:p w14:paraId="2386FFBC"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15,0</w:t>
            </w:r>
          </w:p>
        </w:tc>
        <w:tc>
          <w:tcPr>
            <w:tcW w:w="794" w:type="dxa"/>
            <w:shd w:val="clear" w:color="auto" w:fill="auto"/>
            <w:vAlign w:val="center"/>
          </w:tcPr>
          <w:p w14:paraId="0D0D9AFA"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15,1</w:t>
            </w:r>
          </w:p>
        </w:tc>
        <w:tc>
          <w:tcPr>
            <w:tcW w:w="794" w:type="dxa"/>
            <w:shd w:val="clear" w:color="auto" w:fill="auto"/>
            <w:vAlign w:val="center"/>
          </w:tcPr>
          <w:p w14:paraId="5DFF2DD4"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15,3</w:t>
            </w:r>
          </w:p>
        </w:tc>
        <w:tc>
          <w:tcPr>
            <w:tcW w:w="794" w:type="dxa"/>
            <w:shd w:val="clear" w:color="auto" w:fill="auto"/>
            <w:vAlign w:val="center"/>
          </w:tcPr>
          <w:p w14:paraId="218E0305"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15,4</w:t>
            </w:r>
          </w:p>
        </w:tc>
        <w:tc>
          <w:tcPr>
            <w:tcW w:w="794" w:type="dxa"/>
            <w:shd w:val="clear" w:color="auto" w:fill="auto"/>
            <w:vAlign w:val="center"/>
          </w:tcPr>
          <w:p w14:paraId="6016AAF6"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15,4</w:t>
            </w:r>
          </w:p>
        </w:tc>
        <w:tc>
          <w:tcPr>
            <w:tcW w:w="794" w:type="dxa"/>
            <w:shd w:val="clear" w:color="auto" w:fill="auto"/>
            <w:vAlign w:val="center"/>
          </w:tcPr>
          <w:p w14:paraId="60A97888"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15,5</w:t>
            </w:r>
          </w:p>
        </w:tc>
        <w:tc>
          <w:tcPr>
            <w:tcW w:w="794" w:type="dxa"/>
            <w:shd w:val="clear" w:color="auto" w:fill="auto"/>
            <w:vAlign w:val="center"/>
          </w:tcPr>
          <w:p w14:paraId="6081D917"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15,5</w:t>
            </w:r>
          </w:p>
        </w:tc>
        <w:tc>
          <w:tcPr>
            <w:tcW w:w="823" w:type="dxa"/>
            <w:shd w:val="clear" w:color="auto" w:fill="auto"/>
            <w:vAlign w:val="center"/>
          </w:tcPr>
          <w:p w14:paraId="70721F78"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15,2</w:t>
            </w:r>
          </w:p>
        </w:tc>
      </w:tr>
    </w:tbl>
    <w:p w14:paraId="37ED03B9"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Починаючи з 2005 року кількість будинків зросла приблизна на 200, при тому загальна житлова площа практично не змінилася. Це пов’язано з тим, що при побудові нових будинків відбувається оновлення житлового фонду, знесенням ветхих та аварійних будинків, крім того проходить виведення будинків з житлового фонду при зміні їх призначення, що особливо помітно у центрі міста.</w:t>
      </w:r>
    </w:p>
    <w:p w14:paraId="1AB49CC9"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Більша частина будинків побудована у період 60-80 років ХХ століття. Виходячи з вимог сучасних будівельних стандартів такі будинки відносяться до класів енергоефективності E,</w:t>
      </w:r>
      <w:r w:rsidR="002A543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F,</w:t>
      </w:r>
      <w:r w:rsidR="002A543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G і характеризуються значними втратами тепла через огороджувальні конструкції та потребують значної кількості тепла для опалення приміщень. З іншого боку, у зв’язку зі зміною клімату і зростанням середніх температур, такі будинки влітку не дозволяють підтримувати комфортну температуру у приміщеннях і потребують додаткового охолодження. </w:t>
      </w:r>
    </w:p>
    <w:p w14:paraId="1DEF96ED"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Будинки зазначеного періоду збудовані з використанням силікатної цегли або бетонних панелей, що мають не високі теплозахисні властивості. Такі будівлі побудовані за проектами, що не передбачали утеплення зовнішніх огороджувальних конструкцій, на відміну від того, як будують будинки зараз. Світлопрозорі огороджувальні конструкції (вікна) житлових будівель також не відповідають сучасним вимогам з енергоефективності. </w:t>
      </w:r>
    </w:p>
    <w:p w14:paraId="0B7DB5A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Забезпеченість житлових будинків інженерними мережами наведено у таблиці 3.13. (дані Статистичного збірника «Житомир» 20</w:t>
      </w:r>
      <w:r w:rsidR="002A5430">
        <w:rPr>
          <w:rFonts w:ascii="Times New Roman" w:eastAsia="Times New Roman" w:hAnsi="Times New Roman" w:cs="Times New Roman"/>
          <w:sz w:val="24"/>
          <w:szCs w:val="24"/>
        </w:rPr>
        <w:t>20</w:t>
      </w:r>
      <w:r>
        <w:rPr>
          <w:rFonts w:ascii="Times New Roman" w:eastAsia="Times New Roman" w:hAnsi="Times New Roman" w:cs="Times New Roman"/>
          <w:sz w:val="24"/>
          <w:szCs w:val="24"/>
        </w:rPr>
        <w:t>).</w:t>
      </w:r>
    </w:p>
    <w:p w14:paraId="70AE79F1" w14:textId="77777777" w:rsidR="00C82386" w:rsidRDefault="00E66F64">
      <w:pPr>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3.13.</w:t>
      </w:r>
    </w:p>
    <w:p w14:paraId="70890E2E"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 xml:space="preserve">Інформація по підключенню житлових будинків до інженерних мереж </w:t>
      </w:r>
      <w:r>
        <w:rPr>
          <w:rFonts w:ascii="Times New Roman" w:eastAsia="Times New Roman" w:hAnsi="Times New Roman" w:cs="Times New Roman"/>
          <w:sz w:val="24"/>
          <w:szCs w:val="24"/>
        </w:rPr>
        <w:br/>
        <w:t>(у відсотку від загальної житлової площі) по м. Житомиру</w:t>
      </w:r>
    </w:p>
    <w:tbl>
      <w:tblPr>
        <w:tblStyle w:val="affff5"/>
        <w:tblW w:w="8379" w:type="dxa"/>
        <w:jc w:val="center"/>
        <w:tblInd w:w="0" w:type="dxa"/>
        <w:tblLayout w:type="fixed"/>
        <w:tblLook w:val="0400" w:firstRow="0" w:lastRow="0" w:firstColumn="0" w:lastColumn="0" w:noHBand="0" w:noVBand="1"/>
      </w:tblPr>
      <w:tblGrid>
        <w:gridCol w:w="4261"/>
        <w:gridCol w:w="1991"/>
        <w:gridCol w:w="2127"/>
      </w:tblGrid>
      <w:tr w:rsidR="00C82386" w14:paraId="57F3FE0D" w14:textId="77777777">
        <w:trPr>
          <w:trHeight w:val="645"/>
          <w:jc w:val="center"/>
        </w:trPr>
        <w:tc>
          <w:tcPr>
            <w:tcW w:w="426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F1EFD3" w14:textId="77777777" w:rsidR="00C82386" w:rsidRDefault="00E66F64" w:rsidP="002316C3">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Параметр</w:t>
            </w:r>
          </w:p>
        </w:tc>
        <w:tc>
          <w:tcPr>
            <w:tcW w:w="1991" w:type="dxa"/>
            <w:tcBorders>
              <w:top w:val="single" w:sz="8" w:space="0" w:color="000000"/>
              <w:left w:val="nil"/>
              <w:bottom w:val="single" w:sz="8" w:space="0" w:color="000000"/>
              <w:right w:val="single" w:sz="8" w:space="0" w:color="000000"/>
            </w:tcBorders>
            <w:shd w:val="clear" w:color="auto" w:fill="auto"/>
            <w:vAlign w:val="center"/>
          </w:tcPr>
          <w:p w14:paraId="608A47E5"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2010</w:t>
            </w:r>
          </w:p>
        </w:tc>
        <w:tc>
          <w:tcPr>
            <w:tcW w:w="2127" w:type="dxa"/>
            <w:tcBorders>
              <w:top w:val="single" w:sz="8" w:space="0" w:color="000000"/>
              <w:left w:val="nil"/>
              <w:bottom w:val="single" w:sz="8" w:space="0" w:color="000000"/>
              <w:right w:val="single" w:sz="8" w:space="0" w:color="000000"/>
            </w:tcBorders>
            <w:shd w:val="clear" w:color="auto" w:fill="auto"/>
            <w:vAlign w:val="center"/>
          </w:tcPr>
          <w:p w14:paraId="33F4F8A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033CC024" w14:textId="77777777">
        <w:trPr>
          <w:trHeight w:val="330"/>
          <w:jc w:val="center"/>
        </w:trPr>
        <w:tc>
          <w:tcPr>
            <w:tcW w:w="4261" w:type="dxa"/>
            <w:tcBorders>
              <w:top w:val="nil"/>
              <w:left w:val="single" w:sz="8" w:space="0" w:color="000000"/>
              <w:bottom w:val="single" w:sz="8" w:space="0" w:color="000000"/>
              <w:right w:val="single" w:sz="8" w:space="0" w:color="000000"/>
            </w:tcBorders>
            <w:shd w:val="clear" w:color="auto" w:fill="auto"/>
            <w:vAlign w:val="center"/>
          </w:tcPr>
          <w:p w14:paraId="46661B5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будівель, що підключені до централізованого опалення,%</w:t>
            </w:r>
          </w:p>
        </w:tc>
        <w:tc>
          <w:tcPr>
            <w:tcW w:w="1991" w:type="dxa"/>
            <w:tcBorders>
              <w:top w:val="nil"/>
              <w:left w:val="nil"/>
              <w:bottom w:val="single" w:sz="8" w:space="0" w:color="000000"/>
              <w:right w:val="single" w:sz="8" w:space="0" w:color="000000"/>
            </w:tcBorders>
            <w:shd w:val="clear" w:color="auto" w:fill="auto"/>
            <w:vAlign w:val="center"/>
          </w:tcPr>
          <w:p w14:paraId="563340DA"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84,3</w:t>
            </w:r>
          </w:p>
        </w:tc>
        <w:tc>
          <w:tcPr>
            <w:tcW w:w="2127" w:type="dxa"/>
            <w:tcBorders>
              <w:top w:val="nil"/>
              <w:left w:val="nil"/>
              <w:bottom w:val="single" w:sz="8" w:space="0" w:color="000000"/>
              <w:right w:val="single" w:sz="8" w:space="0" w:color="000000"/>
            </w:tcBorders>
            <w:shd w:val="clear" w:color="auto" w:fill="auto"/>
            <w:vAlign w:val="center"/>
          </w:tcPr>
          <w:p w14:paraId="074BD52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83,8</w:t>
            </w:r>
          </w:p>
        </w:tc>
      </w:tr>
      <w:tr w:rsidR="00C82386" w14:paraId="49A6A385" w14:textId="77777777">
        <w:trPr>
          <w:trHeight w:val="645"/>
          <w:jc w:val="center"/>
        </w:trPr>
        <w:tc>
          <w:tcPr>
            <w:tcW w:w="4261" w:type="dxa"/>
            <w:tcBorders>
              <w:top w:val="nil"/>
              <w:left w:val="single" w:sz="8" w:space="0" w:color="000000"/>
              <w:bottom w:val="single" w:sz="8" w:space="0" w:color="000000"/>
              <w:right w:val="single" w:sz="8" w:space="0" w:color="000000"/>
            </w:tcBorders>
            <w:shd w:val="clear" w:color="auto" w:fill="auto"/>
            <w:vAlign w:val="center"/>
          </w:tcPr>
          <w:p w14:paraId="4CA3D46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Відсоток будівель, що підключені до системи гарячого водопостачання, %</w:t>
            </w:r>
          </w:p>
        </w:tc>
        <w:tc>
          <w:tcPr>
            <w:tcW w:w="1991" w:type="dxa"/>
            <w:tcBorders>
              <w:top w:val="nil"/>
              <w:left w:val="nil"/>
              <w:bottom w:val="single" w:sz="8" w:space="0" w:color="000000"/>
              <w:right w:val="single" w:sz="8" w:space="0" w:color="000000"/>
            </w:tcBorders>
            <w:shd w:val="clear" w:color="auto" w:fill="auto"/>
            <w:vAlign w:val="center"/>
          </w:tcPr>
          <w:p w14:paraId="44197860"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83,3</w:t>
            </w:r>
          </w:p>
        </w:tc>
        <w:tc>
          <w:tcPr>
            <w:tcW w:w="2127" w:type="dxa"/>
            <w:tcBorders>
              <w:top w:val="nil"/>
              <w:left w:val="nil"/>
              <w:bottom w:val="single" w:sz="8" w:space="0" w:color="000000"/>
              <w:right w:val="single" w:sz="8" w:space="0" w:color="000000"/>
            </w:tcBorders>
            <w:shd w:val="clear" w:color="auto" w:fill="auto"/>
            <w:vAlign w:val="center"/>
          </w:tcPr>
          <w:p w14:paraId="202BC163" w14:textId="77777777" w:rsidR="00C82386" w:rsidRDefault="00E66F64">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81,5</w:t>
            </w:r>
          </w:p>
        </w:tc>
      </w:tr>
      <w:tr w:rsidR="00C82386" w14:paraId="6A78D88F" w14:textId="77777777">
        <w:trPr>
          <w:trHeight w:val="645"/>
          <w:jc w:val="center"/>
        </w:trPr>
        <w:tc>
          <w:tcPr>
            <w:tcW w:w="4261" w:type="dxa"/>
            <w:tcBorders>
              <w:top w:val="nil"/>
              <w:left w:val="single" w:sz="8" w:space="0" w:color="000000"/>
              <w:bottom w:val="single" w:sz="8" w:space="0" w:color="000000"/>
              <w:right w:val="single" w:sz="8" w:space="0" w:color="000000"/>
            </w:tcBorders>
            <w:shd w:val="clear" w:color="auto" w:fill="auto"/>
            <w:vAlign w:val="center"/>
          </w:tcPr>
          <w:p w14:paraId="18DBF3C5"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Відсоток будівель, що підключені до системи газопостачання</w:t>
            </w:r>
          </w:p>
        </w:tc>
        <w:tc>
          <w:tcPr>
            <w:tcW w:w="1991" w:type="dxa"/>
            <w:tcBorders>
              <w:top w:val="nil"/>
              <w:left w:val="nil"/>
              <w:bottom w:val="single" w:sz="8" w:space="0" w:color="000000"/>
              <w:right w:val="single" w:sz="8" w:space="0" w:color="000000"/>
            </w:tcBorders>
            <w:shd w:val="clear" w:color="auto" w:fill="auto"/>
            <w:vAlign w:val="center"/>
          </w:tcPr>
          <w:p w14:paraId="492386DC"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88,4</w:t>
            </w:r>
          </w:p>
        </w:tc>
        <w:tc>
          <w:tcPr>
            <w:tcW w:w="2127" w:type="dxa"/>
            <w:tcBorders>
              <w:top w:val="nil"/>
              <w:left w:val="nil"/>
              <w:bottom w:val="single" w:sz="8" w:space="0" w:color="000000"/>
              <w:right w:val="single" w:sz="8" w:space="0" w:color="000000"/>
            </w:tcBorders>
            <w:shd w:val="clear" w:color="auto" w:fill="auto"/>
            <w:vAlign w:val="center"/>
          </w:tcPr>
          <w:p w14:paraId="72F98BE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86,8</w:t>
            </w:r>
          </w:p>
        </w:tc>
      </w:tr>
      <w:tr w:rsidR="00C82386" w14:paraId="326AC760" w14:textId="77777777">
        <w:trPr>
          <w:trHeight w:val="645"/>
          <w:jc w:val="center"/>
        </w:trPr>
        <w:tc>
          <w:tcPr>
            <w:tcW w:w="4261" w:type="dxa"/>
            <w:tcBorders>
              <w:top w:val="nil"/>
              <w:left w:val="single" w:sz="8" w:space="0" w:color="000000"/>
              <w:bottom w:val="single" w:sz="4" w:space="0" w:color="000000"/>
              <w:right w:val="single" w:sz="8" w:space="0" w:color="000000"/>
            </w:tcBorders>
            <w:shd w:val="clear" w:color="auto" w:fill="auto"/>
            <w:vAlign w:val="center"/>
          </w:tcPr>
          <w:p w14:paraId="3918D644"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Відсоток будівель, що підключені до системи водопостачання</w:t>
            </w:r>
          </w:p>
        </w:tc>
        <w:tc>
          <w:tcPr>
            <w:tcW w:w="1991" w:type="dxa"/>
            <w:tcBorders>
              <w:top w:val="nil"/>
              <w:left w:val="nil"/>
              <w:bottom w:val="single" w:sz="4" w:space="0" w:color="000000"/>
              <w:right w:val="single" w:sz="8" w:space="0" w:color="000000"/>
            </w:tcBorders>
            <w:shd w:val="clear" w:color="auto" w:fill="auto"/>
            <w:vAlign w:val="center"/>
          </w:tcPr>
          <w:p w14:paraId="08E0D343"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92,7</w:t>
            </w:r>
          </w:p>
        </w:tc>
        <w:tc>
          <w:tcPr>
            <w:tcW w:w="2127" w:type="dxa"/>
            <w:tcBorders>
              <w:top w:val="nil"/>
              <w:left w:val="nil"/>
              <w:bottom w:val="single" w:sz="4" w:space="0" w:color="000000"/>
              <w:right w:val="single" w:sz="8" w:space="0" w:color="000000"/>
            </w:tcBorders>
            <w:shd w:val="clear" w:color="auto" w:fill="auto"/>
            <w:vAlign w:val="center"/>
          </w:tcPr>
          <w:p w14:paraId="34155BA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92,0</w:t>
            </w:r>
          </w:p>
        </w:tc>
      </w:tr>
      <w:tr w:rsidR="00C82386" w14:paraId="6185E3E8" w14:textId="77777777">
        <w:trPr>
          <w:trHeight w:val="645"/>
          <w:jc w:val="center"/>
        </w:trPr>
        <w:tc>
          <w:tcPr>
            <w:tcW w:w="4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F8B50"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Відсоток будівель, що підключені до системи каналізації</w:t>
            </w:r>
          </w:p>
        </w:tc>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042F1"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92,6</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5114F"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91,9</w:t>
            </w:r>
          </w:p>
        </w:tc>
      </w:tr>
    </w:tbl>
    <w:p w14:paraId="68851DCF"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Функція опалення житлових будинків реалізується кількома шляхами. Більша частина багатоповерхових будинків підключена до загальноміської мережі центрального опалення, частина будинків (особливо введених в експлуатацію в останні роки) опалюється від індивідуальних газових котлів). Приватні  житлові будинки, що розташовані в м. Житомир, опалюються від індивідуальних газових котлів, електрокотлів або мають твердопаливні котли та опалюються пічним паливом (вугілля, торф’яні та сінні брикети, дрова та відходи господарської діяльності).</w:t>
      </w:r>
    </w:p>
    <w:p w14:paraId="55D588E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Село Вереси, що входить до складу Житомирської міської територіальної громади, має житлову забудову з одноповерхових та двоповерхових будинків у загальній кількості 998 будинків, з яких 17 двоповерхових будинків. Більша частина будинків обладнана </w:t>
      </w:r>
      <w:r>
        <w:rPr>
          <w:rFonts w:ascii="Times New Roman" w:eastAsia="Times New Roman" w:hAnsi="Times New Roman" w:cs="Times New Roman"/>
          <w:sz w:val="24"/>
          <w:szCs w:val="24"/>
        </w:rPr>
        <w:lastRenderedPageBreak/>
        <w:t>газовими індивідуальними котлами (780 установок), відсоток підключення до мережі газопостачання складає 78%. Інші 208 будинків мають пічне опалення. У селі Вересі 451 будинок (45,1%) має підключення до мереж водопостачання та водовідведення.</w:t>
      </w:r>
    </w:p>
    <w:p w14:paraId="7BF3008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Оскільки фактичні дані станом на 2010 рік щодо обсягів споживання енергоресурсів будинками, що мають пічне опалення, у селі Вереси відсутні, дані енергоспоживання твердого палива були отримані розрахунково, виходячи з середніх обсягів енергоспоживання для будинків, що опалюється газом.</w:t>
      </w:r>
    </w:p>
    <w:p w14:paraId="346834B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таблиці 3.14. та на рисунку 3.12. наведено дані стосовно споживання енергоресурсів у житловому секторі.</w:t>
      </w:r>
    </w:p>
    <w:p w14:paraId="1CBB9CD0" w14:textId="77777777" w:rsidR="00C82386" w:rsidRDefault="00E66F64">
      <w:pPr>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3.14.</w:t>
      </w:r>
    </w:p>
    <w:p w14:paraId="647B97D9" w14:textId="77777777" w:rsidR="00C82386" w:rsidRDefault="00E66F64">
      <w:pPr>
        <w:spacing w:after="0" w:line="240" w:lineRule="auto"/>
        <w:ind w:firstLine="7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Споживання основних паливно-енергетичних ресурсів житловим фондом </w:t>
      </w:r>
      <w:r>
        <w:rPr>
          <w:rFonts w:ascii="Times New Roman" w:eastAsia="Times New Roman" w:hAnsi="Times New Roman" w:cs="Times New Roman"/>
          <w:sz w:val="24"/>
          <w:szCs w:val="24"/>
        </w:rPr>
        <w:br/>
        <w:t>Житомирської міської територіальної громади станом на 2010 рік</w:t>
      </w:r>
    </w:p>
    <w:tbl>
      <w:tblPr>
        <w:tblStyle w:val="affff6"/>
        <w:tblW w:w="5751" w:type="dxa"/>
        <w:jc w:val="center"/>
        <w:tblInd w:w="0" w:type="dxa"/>
        <w:tblLayout w:type="fixed"/>
        <w:tblLook w:val="0400" w:firstRow="0" w:lastRow="0" w:firstColumn="0" w:lastColumn="0" w:noHBand="0" w:noVBand="1"/>
      </w:tblPr>
      <w:tblGrid>
        <w:gridCol w:w="3908"/>
        <w:gridCol w:w="1843"/>
      </w:tblGrid>
      <w:tr w:rsidR="006758A5" w14:paraId="166E5579" w14:textId="77777777" w:rsidTr="006758A5">
        <w:trPr>
          <w:trHeight w:val="20"/>
          <w:jc w:val="center"/>
        </w:trPr>
        <w:tc>
          <w:tcPr>
            <w:tcW w:w="3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D5A30" w14:textId="77777777" w:rsidR="006758A5" w:rsidRDefault="006758A5">
            <w:pPr>
              <w:spacing w:before="120" w:after="12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Види енергоресурсів</w:t>
            </w:r>
          </w:p>
        </w:tc>
        <w:tc>
          <w:tcPr>
            <w:tcW w:w="1843" w:type="dxa"/>
            <w:tcBorders>
              <w:top w:val="single" w:sz="4" w:space="0" w:color="000000"/>
              <w:left w:val="nil"/>
              <w:bottom w:val="single" w:sz="4" w:space="0" w:color="000000"/>
              <w:right w:val="single" w:sz="4" w:space="0" w:color="000000"/>
            </w:tcBorders>
          </w:tcPr>
          <w:p w14:paraId="07F9D508" w14:textId="77777777" w:rsidR="006758A5" w:rsidRDefault="006758A5">
            <w:pPr>
              <w:spacing w:before="120" w:after="12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Громада</w:t>
            </w:r>
          </w:p>
        </w:tc>
      </w:tr>
      <w:tr w:rsidR="006758A5" w14:paraId="47EA16A2" w14:textId="77777777" w:rsidTr="006758A5">
        <w:trPr>
          <w:trHeight w:val="20"/>
          <w:jc w:val="center"/>
        </w:trPr>
        <w:tc>
          <w:tcPr>
            <w:tcW w:w="3908" w:type="dxa"/>
            <w:tcBorders>
              <w:top w:val="nil"/>
              <w:left w:val="single" w:sz="4" w:space="0" w:color="000000"/>
              <w:bottom w:val="single" w:sz="4" w:space="0" w:color="000000"/>
              <w:right w:val="single" w:sz="4" w:space="0" w:color="000000"/>
            </w:tcBorders>
            <w:shd w:val="clear" w:color="auto" w:fill="auto"/>
            <w:vAlign w:val="center"/>
          </w:tcPr>
          <w:p w14:paraId="21D1B3F6" w14:textId="77777777" w:rsidR="006758A5" w:rsidRDefault="006758A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Теплова енергія, Гкал</w:t>
            </w:r>
          </w:p>
        </w:tc>
        <w:tc>
          <w:tcPr>
            <w:tcW w:w="1843" w:type="dxa"/>
            <w:tcBorders>
              <w:top w:val="nil"/>
              <w:left w:val="nil"/>
              <w:bottom w:val="single" w:sz="4" w:space="0" w:color="000000"/>
              <w:right w:val="single" w:sz="4" w:space="0" w:color="000000"/>
            </w:tcBorders>
          </w:tcPr>
          <w:p w14:paraId="04F1B645" w14:textId="77777777" w:rsidR="006758A5" w:rsidRPr="0055767F" w:rsidRDefault="006758A5">
            <w:pPr>
              <w:spacing w:after="0" w:line="240" w:lineRule="auto"/>
              <w:jc w:val="center"/>
              <w:rPr>
                <w:rFonts w:ascii="Times New Roman" w:eastAsia="Times New Roman" w:hAnsi="Times New Roman" w:cs="Times New Roman"/>
                <w:color w:val="000000"/>
                <w:sz w:val="24"/>
                <w:szCs w:val="24"/>
                <w:highlight w:val="yellow"/>
              </w:rPr>
            </w:pPr>
            <w:r w:rsidRPr="006758A5">
              <w:rPr>
                <w:rFonts w:ascii="Times New Roman" w:eastAsia="Times New Roman" w:hAnsi="Times New Roman" w:cs="Times New Roman"/>
                <w:color w:val="000000"/>
                <w:sz w:val="24"/>
                <w:szCs w:val="24"/>
              </w:rPr>
              <w:t>461 451</w:t>
            </w:r>
          </w:p>
        </w:tc>
      </w:tr>
      <w:tr w:rsidR="006758A5" w14:paraId="07BEBE02" w14:textId="77777777" w:rsidTr="006758A5">
        <w:trPr>
          <w:trHeight w:val="20"/>
          <w:jc w:val="center"/>
        </w:trPr>
        <w:tc>
          <w:tcPr>
            <w:tcW w:w="3908" w:type="dxa"/>
            <w:tcBorders>
              <w:top w:val="nil"/>
              <w:left w:val="single" w:sz="4" w:space="0" w:color="000000"/>
              <w:bottom w:val="single" w:sz="4" w:space="0" w:color="000000"/>
              <w:right w:val="single" w:sz="4" w:space="0" w:color="000000"/>
            </w:tcBorders>
            <w:shd w:val="clear" w:color="auto" w:fill="auto"/>
            <w:vAlign w:val="center"/>
          </w:tcPr>
          <w:p w14:paraId="7A732D13" w14:textId="77777777" w:rsidR="006758A5" w:rsidRDefault="004341E7">
            <w:pPr>
              <w:spacing w:after="0" w:line="240" w:lineRule="auto"/>
              <w:jc w:val="center"/>
              <w:rPr>
                <w:rFonts w:ascii="Times New Roman" w:eastAsia="Times New Roman" w:hAnsi="Times New Roman" w:cs="Times New Roman"/>
                <w:color w:val="000000"/>
                <w:sz w:val="24"/>
                <w:szCs w:val="24"/>
              </w:rPr>
            </w:pPr>
            <w:sdt>
              <w:sdtPr>
                <w:tag w:val="goog_rdk_20"/>
                <w:id w:val="1174600687"/>
              </w:sdtPr>
              <w:sdtEndPr/>
              <w:sdtContent>
                <w:r w:rsidR="006758A5">
                  <w:rPr>
                    <w:rFonts w:ascii="Gungsuh" w:eastAsia="Gungsuh" w:hAnsi="Gungsuh" w:cs="Gungsuh"/>
                    <w:color w:val="000000"/>
                    <w:sz w:val="24"/>
                    <w:szCs w:val="24"/>
                  </w:rPr>
                  <w:t>Електроенергія, МВт∙год.</w:t>
                </w:r>
              </w:sdtContent>
            </w:sdt>
          </w:p>
        </w:tc>
        <w:tc>
          <w:tcPr>
            <w:tcW w:w="1843" w:type="dxa"/>
            <w:tcBorders>
              <w:top w:val="nil"/>
              <w:left w:val="nil"/>
              <w:bottom w:val="single" w:sz="4" w:space="0" w:color="000000"/>
              <w:right w:val="single" w:sz="4" w:space="0" w:color="000000"/>
            </w:tcBorders>
          </w:tcPr>
          <w:p w14:paraId="2F952525" w14:textId="77777777" w:rsidR="006758A5" w:rsidRPr="0055767F" w:rsidRDefault="006758A5" w:rsidP="006758A5">
            <w:pPr>
              <w:spacing w:after="0" w:line="240" w:lineRule="auto"/>
              <w:jc w:val="center"/>
              <w:rPr>
                <w:color w:val="000000"/>
                <w:sz w:val="24"/>
                <w:szCs w:val="24"/>
                <w:highlight w:val="yellow"/>
              </w:rPr>
            </w:pPr>
            <w:r w:rsidRPr="006758A5">
              <w:rPr>
                <w:rFonts w:ascii="Times New Roman" w:eastAsia="Times New Roman" w:hAnsi="Times New Roman" w:cs="Times New Roman"/>
                <w:color w:val="000000"/>
                <w:sz w:val="24"/>
                <w:szCs w:val="24"/>
              </w:rPr>
              <w:t>173 422,1</w:t>
            </w:r>
          </w:p>
        </w:tc>
      </w:tr>
      <w:tr w:rsidR="006758A5" w14:paraId="6512294F" w14:textId="77777777" w:rsidTr="006758A5">
        <w:trPr>
          <w:trHeight w:val="20"/>
          <w:jc w:val="center"/>
        </w:trPr>
        <w:tc>
          <w:tcPr>
            <w:tcW w:w="3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C03BB" w14:textId="77777777" w:rsidR="006758A5" w:rsidRDefault="006758A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Природний газ, тис. м</w:t>
            </w:r>
            <w:r>
              <w:rPr>
                <w:rFonts w:ascii="Times New Roman" w:eastAsia="Times New Roman" w:hAnsi="Times New Roman" w:cs="Times New Roman"/>
                <w:color w:val="000000"/>
                <w:sz w:val="24"/>
                <w:szCs w:val="24"/>
                <w:vertAlign w:val="superscript"/>
              </w:rPr>
              <w:t>3</w:t>
            </w:r>
          </w:p>
        </w:tc>
        <w:tc>
          <w:tcPr>
            <w:tcW w:w="1843" w:type="dxa"/>
            <w:tcBorders>
              <w:top w:val="single" w:sz="4" w:space="0" w:color="000000"/>
              <w:left w:val="nil"/>
              <w:bottom w:val="single" w:sz="4" w:space="0" w:color="000000"/>
              <w:right w:val="single" w:sz="4" w:space="0" w:color="000000"/>
            </w:tcBorders>
          </w:tcPr>
          <w:p w14:paraId="0577EED6" w14:textId="77777777" w:rsidR="006758A5" w:rsidRPr="0055767F" w:rsidRDefault="006758A5">
            <w:pPr>
              <w:spacing w:after="0" w:line="240" w:lineRule="auto"/>
              <w:jc w:val="center"/>
              <w:rPr>
                <w:rFonts w:ascii="Times New Roman" w:eastAsia="Times New Roman" w:hAnsi="Times New Roman" w:cs="Times New Roman"/>
                <w:color w:val="000000"/>
                <w:sz w:val="24"/>
                <w:szCs w:val="24"/>
                <w:highlight w:val="yellow"/>
              </w:rPr>
            </w:pPr>
            <w:r w:rsidRPr="006758A5">
              <w:rPr>
                <w:rFonts w:ascii="Times New Roman" w:eastAsia="Times New Roman" w:hAnsi="Times New Roman" w:cs="Times New Roman"/>
                <w:color w:val="000000"/>
                <w:sz w:val="24"/>
                <w:szCs w:val="24"/>
              </w:rPr>
              <w:t>98</w:t>
            </w:r>
            <w:r>
              <w:rPr>
                <w:rFonts w:ascii="Times New Roman" w:eastAsia="Times New Roman" w:hAnsi="Times New Roman" w:cs="Times New Roman"/>
                <w:color w:val="000000"/>
                <w:sz w:val="24"/>
                <w:szCs w:val="24"/>
              </w:rPr>
              <w:t> </w:t>
            </w:r>
            <w:r w:rsidRPr="006758A5">
              <w:rPr>
                <w:rFonts w:ascii="Times New Roman" w:eastAsia="Times New Roman" w:hAnsi="Times New Roman" w:cs="Times New Roman"/>
                <w:color w:val="000000"/>
                <w:sz w:val="24"/>
                <w:szCs w:val="24"/>
              </w:rPr>
              <w:t>117,97</w:t>
            </w:r>
          </w:p>
        </w:tc>
      </w:tr>
      <w:tr w:rsidR="006758A5" w14:paraId="68B5433B" w14:textId="77777777" w:rsidTr="006758A5">
        <w:trPr>
          <w:trHeight w:val="20"/>
          <w:jc w:val="center"/>
        </w:trPr>
        <w:tc>
          <w:tcPr>
            <w:tcW w:w="3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7A3EE" w14:textId="77777777" w:rsidR="006758A5" w:rsidRDefault="006758A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Вугілля, тонн</w:t>
            </w:r>
          </w:p>
        </w:tc>
        <w:tc>
          <w:tcPr>
            <w:tcW w:w="1843" w:type="dxa"/>
            <w:tcBorders>
              <w:top w:val="single" w:sz="4" w:space="0" w:color="000000"/>
              <w:left w:val="nil"/>
              <w:bottom w:val="single" w:sz="4" w:space="0" w:color="000000"/>
              <w:right w:val="single" w:sz="4" w:space="0" w:color="000000"/>
            </w:tcBorders>
          </w:tcPr>
          <w:p w14:paraId="79E887F9" w14:textId="77777777" w:rsidR="006758A5" w:rsidRPr="006758A5" w:rsidRDefault="006758A5">
            <w:pPr>
              <w:spacing w:after="0" w:line="240" w:lineRule="auto"/>
              <w:jc w:val="center"/>
              <w:rPr>
                <w:color w:val="000000"/>
                <w:sz w:val="24"/>
                <w:szCs w:val="24"/>
              </w:rPr>
            </w:pPr>
            <w:r w:rsidRPr="006758A5">
              <w:rPr>
                <w:rFonts w:ascii="Times New Roman" w:eastAsia="Times New Roman" w:hAnsi="Times New Roman" w:cs="Times New Roman"/>
                <w:color w:val="000000"/>
                <w:sz w:val="24"/>
                <w:szCs w:val="24"/>
              </w:rPr>
              <w:t>749,1</w:t>
            </w:r>
          </w:p>
        </w:tc>
      </w:tr>
      <w:tr w:rsidR="006758A5" w14:paraId="44B755B1" w14:textId="77777777" w:rsidTr="006758A5">
        <w:trPr>
          <w:trHeight w:val="20"/>
          <w:jc w:val="center"/>
        </w:trPr>
        <w:tc>
          <w:tcPr>
            <w:tcW w:w="3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11E4E" w14:textId="77777777" w:rsidR="006758A5" w:rsidRDefault="006758A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Торфобрикети, тонн</w:t>
            </w:r>
          </w:p>
        </w:tc>
        <w:tc>
          <w:tcPr>
            <w:tcW w:w="1843" w:type="dxa"/>
            <w:tcBorders>
              <w:top w:val="single" w:sz="4" w:space="0" w:color="000000"/>
              <w:left w:val="nil"/>
              <w:bottom w:val="single" w:sz="4" w:space="0" w:color="000000"/>
              <w:right w:val="single" w:sz="4" w:space="0" w:color="000000"/>
            </w:tcBorders>
          </w:tcPr>
          <w:p w14:paraId="33545115" w14:textId="77777777" w:rsidR="006758A5" w:rsidRPr="006758A5" w:rsidRDefault="006758A5">
            <w:pPr>
              <w:spacing w:after="0" w:line="240" w:lineRule="auto"/>
              <w:jc w:val="center"/>
              <w:rPr>
                <w:rFonts w:ascii="Times New Roman" w:eastAsia="Times New Roman" w:hAnsi="Times New Roman" w:cs="Times New Roman"/>
                <w:color w:val="000000"/>
                <w:sz w:val="24"/>
                <w:szCs w:val="24"/>
              </w:rPr>
            </w:pPr>
            <w:r w:rsidRPr="006758A5">
              <w:rPr>
                <w:rFonts w:ascii="Times New Roman" w:eastAsia="Times New Roman" w:hAnsi="Times New Roman" w:cs="Times New Roman"/>
                <w:color w:val="000000"/>
                <w:sz w:val="24"/>
                <w:szCs w:val="24"/>
              </w:rPr>
              <w:t>756,4</w:t>
            </w:r>
          </w:p>
        </w:tc>
      </w:tr>
      <w:tr w:rsidR="006758A5" w14:paraId="16C8DC4E" w14:textId="77777777" w:rsidTr="006758A5">
        <w:trPr>
          <w:trHeight w:val="20"/>
          <w:jc w:val="center"/>
        </w:trPr>
        <w:tc>
          <w:tcPr>
            <w:tcW w:w="3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F3095" w14:textId="77777777" w:rsidR="006758A5" w:rsidRDefault="006758A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Інше (дрова, пелети, тріска), тонн</w:t>
            </w:r>
          </w:p>
        </w:tc>
        <w:tc>
          <w:tcPr>
            <w:tcW w:w="1843" w:type="dxa"/>
            <w:tcBorders>
              <w:top w:val="single" w:sz="4" w:space="0" w:color="000000"/>
              <w:left w:val="nil"/>
              <w:bottom w:val="single" w:sz="4" w:space="0" w:color="000000"/>
              <w:right w:val="single" w:sz="4" w:space="0" w:color="000000"/>
            </w:tcBorders>
          </w:tcPr>
          <w:p w14:paraId="06D79056" w14:textId="77777777" w:rsidR="006758A5" w:rsidRPr="006758A5" w:rsidRDefault="006758A5">
            <w:pPr>
              <w:spacing w:after="0" w:line="240" w:lineRule="auto"/>
              <w:jc w:val="center"/>
              <w:rPr>
                <w:rFonts w:ascii="Times New Roman" w:eastAsia="Times New Roman" w:hAnsi="Times New Roman" w:cs="Times New Roman"/>
                <w:color w:val="000000"/>
                <w:sz w:val="24"/>
                <w:szCs w:val="24"/>
              </w:rPr>
            </w:pPr>
            <w:r w:rsidRPr="006758A5">
              <w:rPr>
                <w:rFonts w:ascii="Times New Roman" w:eastAsia="Times New Roman" w:hAnsi="Times New Roman" w:cs="Times New Roman"/>
                <w:color w:val="000000"/>
                <w:sz w:val="24"/>
                <w:szCs w:val="24"/>
              </w:rPr>
              <w:t>833,5</w:t>
            </w:r>
          </w:p>
        </w:tc>
      </w:tr>
    </w:tbl>
    <w:p w14:paraId="32B8647E" w14:textId="77777777" w:rsidR="00C82386" w:rsidRDefault="00C82386">
      <w:pPr>
        <w:spacing w:before="120" w:after="0"/>
        <w:ind w:firstLine="709"/>
        <w:jc w:val="both"/>
        <w:rPr>
          <w:rFonts w:ascii="Times New Roman" w:eastAsia="Times New Roman" w:hAnsi="Times New Roman" w:cs="Times New Roman"/>
          <w:sz w:val="24"/>
          <w:szCs w:val="24"/>
        </w:rPr>
      </w:pPr>
    </w:p>
    <w:p w14:paraId="66F40C8A" w14:textId="77777777" w:rsidR="00C82386" w:rsidRDefault="00E66F64">
      <w:pPr>
        <w:spacing w:before="120" w:after="0"/>
        <w:ind w:firstLine="709"/>
        <w:jc w:val="both"/>
        <w:rPr>
          <w:rFonts w:ascii="Times New Roman" w:eastAsia="Times New Roman" w:hAnsi="Times New Roman" w:cs="Times New Roman"/>
          <w:sz w:val="24"/>
          <w:szCs w:val="24"/>
        </w:rPr>
      </w:pPr>
      <w:r>
        <w:rPr>
          <w:noProof/>
          <w:lang w:val="ru-RU"/>
        </w:rPr>
        <w:drawing>
          <wp:inline distT="0" distB="0" distL="0" distR="0" wp14:anchorId="128D12B0" wp14:editId="4912B012">
            <wp:extent cx="4584700" cy="2997200"/>
            <wp:effectExtent l="0" t="0" r="0" b="0"/>
            <wp:docPr id="2144251926" name="Диаграмма 21442519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B91F103" w14:textId="77777777" w:rsidR="00C82386" w:rsidRDefault="00E66F64">
      <w:pPr>
        <w:spacing w:before="120"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Рис.3.12. Розподіл споживання енергоресурсів за видами у житлових будівлях в 2010 році</w:t>
      </w:r>
    </w:p>
    <w:p w14:paraId="68D7C2A0" w14:textId="77777777" w:rsidR="00C82386" w:rsidRPr="002316C3" w:rsidRDefault="00E66F64">
      <w:pPr>
        <w:spacing w:before="120"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Як можна побачити на рисунку 3.12. основним джерелом енергії, що споживається у житлових будівлях, є природний газ (56%), якій використовується на опалення, підігрів гарячої води та побутові потреби. Другу позицію займає споживання тепла від централізованої мережі теплопостачання 32,5%. Споживання електроенергії склало 10,5%. Споживання твердих видів палива разом склало 1%.</w:t>
      </w:r>
    </w:p>
    <w:p w14:paraId="3852595B" w14:textId="77777777" w:rsidR="00C82386" w:rsidRDefault="00E66F64">
      <w:pPr>
        <w:spacing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Для визначення тенденції щодо зміни протягом</w:t>
      </w:r>
      <w:r>
        <w:rPr>
          <w:rFonts w:ascii="Times New Roman" w:eastAsia="Times New Roman" w:hAnsi="Times New Roman" w:cs="Times New Roman"/>
          <w:sz w:val="24"/>
          <w:szCs w:val="24"/>
        </w:rPr>
        <w:t xml:space="preserve"> часу на рисунку 3.13. наведені дані про споживання теплової енергії від централізованого опалення у житлових будинках у 2010-2020 рр.</w:t>
      </w:r>
    </w:p>
    <w:p w14:paraId="4A3ABABF" w14:textId="77777777" w:rsidR="00C82386" w:rsidRDefault="00E66F64">
      <w:pPr>
        <w:spacing w:after="0"/>
        <w:jc w:val="center"/>
        <w:rPr>
          <w:rFonts w:ascii="Times New Roman" w:eastAsia="Times New Roman" w:hAnsi="Times New Roman" w:cs="Times New Roman"/>
          <w:sz w:val="24"/>
          <w:szCs w:val="24"/>
          <w:highlight w:val="yellow"/>
        </w:rPr>
      </w:pPr>
      <w:r>
        <w:rPr>
          <w:noProof/>
          <w:lang w:val="ru-RU"/>
        </w:rPr>
        <w:lastRenderedPageBreak/>
        <w:drawing>
          <wp:inline distT="0" distB="0" distL="0" distR="0" wp14:anchorId="6CF97CFA" wp14:editId="3A3C65E0">
            <wp:extent cx="4902607" cy="3175048"/>
            <wp:effectExtent l="0" t="0" r="12700" b="6350"/>
            <wp:docPr id="2144251927" name="Диаграмма 21442519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A1AFE3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Рис. 3.13. Споживання теплової енергії в житлових будинках у 2010-2020 рр.</w:t>
      </w:r>
    </w:p>
    <w:p w14:paraId="0896584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Тенденції споживання тепла обумовлені температурними характеристиками та поступовим впровадженням енергоефективних заходів у житлових будинках.</w:t>
      </w:r>
    </w:p>
    <w:p w14:paraId="0AC43671" w14:textId="77777777" w:rsidR="00C82386" w:rsidRDefault="004341E7" w:rsidP="001B5789">
      <w:pPr>
        <w:spacing w:after="0"/>
        <w:ind w:firstLine="709"/>
        <w:jc w:val="both"/>
        <w:rPr>
          <w:rFonts w:ascii="Times New Roman" w:eastAsia="Times New Roman" w:hAnsi="Times New Roman" w:cs="Times New Roman"/>
          <w:sz w:val="24"/>
          <w:szCs w:val="24"/>
        </w:rPr>
      </w:pPr>
      <w:sdt>
        <w:sdtPr>
          <w:tag w:val="goog_rdk_21"/>
          <w:id w:val="-308477668"/>
        </w:sdtPr>
        <w:sdtEndPr/>
        <w:sdtContent/>
      </w:sdt>
      <w:r w:rsidR="00E66F64">
        <w:rPr>
          <w:rFonts w:ascii="Times New Roman" w:eastAsia="Times New Roman" w:hAnsi="Times New Roman" w:cs="Times New Roman"/>
          <w:sz w:val="24"/>
          <w:szCs w:val="24"/>
        </w:rPr>
        <w:t>У 2015-2020 роках діяли локальні програми підтримки впровадження енергоефективних заходів для ОСББ. Інформація, щодо кількості будинків, що взяли участь у програмі «теплих кредитів» наведено на рисунку 3.14. В 2020 році почала працювати державна програма «Енергодім» (ДУ «Фонд енергоефективності»), участь в якій надає можливість виконати повну термомодернізацію житлового будинку. До участі у програмі приймаються виключно будинки, у яких створено ОСББ.</w:t>
      </w:r>
      <w:r w:rsidR="001B5789">
        <w:rPr>
          <w:rFonts w:ascii="Times New Roman" w:eastAsia="Times New Roman" w:hAnsi="Times New Roman" w:cs="Times New Roman"/>
          <w:sz w:val="24"/>
          <w:szCs w:val="24"/>
        </w:rPr>
        <w:t xml:space="preserve"> </w:t>
      </w:r>
      <w:r w:rsidR="00E66F64" w:rsidRPr="002A5430">
        <w:rPr>
          <w:rFonts w:ascii="Times New Roman" w:eastAsia="Times New Roman" w:hAnsi="Times New Roman" w:cs="Times New Roman"/>
          <w:sz w:val="24"/>
          <w:szCs w:val="24"/>
        </w:rPr>
        <w:t>ОСББ Житомира могли отримати відшкодування відсотків або частини тіла кредиту, взятого на впровадження заходів з підвищення енергоефективності.</w:t>
      </w:r>
    </w:p>
    <w:p w14:paraId="24694074" w14:textId="77777777" w:rsidR="00C34337" w:rsidRPr="00C34337" w:rsidRDefault="00C34337" w:rsidP="00C34337">
      <w:pPr>
        <w:spacing w:after="0"/>
        <w:ind w:firstLine="709"/>
        <w:jc w:val="both"/>
        <w:rPr>
          <w:rFonts w:ascii="Times New Roman" w:eastAsia="Times New Roman" w:hAnsi="Times New Roman" w:cs="Times New Roman"/>
          <w:sz w:val="24"/>
          <w:szCs w:val="24"/>
        </w:rPr>
      </w:pPr>
      <w:r w:rsidRPr="00C34337">
        <w:rPr>
          <w:rFonts w:ascii="Times New Roman" w:eastAsia="Times New Roman" w:hAnsi="Times New Roman" w:cs="Times New Roman"/>
          <w:sz w:val="24"/>
          <w:szCs w:val="24"/>
        </w:rPr>
        <w:t>У 2020 році було розроблено Порядок відшкодування відсотків по кредиту на впровадження заходів енергомодернізації житлових будівель протягом перших 18 місяців кредитування (для ОСББ, які беруть участь у Програмі «ЕНЕРГОДІМ»).</w:t>
      </w:r>
    </w:p>
    <w:p w14:paraId="74DA6CD7" w14:textId="77777777" w:rsidR="00C34337" w:rsidRPr="00C34337" w:rsidRDefault="00C34337" w:rsidP="00C34337">
      <w:pPr>
        <w:spacing w:after="0"/>
        <w:ind w:firstLine="709"/>
        <w:jc w:val="both"/>
        <w:rPr>
          <w:rFonts w:ascii="Times New Roman" w:eastAsia="Times New Roman" w:hAnsi="Times New Roman" w:cs="Times New Roman"/>
          <w:sz w:val="24"/>
          <w:szCs w:val="24"/>
        </w:rPr>
      </w:pPr>
      <w:r w:rsidRPr="00C34337">
        <w:rPr>
          <w:rFonts w:ascii="Times New Roman" w:eastAsia="Times New Roman" w:hAnsi="Times New Roman" w:cs="Times New Roman"/>
          <w:sz w:val="24"/>
          <w:szCs w:val="24"/>
        </w:rPr>
        <w:t>У зв’язку з воєнним станом на території України з лютого 2022 року банківські установи зупинили видачу кредитів для ОСББ.</w:t>
      </w:r>
    </w:p>
    <w:p w14:paraId="7A8E77FA" w14:textId="77777777" w:rsidR="00C34337" w:rsidRPr="00C34337" w:rsidRDefault="00C34337" w:rsidP="00C34337">
      <w:pPr>
        <w:spacing w:after="0"/>
        <w:ind w:firstLine="709"/>
        <w:jc w:val="both"/>
        <w:rPr>
          <w:rFonts w:ascii="Times New Roman" w:eastAsia="Times New Roman" w:hAnsi="Times New Roman" w:cs="Times New Roman"/>
          <w:sz w:val="24"/>
          <w:szCs w:val="24"/>
        </w:rPr>
      </w:pPr>
      <w:r w:rsidRPr="00C34337">
        <w:rPr>
          <w:rFonts w:ascii="Times New Roman" w:eastAsia="Times New Roman" w:hAnsi="Times New Roman" w:cs="Times New Roman"/>
          <w:sz w:val="24"/>
          <w:szCs w:val="24"/>
        </w:rPr>
        <w:t>У 2023 році було розроблено Порядок надання фінансової  підтримки для ОСББ (відшкодування частини від вартості виконаних робіт на заходи з енергоефективності) як альтернатива діючому Порядку відшкодування відсотків по кредиту на впровадження заходів по програмі «ЕНЕРГОДІМ». Так, у 2023 році 5 ОСББ Житомирської громади отримали фінансову підтримку з місцевого бюджету у розмірі – 1 479,8 тис грн. Даний механізм показав свою ефективність у 2023 році, тому у наступному році рішенням виконавчого комітету Житомирської міської ради аналогічну програму надання фінансової  підтримки було запроваджено на 2024 рік.</w:t>
      </w:r>
    </w:p>
    <w:p w14:paraId="469DA609" w14:textId="77777777" w:rsidR="00C34337" w:rsidRPr="002A5430" w:rsidRDefault="00C34337">
      <w:pPr>
        <w:spacing w:after="0"/>
        <w:ind w:firstLine="700"/>
        <w:jc w:val="both"/>
        <w:rPr>
          <w:rFonts w:ascii="Times New Roman" w:eastAsia="Times New Roman" w:hAnsi="Times New Roman" w:cs="Times New Roman"/>
          <w:sz w:val="24"/>
          <w:szCs w:val="24"/>
        </w:rPr>
      </w:pPr>
    </w:p>
    <w:p w14:paraId="28F7769F" w14:textId="77777777" w:rsidR="00C82386" w:rsidRDefault="00E66F64" w:rsidP="00C34337">
      <w:pPr>
        <w:spacing w:after="0"/>
        <w:jc w:val="center"/>
        <w:rPr>
          <w:rFonts w:ascii="Times New Roman" w:eastAsia="Times New Roman" w:hAnsi="Times New Roman" w:cs="Times New Roman"/>
          <w:sz w:val="24"/>
          <w:szCs w:val="24"/>
        </w:rPr>
      </w:pPr>
      <w:r w:rsidRPr="002316C3">
        <w:rPr>
          <w:rFonts w:ascii="Times New Roman" w:eastAsia="Times New Roman" w:hAnsi="Times New Roman" w:cs="Times New Roman"/>
          <w:noProof/>
          <w:sz w:val="24"/>
          <w:szCs w:val="24"/>
          <w:lang w:val="ru-RU"/>
        </w:rPr>
        <w:lastRenderedPageBreak/>
        <w:drawing>
          <wp:inline distT="114300" distB="114300" distL="114300" distR="114300" wp14:anchorId="3A1D214F" wp14:editId="0A93B2DD">
            <wp:extent cx="5375082" cy="2727297"/>
            <wp:effectExtent l="0" t="0" r="0" b="0"/>
            <wp:docPr id="2144252006"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40"/>
                    <a:srcRect/>
                    <a:stretch>
                      <a:fillRect/>
                    </a:stretch>
                  </pic:blipFill>
                  <pic:spPr>
                    <a:xfrm>
                      <a:off x="0" y="0"/>
                      <a:ext cx="5380984" cy="2730292"/>
                    </a:xfrm>
                    <a:prstGeom prst="rect">
                      <a:avLst/>
                    </a:prstGeom>
                    <a:ln/>
                  </pic:spPr>
                </pic:pic>
              </a:graphicData>
            </a:graphic>
          </wp:inline>
        </w:drawing>
      </w:r>
    </w:p>
    <w:p w14:paraId="388E72F3"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Рис.3.14. Кількість ОСББ, що взяли участь в програмах підвищення енергоефективності</w:t>
      </w:r>
    </w:p>
    <w:p w14:paraId="4BDCAF2A" w14:textId="77777777" w:rsidR="00C34337" w:rsidRDefault="00C34337" w:rsidP="00C34337">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Практично всі мешканці громади, що опалюють свої домівки природним газом, мають індивідуальні лічильники. Індивідуальний облік природного газу сприяє впровадженню енергоефективних заходів для зменшення витрат коштів на природний газ.</w:t>
      </w:r>
    </w:p>
    <w:p w14:paraId="6C38C4C2" w14:textId="77777777" w:rsidR="00C34337" w:rsidRDefault="00C34337" w:rsidP="00C34337">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Як слід починаючи з 2013 року спостерігається постійна тенденція скорочення споживання природного газу у житлових будівлях.</w:t>
      </w:r>
    </w:p>
    <w:p w14:paraId="58E132E6" w14:textId="77777777" w:rsidR="00C34337" w:rsidRDefault="00C34337">
      <w:pPr>
        <w:spacing w:after="0"/>
        <w:jc w:val="both"/>
        <w:rPr>
          <w:rFonts w:ascii="Times New Roman" w:eastAsia="Times New Roman" w:hAnsi="Times New Roman" w:cs="Times New Roman"/>
          <w:sz w:val="24"/>
          <w:szCs w:val="24"/>
        </w:rPr>
      </w:pPr>
    </w:p>
    <w:p w14:paraId="526A7519" w14:textId="77777777" w:rsidR="00C82386" w:rsidRDefault="00E66F64" w:rsidP="00C34337">
      <w:pPr>
        <w:spacing w:after="0"/>
        <w:jc w:val="center"/>
        <w:rPr>
          <w:rFonts w:ascii="Times New Roman" w:eastAsia="Times New Roman" w:hAnsi="Times New Roman" w:cs="Times New Roman"/>
          <w:sz w:val="24"/>
          <w:szCs w:val="24"/>
        </w:rPr>
      </w:pPr>
      <w:r w:rsidRPr="00C34337">
        <w:rPr>
          <w:rFonts w:ascii="Times New Roman" w:eastAsia="Times New Roman" w:hAnsi="Times New Roman" w:cs="Times New Roman"/>
          <w:noProof/>
          <w:sz w:val="24"/>
          <w:szCs w:val="24"/>
          <w:lang w:val="ru-RU"/>
        </w:rPr>
        <w:drawing>
          <wp:inline distT="114300" distB="114300" distL="114300" distR="114300" wp14:anchorId="5F416F9F" wp14:editId="6C640E76">
            <wp:extent cx="5939480" cy="3251200"/>
            <wp:effectExtent l="0" t="0" r="0" b="0"/>
            <wp:docPr id="214425197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1"/>
                    <a:srcRect/>
                    <a:stretch>
                      <a:fillRect/>
                    </a:stretch>
                  </pic:blipFill>
                  <pic:spPr>
                    <a:xfrm>
                      <a:off x="0" y="0"/>
                      <a:ext cx="5939480" cy="3251200"/>
                    </a:xfrm>
                    <a:prstGeom prst="rect">
                      <a:avLst/>
                    </a:prstGeom>
                    <a:ln/>
                  </pic:spPr>
                </pic:pic>
              </a:graphicData>
            </a:graphic>
          </wp:inline>
        </w:drawing>
      </w:r>
    </w:p>
    <w:p w14:paraId="591B2E3A"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Рис.3.15. Динаміка фінансової підтримки з бюджету громади ОСББ для впровадження заходів з енергоефективності, тис. грн.</w:t>
      </w:r>
    </w:p>
    <w:p w14:paraId="02C9415D" w14:textId="77777777" w:rsidR="00C34337" w:rsidRDefault="00C34337">
      <w:pPr>
        <w:spacing w:after="0"/>
        <w:jc w:val="both"/>
        <w:rPr>
          <w:rFonts w:ascii="Times New Roman" w:eastAsia="Times New Roman" w:hAnsi="Times New Roman" w:cs="Times New Roman"/>
          <w:sz w:val="24"/>
          <w:szCs w:val="24"/>
        </w:rPr>
      </w:pPr>
    </w:p>
    <w:p w14:paraId="7DDD3B8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3.15. наведена інформація стосовно споживання природного газу населенням м. Житомир за період 2010-2020 рр.</w:t>
      </w:r>
    </w:p>
    <w:p w14:paraId="2B42042A" w14:textId="77777777" w:rsidR="00C82386" w:rsidRDefault="00E66F64" w:rsidP="002316C3">
      <w:pPr>
        <w:spacing w:after="0"/>
        <w:jc w:val="center"/>
        <w:rPr>
          <w:rFonts w:ascii="Times New Roman" w:eastAsia="Times New Roman" w:hAnsi="Times New Roman" w:cs="Times New Roman"/>
          <w:sz w:val="24"/>
          <w:szCs w:val="24"/>
        </w:rPr>
      </w:pPr>
      <w:r>
        <w:rPr>
          <w:noProof/>
          <w:lang w:val="ru-RU"/>
        </w:rPr>
        <w:lastRenderedPageBreak/>
        <w:drawing>
          <wp:inline distT="0" distB="0" distL="0" distR="0" wp14:anchorId="558BADB1" wp14:editId="6A933DA2">
            <wp:extent cx="5661025" cy="2803525"/>
            <wp:effectExtent l="0" t="0" r="15875" b="15875"/>
            <wp:docPr id="2144251928" name="Диаграмма 21442519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EA6805F"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3.15 Обсяги споживання природного газу за 2010-2020 роки у житлових будинках м. Житомир</w:t>
      </w:r>
    </w:p>
    <w:p w14:paraId="7497906E"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порівняння: скорочення споживання тепла по житлових будівлях між 2010 та 2020 роками склало 30%, а скорочення споживання природного газу за той же період дорівнює 46%. Тому можна зробити чіткі висновки стосовно ефективності впровадження побудинкового обліку тепла та для приватних домогосподарств.</w:t>
      </w:r>
    </w:p>
    <w:p w14:paraId="758CB69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рисунку 3.16. наведена інформація стосовно споживання електроенергії населенням у період 2010, 2016-2020 рр.</w:t>
      </w:r>
    </w:p>
    <w:p w14:paraId="32455E40" w14:textId="77777777" w:rsidR="00C82386" w:rsidRDefault="004341E7">
      <w:pPr>
        <w:ind w:firstLine="709"/>
        <w:jc w:val="both"/>
        <w:rPr>
          <w:rFonts w:ascii="Times New Roman" w:eastAsia="Times New Roman" w:hAnsi="Times New Roman" w:cs="Times New Roman"/>
          <w:sz w:val="24"/>
          <w:szCs w:val="24"/>
        </w:rPr>
      </w:pPr>
      <w:sdt>
        <w:sdtPr>
          <w:tag w:val="goog_rdk_22"/>
          <w:id w:val="-271239713"/>
          <w:showingPlcHdr/>
        </w:sdtPr>
        <w:sdtEndPr/>
        <w:sdtContent>
          <w:r w:rsidR="00EE5296">
            <w:t xml:space="preserve">     </w:t>
          </w:r>
        </w:sdtContent>
      </w:sdt>
      <w:r w:rsidR="00E66F64">
        <w:rPr>
          <w:noProof/>
          <w:lang w:val="ru-RU"/>
        </w:rPr>
        <w:drawing>
          <wp:inline distT="0" distB="0" distL="0" distR="0" wp14:anchorId="2DB063FE" wp14:editId="62F8CF94">
            <wp:extent cx="4584700" cy="2755900"/>
            <wp:effectExtent l="0" t="0" r="6350" b="6350"/>
            <wp:docPr id="2144251929" name="Диаграмма 21442519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A3D9B49"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3.16. Споживання електроенергії у Житомирської міської територіальної громади у 2010, 2016-2020 р.</w:t>
      </w:r>
    </w:p>
    <w:p w14:paraId="187B17CA"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відміну від споживання тепла та природного газу – споживання електроенергії насе</w:t>
      </w:r>
      <w:r w:rsidR="00FF3462">
        <w:rPr>
          <w:rFonts w:ascii="Times New Roman" w:eastAsia="Times New Roman" w:hAnsi="Times New Roman" w:cs="Times New Roman"/>
          <w:sz w:val="24"/>
          <w:szCs w:val="24"/>
        </w:rPr>
        <w:t>ленням міста постійно зростало</w:t>
      </w:r>
      <w:r>
        <w:rPr>
          <w:rFonts w:ascii="Times New Roman" w:eastAsia="Times New Roman" w:hAnsi="Times New Roman" w:cs="Times New Roman"/>
          <w:sz w:val="24"/>
          <w:szCs w:val="24"/>
        </w:rPr>
        <w:t>. Середній щорічний відсоток приросту споживання електроенергії населенням громади скла</w:t>
      </w:r>
      <w:r w:rsidR="00FF3462">
        <w:rPr>
          <w:rFonts w:ascii="Times New Roman" w:eastAsia="Times New Roman" w:hAnsi="Times New Roman" w:cs="Times New Roman"/>
          <w:sz w:val="24"/>
          <w:szCs w:val="24"/>
        </w:rPr>
        <w:t>в</w:t>
      </w:r>
      <w:r>
        <w:rPr>
          <w:rFonts w:ascii="Times New Roman" w:eastAsia="Times New Roman" w:hAnsi="Times New Roman" w:cs="Times New Roman"/>
          <w:sz w:val="24"/>
          <w:szCs w:val="24"/>
        </w:rPr>
        <w:t xml:space="preserve"> 0,9%.</w:t>
      </w:r>
    </w:p>
    <w:p w14:paraId="454C52CF" w14:textId="77777777" w:rsidR="00360AB8" w:rsidRDefault="00360AB8">
      <w:pPr>
        <w:ind w:firstLine="709"/>
        <w:jc w:val="both"/>
        <w:rPr>
          <w:rFonts w:ascii="Times New Roman" w:eastAsia="Times New Roman" w:hAnsi="Times New Roman" w:cs="Times New Roman"/>
          <w:sz w:val="24"/>
          <w:szCs w:val="24"/>
        </w:rPr>
      </w:pPr>
    </w:p>
    <w:p w14:paraId="1C11B268" w14:textId="77777777" w:rsidR="00C82386" w:rsidRDefault="00E66F64">
      <w:pPr>
        <w:keepNext/>
        <w:keepLines/>
        <w:numPr>
          <w:ilvl w:val="0"/>
          <w:numId w:val="54"/>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32" w:name="_heading=h.3o7alnk" w:colFirst="0" w:colLast="0"/>
      <w:bookmarkEnd w:id="32"/>
      <w:r>
        <w:rPr>
          <w:rFonts w:ascii="Times New Roman" w:eastAsia="Times New Roman" w:hAnsi="Times New Roman" w:cs="Times New Roman"/>
          <w:b/>
          <w:color w:val="000000"/>
          <w:sz w:val="24"/>
          <w:szCs w:val="24"/>
        </w:rPr>
        <w:lastRenderedPageBreak/>
        <w:t>Вуличне освітлення</w:t>
      </w:r>
    </w:p>
    <w:p w14:paraId="6DF6062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Зовнішній вигляд кожного міста визначається станом об’єктів благоустрою, у тому числі й вуличного освітлення. У міському середовищі світло відіграє особливу роль, будучи одним із головних факторів, що забезпечують комфорт, відчуття безпеки проживання мешканців та руху транспорту.</w:t>
      </w:r>
    </w:p>
    <w:p w14:paraId="12565C1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зовнішнього освітлення знаходиться на балансі КП Електричн</w:t>
      </w:r>
      <w:r w:rsidR="0055767F">
        <w:rPr>
          <w:rFonts w:ascii="Times New Roman" w:eastAsia="Times New Roman" w:hAnsi="Times New Roman" w:cs="Times New Roman"/>
          <w:sz w:val="24"/>
          <w:szCs w:val="24"/>
        </w:rPr>
        <w:t>их</w:t>
      </w:r>
      <w:r>
        <w:rPr>
          <w:rFonts w:ascii="Times New Roman" w:eastAsia="Times New Roman" w:hAnsi="Times New Roman" w:cs="Times New Roman"/>
          <w:sz w:val="24"/>
          <w:szCs w:val="24"/>
        </w:rPr>
        <w:t xml:space="preserve"> мереж зовнішнього освітлення «Міськсвітло» Житомирської міської ради – єдиного підприємства в місті, яке виконує роботи по капітальному, поточному ремонту та утриманню мереж зовнішнього освітлення.</w:t>
      </w:r>
    </w:p>
    <w:p w14:paraId="1616824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2010 рік система зовнішнього освітлення міста Житомира мала 14700 світлоточок, 538,3 км мереж та 138 шаф керування. Дані по селу Вереси станом на 2010 рік відсутні.</w:t>
      </w:r>
    </w:p>
    <w:p w14:paraId="78913EB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2010 році споживання електроенергії</w:t>
      </w:r>
      <w:r w:rsidR="00360AB8">
        <w:rPr>
          <w:rFonts w:ascii="Times New Roman" w:eastAsia="Times New Roman" w:hAnsi="Times New Roman" w:cs="Times New Roman"/>
          <w:sz w:val="24"/>
          <w:szCs w:val="24"/>
        </w:rPr>
        <w:t xml:space="preserve"> мережею зовнішнього освітлення</w:t>
      </w:r>
      <w:r w:rsidR="007C7AE3">
        <w:rPr>
          <w:rFonts w:ascii="Times New Roman" w:eastAsia="Times New Roman" w:hAnsi="Times New Roman" w:cs="Times New Roman"/>
          <w:sz w:val="24"/>
          <w:szCs w:val="24"/>
        </w:rPr>
        <w:t xml:space="preserve"> у місті Житомирі</w:t>
      </w:r>
      <w:r>
        <w:rPr>
          <w:rFonts w:ascii="Times New Roman" w:eastAsia="Times New Roman" w:hAnsi="Times New Roman" w:cs="Times New Roman"/>
          <w:sz w:val="24"/>
          <w:szCs w:val="24"/>
        </w:rPr>
        <w:t xml:space="preserve"> склало 3476,0 МВт</w:t>
      </w:r>
      <w:r>
        <w:rPr>
          <w:rFonts w:ascii="Cambria Math" w:eastAsia="Cambria Math" w:hAnsi="Cambria Math" w:cs="Cambria Math"/>
          <w:sz w:val="24"/>
          <w:szCs w:val="24"/>
        </w:rPr>
        <w:t>⋅</w:t>
      </w:r>
      <w:r>
        <w:rPr>
          <w:rFonts w:ascii="Times New Roman" w:eastAsia="Times New Roman" w:hAnsi="Times New Roman" w:cs="Times New Roman"/>
          <w:sz w:val="24"/>
          <w:szCs w:val="24"/>
        </w:rPr>
        <w:t>год.</w:t>
      </w:r>
    </w:p>
    <w:p w14:paraId="77204A59" w14:textId="77777777" w:rsidR="00C82386" w:rsidRDefault="00360AB8">
      <w:pPr>
        <w:ind w:firstLine="709"/>
        <w:jc w:val="both"/>
        <w:rPr>
          <w:rFonts w:ascii="Times New Roman" w:eastAsia="Times New Roman" w:hAnsi="Times New Roman" w:cs="Times New Roman"/>
          <w:sz w:val="24"/>
          <w:szCs w:val="24"/>
        </w:rPr>
      </w:pPr>
      <w:r w:rsidRPr="002E56A5">
        <w:rPr>
          <w:noProof/>
          <w:highlight w:val="green"/>
          <w:lang w:val="ru-RU"/>
        </w:rPr>
        <w:drawing>
          <wp:anchor distT="0" distB="0" distL="114300" distR="114300" simplePos="0" relativeHeight="251670528" behindDoc="0" locked="0" layoutInCell="1" allowOverlap="1" wp14:anchorId="7E404577" wp14:editId="02B5EB3B">
            <wp:simplePos x="0" y="0"/>
            <wp:positionH relativeFrom="column">
              <wp:posOffset>0</wp:posOffset>
            </wp:positionH>
            <wp:positionV relativeFrom="paragraph">
              <wp:posOffset>1091234</wp:posOffset>
            </wp:positionV>
            <wp:extent cx="5940425" cy="3171825"/>
            <wp:effectExtent l="0" t="0" r="0" b="0"/>
            <wp:wrapTopAndBottom/>
            <wp:docPr id="34" name="Диаграмма 34">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sdt>
        <w:sdtPr>
          <w:tag w:val="goog_rdk_23"/>
          <w:id w:val="1879739235"/>
        </w:sdtPr>
        <w:sdtEndPr/>
        <w:sdtContent/>
      </w:sdt>
      <w:r w:rsidR="00E66F64">
        <w:rPr>
          <w:rFonts w:ascii="Times New Roman" w:eastAsia="Times New Roman" w:hAnsi="Times New Roman" w:cs="Times New Roman"/>
          <w:sz w:val="24"/>
          <w:szCs w:val="24"/>
        </w:rPr>
        <w:t>Станом на кінець 202</w:t>
      </w:r>
      <w:r>
        <w:rPr>
          <w:rFonts w:ascii="Times New Roman" w:eastAsia="Times New Roman" w:hAnsi="Times New Roman" w:cs="Times New Roman"/>
          <w:sz w:val="24"/>
          <w:szCs w:val="24"/>
        </w:rPr>
        <w:t>3</w:t>
      </w:r>
      <w:r w:rsidR="00E66F64">
        <w:rPr>
          <w:rFonts w:ascii="Times New Roman" w:eastAsia="Times New Roman" w:hAnsi="Times New Roman" w:cs="Times New Roman"/>
          <w:sz w:val="24"/>
          <w:szCs w:val="24"/>
        </w:rPr>
        <w:t xml:space="preserve"> року кількість світлоточок у мережі зовнішнього освітлення Житомирської міської територіальної громади складає 1</w:t>
      </w:r>
      <w:r>
        <w:rPr>
          <w:rFonts w:ascii="Times New Roman" w:eastAsia="Times New Roman" w:hAnsi="Times New Roman" w:cs="Times New Roman"/>
          <w:sz w:val="24"/>
          <w:szCs w:val="24"/>
        </w:rPr>
        <w:t>6550</w:t>
      </w:r>
      <w:r w:rsidR="00E66F64">
        <w:rPr>
          <w:rFonts w:ascii="Times New Roman" w:eastAsia="Times New Roman" w:hAnsi="Times New Roman" w:cs="Times New Roman"/>
          <w:sz w:val="24"/>
          <w:szCs w:val="24"/>
        </w:rPr>
        <w:t>. Серед них повністю відсутні лампи розжарювання та люмінесцентні лампи. Протяжність мереж вуличного освітлення складає 5</w:t>
      </w:r>
      <w:r w:rsidR="00C34337">
        <w:rPr>
          <w:rFonts w:ascii="Times New Roman" w:eastAsia="Times New Roman" w:hAnsi="Times New Roman" w:cs="Times New Roman"/>
          <w:sz w:val="24"/>
          <w:szCs w:val="24"/>
        </w:rPr>
        <w:t>18,4</w:t>
      </w:r>
      <w:r w:rsidR="00E66F64">
        <w:rPr>
          <w:rFonts w:ascii="Times New Roman" w:eastAsia="Times New Roman" w:hAnsi="Times New Roman" w:cs="Times New Roman"/>
          <w:sz w:val="24"/>
          <w:szCs w:val="24"/>
        </w:rPr>
        <w:t> км. У 20</w:t>
      </w:r>
      <w:r>
        <w:rPr>
          <w:rFonts w:ascii="Times New Roman" w:eastAsia="Times New Roman" w:hAnsi="Times New Roman" w:cs="Times New Roman"/>
          <w:sz w:val="24"/>
          <w:szCs w:val="24"/>
        </w:rPr>
        <w:t>18-2019</w:t>
      </w:r>
      <w:r w:rsidR="00E66F64">
        <w:rPr>
          <w:rFonts w:ascii="Times New Roman" w:eastAsia="Times New Roman" w:hAnsi="Times New Roman" w:cs="Times New Roman"/>
          <w:sz w:val="24"/>
          <w:szCs w:val="24"/>
        </w:rPr>
        <w:t xml:space="preserve"> році </w:t>
      </w:r>
      <w:r>
        <w:rPr>
          <w:rFonts w:ascii="Times New Roman" w:eastAsia="Times New Roman" w:hAnsi="Times New Roman" w:cs="Times New Roman"/>
          <w:sz w:val="24"/>
          <w:szCs w:val="24"/>
        </w:rPr>
        <w:t>реалізовано</w:t>
      </w:r>
      <w:r w:rsidR="00E66F64">
        <w:rPr>
          <w:rFonts w:ascii="Times New Roman" w:eastAsia="Times New Roman" w:hAnsi="Times New Roman" w:cs="Times New Roman"/>
          <w:sz w:val="24"/>
          <w:szCs w:val="24"/>
        </w:rPr>
        <w:t xml:space="preserve"> проєкт по заміні вуличного освітлення на LED освітлення. Розрахункова економія від реалізації проєкту склала 1,</w:t>
      </w:r>
      <w:r>
        <w:rPr>
          <w:rFonts w:ascii="Times New Roman" w:eastAsia="Times New Roman" w:hAnsi="Times New Roman" w:cs="Times New Roman"/>
          <w:sz w:val="24"/>
          <w:szCs w:val="24"/>
        </w:rPr>
        <w:t xml:space="preserve">8 </w:t>
      </w:r>
      <w:r w:rsidR="00E66F64">
        <w:rPr>
          <w:rFonts w:ascii="Times New Roman" w:eastAsia="Times New Roman" w:hAnsi="Times New Roman" w:cs="Times New Roman"/>
          <w:sz w:val="24"/>
          <w:szCs w:val="24"/>
        </w:rPr>
        <w:t xml:space="preserve">млн кВт*год в рік. </w:t>
      </w:r>
    </w:p>
    <w:p w14:paraId="2CD11E0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 3.17. Кількість світлоточок мережі зовнішнього освітлення</w:t>
      </w:r>
      <w:r w:rsidR="00360AB8">
        <w:rPr>
          <w:rFonts w:ascii="Times New Roman" w:eastAsia="Times New Roman" w:hAnsi="Times New Roman" w:cs="Times New Roman"/>
          <w:sz w:val="24"/>
          <w:szCs w:val="24"/>
        </w:rPr>
        <w:t xml:space="preserve"> та споживання електричної енергії</w:t>
      </w:r>
      <w:r>
        <w:rPr>
          <w:rFonts w:ascii="Times New Roman" w:eastAsia="Times New Roman" w:hAnsi="Times New Roman" w:cs="Times New Roman"/>
          <w:sz w:val="24"/>
          <w:szCs w:val="24"/>
        </w:rPr>
        <w:t xml:space="preserve"> у період 201</w:t>
      </w:r>
      <w:r w:rsidR="00360AB8">
        <w:rPr>
          <w:rFonts w:ascii="Times New Roman" w:eastAsia="Times New Roman" w:hAnsi="Times New Roman" w:cs="Times New Roman"/>
          <w:sz w:val="24"/>
          <w:szCs w:val="24"/>
        </w:rPr>
        <w:t>4</w:t>
      </w:r>
      <w:r>
        <w:rPr>
          <w:rFonts w:ascii="Times New Roman" w:eastAsia="Times New Roman" w:hAnsi="Times New Roman" w:cs="Times New Roman"/>
          <w:sz w:val="24"/>
          <w:szCs w:val="24"/>
        </w:rPr>
        <w:t>-202</w:t>
      </w:r>
      <w:r w:rsidR="00360AB8">
        <w:rPr>
          <w:rFonts w:ascii="Times New Roman" w:eastAsia="Times New Roman" w:hAnsi="Times New Roman" w:cs="Times New Roman"/>
          <w:sz w:val="24"/>
          <w:szCs w:val="24"/>
        </w:rPr>
        <w:t>3</w:t>
      </w:r>
      <w:r>
        <w:rPr>
          <w:rFonts w:ascii="Times New Roman" w:eastAsia="Times New Roman" w:hAnsi="Times New Roman" w:cs="Times New Roman"/>
          <w:sz w:val="24"/>
          <w:szCs w:val="24"/>
        </w:rPr>
        <w:t> рр.</w:t>
      </w:r>
    </w:p>
    <w:p w14:paraId="6D791F4C" w14:textId="77777777" w:rsidR="00360AB8" w:rsidRDefault="00360AB8" w:rsidP="00360AB8">
      <w:pPr>
        <w:spacing w:before="24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Разом з тим, обсяг спожитої електроенергії світлофорами у 2020 році складає 187,321 МВт год. Всі світлофори оснащені світлодіодними модулями та LED лампами. Загальна кількість світлофорів становить 110 од. станом на кінець 2020 року.</w:t>
      </w:r>
    </w:p>
    <w:p w14:paraId="5AB28804" w14:textId="77777777" w:rsidR="00360AB8" w:rsidRDefault="00360AB8">
      <w:pPr>
        <w:spacing w:after="0"/>
        <w:jc w:val="both"/>
        <w:rPr>
          <w:rFonts w:ascii="Times New Roman" w:eastAsia="Times New Roman" w:hAnsi="Times New Roman" w:cs="Times New Roman"/>
          <w:sz w:val="24"/>
          <w:szCs w:val="24"/>
        </w:rPr>
      </w:pPr>
    </w:p>
    <w:p w14:paraId="0E18E064" w14:textId="77777777" w:rsidR="00C82386" w:rsidRDefault="00360AB8">
      <w:pPr>
        <w:spacing w:before="240" w:after="0"/>
        <w:jc w:val="center"/>
        <w:rPr>
          <w:rFonts w:ascii="Times New Roman" w:eastAsia="Times New Roman" w:hAnsi="Times New Roman" w:cs="Times New Roman"/>
          <w:sz w:val="24"/>
          <w:szCs w:val="24"/>
        </w:rPr>
      </w:pPr>
      <w:r w:rsidRPr="002E56A5">
        <w:rPr>
          <w:noProof/>
          <w:highlight w:val="green"/>
          <w:lang w:val="ru-RU"/>
        </w:rPr>
        <w:lastRenderedPageBreak/>
        <w:drawing>
          <wp:anchor distT="0" distB="0" distL="114300" distR="114300" simplePos="0" relativeHeight="251672576" behindDoc="0" locked="0" layoutInCell="1" allowOverlap="1" wp14:anchorId="180DF9CC" wp14:editId="6B34C5E6">
            <wp:simplePos x="0" y="0"/>
            <wp:positionH relativeFrom="column">
              <wp:posOffset>0</wp:posOffset>
            </wp:positionH>
            <wp:positionV relativeFrom="paragraph">
              <wp:posOffset>206375</wp:posOffset>
            </wp:positionV>
            <wp:extent cx="5940425" cy="2924175"/>
            <wp:effectExtent l="0" t="0" r="0" b="0"/>
            <wp:wrapTopAndBottom/>
            <wp:docPr id="35" name="Диаграмма 35">
              <a:extLst xmlns:a="http://schemas.openxmlformats.org/drawingml/2006/main">
                <a:ext uri="{FF2B5EF4-FFF2-40B4-BE49-F238E27FC236}">
                  <a16:creationId xmlns:a16="http://schemas.microsoft.com/office/drawing/2014/main" id="{00000000-0008-0000-0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p w14:paraId="6B65151F" w14:textId="77777777" w:rsidR="00C82386" w:rsidRPr="00360AB8" w:rsidRDefault="00E66F64">
      <w:pPr>
        <w:spacing w:after="0"/>
        <w:jc w:val="both"/>
        <w:rPr>
          <w:rFonts w:ascii="Times New Roman" w:eastAsia="Times New Roman" w:hAnsi="Times New Roman" w:cs="Times New Roman"/>
          <w:sz w:val="24"/>
          <w:szCs w:val="24"/>
        </w:rPr>
      </w:pPr>
      <w:r w:rsidRPr="00360AB8">
        <w:rPr>
          <w:rFonts w:ascii="Times New Roman" w:eastAsia="Times New Roman" w:hAnsi="Times New Roman" w:cs="Times New Roman"/>
          <w:sz w:val="24"/>
          <w:szCs w:val="24"/>
        </w:rPr>
        <w:t>Рис. 3.1</w:t>
      </w:r>
      <w:r w:rsidR="00360AB8">
        <w:rPr>
          <w:rFonts w:ascii="Times New Roman" w:eastAsia="Times New Roman" w:hAnsi="Times New Roman" w:cs="Times New Roman"/>
          <w:sz w:val="24"/>
          <w:szCs w:val="24"/>
        </w:rPr>
        <w:t>8</w:t>
      </w:r>
      <w:r w:rsidRPr="00360AB8">
        <w:rPr>
          <w:rFonts w:ascii="Times New Roman" w:eastAsia="Times New Roman" w:hAnsi="Times New Roman" w:cs="Times New Roman"/>
          <w:sz w:val="24"/>
          <w:szCs w:val="24"/>
        </w:rPr>
        <w:t>. Кількість світлофорів у період 2014-202</w:t>
      </w:r>
      <w:r w:rsidR="00360AB8" w:rsidRPr="00360AB8">
        <w:rPr>
          <w:rFonts w:ascii="Times New Roman" w:eastAsia="Times New Roman" w:hAnsi="Times New Roman" w:cs="Times New Roman"/>
          <w:sz w:val="24"/>
          <w:szCs w:val="24"/>
        </w:rPr>
        <w:t>3</w:t>
      </w:r>
      <w:r w:rsidR="00360AB8">
        <w:rPr>
          <w:rFonts w:ascii="Times New Roman" w:eastAsia="Times New Roman" w:hAnsi="Times New Roman" w:cs="Times New Roman"/>
          <w:sz w:val="24"/>
          <w:szCs w:val="24"/>
        </w:rPr>
        <w:t xml:space="preserve"> та споживання електричної енергії світлофорними об’єктами</w:t>
      </w:r>
    </w:p>
    <w:p w14:paraId="1FE83A54" w14:textId="77777777" w:rsidR="00360AB8" w:rsidRDefault="00360AB8">
      <w:pPr>
        <w:spacing w:after="0"/>
        <w:jc w:val="both"/>
        <w:rPr>
          <w:rFonts w:ascii="Times New Roman" w:eastAsia="Times New Roman" w:hAnsi="Times New Roman" w:cs="Times New Roman"/>
          <w:sz w:val="24"/>
          <w:szCs w:val="24"/>
        </w:rPr>
      </w:pPr>
    </w:p>
    <w:p w14:paraId="2B1269EE" w14:textId="77777777" w:rsidR="00C82386" w:rsidRDefault="00E66F64">
      <w:pPr>
        <w:keepNext/>
        <w:keepLines/>
        <w:numPr>
          <w:ilvl w:val="0"/>
          <w:numId w:val="54"/>
        </w:numPr>
        <w:pBdr>
          <w:top w:val="nil"/>
          <w:left w:val="nil"/>
          <w:bottom w:val="nil"/>
          <w:right w:val="nil"/>
          <w:between w:val="nil"/>
        </w:pBdr>
        <w:spacing w:after="0"/>
        <w:ind w:hanging="420"/>
        <w:rPr>
          <w:rFonts w:ascii="Times New Roman" w:eastAsia="Times New Roman" w:hAnsi="Times New Roman" w:cs="Times New Roman"/>
          <w:b/>
          <w:color w:val="000000"/>
          <w:sz w:val="24"/>
          <w:szCs w:val="24"/>
        </w:rPr>
      </w:pPr>
      <w:bookmarkStart w:id="33" w:name="bookmark=id.23ckvvd" w:colFirst="0" w:colLast="0"/>
      <w:bookmarkStart w:id="34" w:name="_heading=h.ihv636" w:colFirst="0" w:colLast="0"/>
      <w:bookmarkEnd w:id="33"/>
      <w:bookmarkEnd w:id="34"/>
      <w:r>
        <w:rPr>
          <w:rFonts w:ascii="Times New Roman" w:eastAsia="Times New Roman" w:hAnsi="Times New Roman" w:cs="Times New Roman"/>
          <w:b/>
          <w:color w:val="000000"/>
          <w:sz w:val="24"/>
          <w:szCs w:val="24"/>
        </w:rPr>
        <w:t>Промисловість (середній та малий бізнес) та комерційні структури</w:t>
      </w:r>
    </w:p>
    <w:p w14:paraId="7C7698E3" w14:textId="77777777" w:rsidR="00C82386" w:rsidRDefault="00E66F64">
      <w:pPr>
        <w:spacing w:after="0"/>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Промисловість в Житомирської територіальної громади представлена 3 підприємствами великої промисловості </w:t>
      </w:r>
      <w:r>
        <w:rPr>
          <w:rFonts w:ascii="Times New Roman" w:eastAsia="Times New Roman" w:hAnsi="Times New Roman" w:cs="Times New Roman"/>
          <w:sz w:val="24"/>
          <w:szCs w:val="24"/>
          <w:highlight w:val="white"/>
        </w:rPr>
        <w:t>та 130 середніми, 2762 малими підприємствами (</w:t>
      </w:r>
      <w:r>
        <w:rPr>
          <w:rFonts w:ascii="Times New Roman" w:eastAsia="Times New Roman" w:hAnsi="Times New Roman" w:cs="Times New Roman"/>
          <w:sz w:val="24"/>
          <w:szCs w:val="24"/>
        </w:rPr>
        <w:t>промисловість поза СТВ)</w:t>
      </w:r>
      <w:r>
        <w:rPr>
          <w:rFonts w:ascii="Times New Roman" w:eastAsia="Times New Roman" w:hAnsi="Times New Roman" w:cs="Times New Roman"/>
          <w:sz w:val="24"/>
          <w:szCs w:val="24"/>
          <w:highlight w:val="white"/>
        </w:rPr>
        <w:t xml:space="preserve">. Крім того в громаді зареєстровано 28 471 фізичні особи-підприємці. </w:t>
      </w:r>
    </w:p>
    <w:p w14:paraId="6CD43CF7" w14:textId="77777777" w:rsidR="00C82386" w:rsidRDefault="00E66F64">
      <w:pPr>
        <w:spacing w:after="0"/>
        <w:ind w:firstLine="709"/>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 xml:space="preserve">Точний обсяг енергоспоживання для промисловості середнього та малого бізнесу і комерційних структур виявити не вдалося, оскільки не було отримано даних для проведення розрахунку по енергоспоживанню промислових потужностей підприємств великої промисловості, що розташовані у громаді. </w:t>
      </w:r>
    </w:p>
    <w:p w14:paraId="2533BD5A" w14:textId="77777777" w:rsidR="00C82386" w:rsidRDefault="00E66F64">
      <w:pPr>
        <w:spacing w:after="0"/>
        <w:ind w:firstLine="709"/>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 xml:space="preserve">Оскільки </w:t>
      </w:r>
      <w:r>
        <w:rPr>
          <w:rFonts w:ascii="Times New Roman" w:eastAsia="Times New Roman" w:hAnsi="Times New Roman" w:cs="Times New Roman"/>
          <w:sz w:val="24"/>
          <w:szCs w:val="24"/>
        </w:rPr>
        <w:t>органи місцевого самоврядування не мають впливу на обсяги енергоспоживання промисловості середнього та малого бізнесу і комерційних структур, а дані про споживання енергоресурсів станом на обраний базовий 2010 рік відсутні, забезпечити моніторинг енергоспоживання  в подальші роки неможливо, тому сектор «Промисловість (середній та малий бізнес) та комерційні структури» до Базового кадастру викидів не включається.</w:t>
      </w:r>
    </w:p>
    <w:p w14:paraId="4CF3F5A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Будівлі та приміщення, що експлуатуються комерційними структурами та надавачами послуг, підключені до електромережі та, як правило, до мережі централізованого теплопостачання (або газопостачання). Деякі з підприємств мають власні котельні на твердому паливі.</w:t>
      </w:r>
    </w:p>
    <w:p w14:paraId="46238D8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ознайомлення з обсягами енергоспоживання промисловості (без поділу за розміром) та комерційних структур як кінцевих споживачів в таблиці 3.15. та на рисунку 2.16. наведені дані споживання енергоресурсів по м. Житомиру у 2010 році. В наведені дані не включено енергоспоживання КП «Житомиртеплокомуненерго», оскільки воно є виробником теплової енергії, не є кінцевим споживачем і розглядається окремо.</w:t>
      </w:r>
    </w:p>
    <w:p w14:paraId="5CF8BADF"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3.15.</w:t>
      </w:r>
    </w:p>
    <w:p w14:paraId="4D25E68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Енергоспоживання промисловості та комерційних структур </w:t>
      </w:r>
      <w:r>
        <w:rPr>
          <w:rFonts w:ascii="Times New Roman" w:eastAsia="Times New Roman" w:hAnsi="Times New Roman" w:cs="Times New Roman"/>
          <w:sz w:val="24"/>
          <w:szCs w:val="24"/>
        </w:rPr>
        <w:br/>
        <w:t>Житомирської громади у 2010 та 2020 роках</w:t>
      </w:r>
    </w:p>
    <w:tbl>
      <w:tblPr>
        <w:tblStyle w:val="affff7"/>
        <w:tblW w:w="83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91"/>
        <w:gridCol w:w="1330"/>
        <w:gridCol w:w="1275"/>
        <w:gridCol w:w="1466"/>
      </w:tblGrid>
      <w:tr w:rsidR="00C82386" w14:paraId="10D77425" w14:textId="77777777">
        <w:trPr>
          <w:trHeight w:val="300"/>
          <w:jc w:val="center"/>
        </w:trPr>
        <w:tc>
          <w:tcPr>
            <w:tcW w:w="4291" w:type="dxa"/>
            <w:shd w:val="clear" w:color="auto" w:fill="auto"/>
            <w:vAlign w:val="center"/>
          </w:tcPr>
          <w:p w14:paraId="4208FFD7" w14:textId="77777777" w:rsidR="00C82386" w:rsidRDefault="00360AB8">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Види енергоресурсів</w:t>
            </w:r>
          </w:p>
        </w:tc>
        <w:tc>
          <w:tcPr>
            <w:tcW w:w="1330" w:type="dxa"/>
            <w:shd w:val="clear" w:color="auto" w:fill="auto"/>
            <w:vAlign w:val="center"/>
          </w:tcPr>
          <w:p w14:paraId="6E4BA32F"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2010</w:t>
            </w:r>
          </w:p>
        </w:tc>
        <w:tc>
          <w:tcPr>
            <w:tcW w:w="1275" w:type="dxa"/>
            <w:vAlign w:val="center"/>
          </w:tcPr>
          <w:p w14:paraId="66C0383C"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2020</w:t>
            </w:r>
          </w:p>
        </w:tc>
        <w:tc>
          <w:tcPr>
            <w:tcW w:w="1466" w:type="dxa"/>
            <w:vAlign w:val="center"/>
          </w:tcPr>
          <w:p w14:paraId="773A40DE" w14:textId="77777777" w:rsidR="00C82386" w:rsidRDefault="00E66F6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rPr>
              <w:t>% зменшення/</w:t>
            </w:r>
            <w:r>
              <w:rPr>
                <w:rFonts w:ascii="Times New Roman" w:eastAsia="Times New Roman" w:hAnsi="Times New Roman" w:cs="Times New Roman"/>
                <w:b/>
                <w:color w:val="000000"/>
              </w:rPr>
              <w:br/>
              <w:t>збільшення</w:t>
            </w:r>
          </w:p>
        </w:tc>
      </w:tr>
      <w:tr w:rsidR="00C82386" w14:paraId="4F8CA28F" w14:textId="77777777">
        <w:trPr>
          <w:trHeight w:val="300"/>
          <w:jc w:val="center"/>
        </w:trPr>
        <w:tc>
          <w:tcPr>
            <w:tcW w:w="4291" w:type="dxa"/>
            <w:shd w:val="clear" w:color="auto" w:fill="auto"/>
            <w:vAlign w:val="bottom"/>
          </w:tcPr>
          <w:p w14:paraId="348F6DB5"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Теплова енергія, тис. Гкал</w:t>
            </w:r>
          </w:p>
        </w:tc>
        <w:tc>
          <w:tcPr>
            <w:tcW w:w="1330" w:type="dxa"/>
            <w:shd w:val="clear" w:color="auto" w:fill="auto"/>
            <w:vAlign w:val="center"/>
          </w:tcPr>
          <w:p w14:paraId="7D70906B" w14:textId="77777777" w:rsidR="00C82386" w:rsidRPr="002316C3" w:rsidRDefault="00265A01">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28,8</w:t>
            </w:r>
          </w:p>
        </w:tc>
        <w:tc>
          <w:tcPr>
            <w:tcW w:w="1275" w:type="dxa"/>
            <w:vAlign w:val="center"/>
          </w:tcPr>
          <w:p w14:paraId="626146A4"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12,3</w:t>
            </w:r>
          </w:p>
        </w:tc>
        <w:tc>
          <w:tcPr>
            <w:tcW w:w="1466" w:type="dxa"/>
          </w:tcPr>
          <w:p w14:paraId="48DFDF77" w14:textId="77777777" w:rsidR="00C82386" w:rsidRPr="002316C3" w:rsidRDefault="00265A01">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w:t>
            </w:r>
            <w:r w:rsidR="00E66F64" w:rsidRPr="002316C3">
              <w:rPr>
                <w:rFonts w:ascii="Times New Roman" w:eastAsia="Times New Roman" w:hAnsi="Times New Roman" w:cs="Times New Roman"/>
                <w:color w:val="000000"/>
                <w:sz w:val="24"/>
                <w:szCs w:val="24"/>
              </w:rPr>
              <w:t>57,1%</w:t>
            </w:r>
          </w:p>
        </w:tc>
      </w:tr>
      <w:tr w:rsidR="00C82386" w14:paraId="64EDEE09" w14:textId="77777777">
        <w:trPr>
          <w:trHeight w:val="300"/>
          <w:jc w:val="center"/>
        </w:trPr>
        <w:tc>
          <w:tcPr>
            <w:tcW w:w="4291" w:type="dxa"/>
            <w:shd w:val="clear" w:color="auto" w:fill="auto"/>
            <w:vAlign w:val="bottom"/>
          </w:tcPr>
          <w:p w14:paraId="614528FB"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Електроенергія, тис. МВт.год</w:t>
            </w:r>
          </w:p>
        </w:tc>
        <w:tc>
          <w:tcPr>
            <w:tcW w:w="1330" w:type="dxa"/>
            <w:shd w:val="clear" w:color="auto" w:fill="auto"/>
            <w:vAlign w:val="center"/>
          </w:tcPr>
          <w:p w14:paraId="354207A4"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173,728</w:t>
            </w:r>
          </w:p>
        </w:tc>
        <w:tc>
          <w:tcPr>
            <w:tcW w:w="1275" w:type="dxa"/>
            <w:vAlign w:val="center"/>
          </w:tcPr>
          <w:p w14:paraId="412BEBFB"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262,2</w:t>
            </w:r>
          </w:p>
        </w:tc>
        <w:tc>
          <w:tcPr>
            <w:tcW w:w="1466" w:type="dxa"/>
          </w:tcPr>
          <w:p w14:paraId="4D08C803"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-50,9%</w:t>
            </w:r>
          </w:p>
        </w:tc>
      </w:tr>
      <w:tr w:rsidR="00C82386" w14:paraId="708A71F2" w14:textId="77777777">
        <w:trPr>
          <w:trHeight w:val="300"/>
          <w:jc w:val="center"/>
        </w:trPr>
        <w:tc>
          <w:tcPr>
            <w:tcW w:w="4291" w:type="dxa"/>
            <w:shd w:val="clear" w:color="auto" w:fill="auto"/>
            <w:vAlign w:val="bottom"/>
          </w:tcPr>
          <w:p w14:paraId="16D1AC09"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Природний газ, тис. м3</w:t>
            </w:r>
          </w:p>
        </w:tc>
        <w:tc>
          <w:tcPr>
            <w:tcW w:w="1330" w:type="dxa"/>
            <w:shd w:val="clear" w:color="auto" w:fill="auto"/>
            <w:vAlign w:val="center"/>
          </w:tcPr>
          <w:p w14:paraId="04C183CE"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74 603,6</w:t>
            </w:r>
          </w:p>
        </w:tc>
        <w:tc>
          <w:tcPr>
            <w:tcW w:w="1275" w:type="dxa"/>
            <w:vAlign w:val="center"/>
          </w:tcPr>
          <w:p w14:paraId="0EEA2199"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39 660,7</w:t>
            </w:r>
          </w:p>
        </w:tc>
        <w:tc>
          <w:tcPr>
            <w:tcW w:w="1466" w:type="dxa"/>
          </w:tcPr>
          <w:p w14:paraId="4717A10E" w14:textId="77777777" w:rsidR="00C82386" w:rsidRPr="002316C3" w:rsidRDefault="00265A01">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w:t>
            </w:r>
            <w:r w:rsidR="00E66F64" w:rsidRPr="002316C3">
              <w:rPr>
                <w:rFonts w:ascii="Times New Roman" w:eastAsia="Times New Roman" w:hAnsi="Times New Roman" w:cs="Times New Roman"/>
                <w:color w:val="000000"/>
                <w:sz w:val="24"/>
                <w:szCs w:val="24"/>
              </w:rPr>
              <w:t>46,8%</w:t>
            </w:r>
          </w:p>
        </w:tc>
      </w:tr>
      <w:tr w:rsidR="00C82386" w14:paraId="1DE2FE18" w14:textId="77777777">
        <w:trPr>
          <w:trHeight w:val="300"/>
          <w:jc w:val="center"/>
        </w:trPr>
        <w:tc>
          <w:tcPr>
            <w:tcW w:w="4291" w:type="dxa"/>
            <w:shd w:val="clear" w:color="auto" w:fill="auto"/>
            <w:vAlign w:val="bottom"/>
          </w:tcPr>
          <w:p w14:paraId="0A424548"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Загальний обсяг енергії, тис. МВт.год</w:t>
            </w:r>
          </w:p>
        </w:tc>
        <w:tc>
          <w:tcPr>
            <w:tcW w:w="1330" w:type="dxa"/>
            <w:shd w:val="clear" w:color="auto" w:fill="auto"/>
            <w:vAlign w:val="center"/>
          </w:tcPr>
          <w:p w14:paraId="2B689215"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912,21</w:t>
            </w:r>
          </w:p>
        </w:tc>
        <w:tc>
          <w:tcPr>
            <w:tcW w:w="1275" w:type="dxa"/>
            <w:vAlign w:val="center"/>
          </w:tcPr>
          <w:p w14:paraId="65B8E893" w14:textId="77777777" w:rsidR="00C82386" w:rsidRPr="002316C3" w:rsidRDefault="00E66F64">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651,31</w:t>
            </w:r>
          </w:p>
        </w:tc>
        <w:tc>
          <w:tcPr>
            <w:tcW w:w="1466" w:type="dxa"/>
          </w:tcPr>
          <w:p w14:paraId="01BF2B0B" w14:textId="77777777" w:rsidR="00C82386" w:rsidRPr="002316C3" w:rsidRDefault="00265A01">
            <w:pPr>
              <w:spacing w:after="0" w:line="240" w:lineRule="auto"/>
              <w:jc w:val="center"/>
              <w:rPr>
                <w:rFonts w:ascii="Times New Roman" w:eastAsia="Times New Roman" w:hAnsi="Times New Roman" w:cs="Times New Roman"/>
                <w:color w:val="000000"/>
                <w:sz w:val="24"/>
                <w:szCs w:val="24"/>
              </w:rPr>
            </w:pPr>
            <w:r w:rsidRPr="002316C3">
              <w:rPr>
                <w:rFonts w:ascii="Times New Roman" w:eastAsia="Times New Roman" w:hAnsi="Times New Roman" w:cs="Times New Roman"/>
                <w:color w:val="000000"/>
                <w:sz w:val="24"/>
                <w:szCs w:val="24"/>
              </w:rPr>
              <w:t>-</w:t>
            </w:r>
            <w:r w:rsidR="00E66F64" w:rsidRPr="002316C3">
              <w:rPr>
                <w:rFonts w:ascii="Times New Roman" w:eastAsia="Times New Roman" w:hAnsi="Times New Roman" w:cs="Times New Roman"/>
                <w:color w:val="000000"/>
                <w:sz w:val="24"/>
                <w:szCs w:val="24"/>
              </w:rPr>
              <w:t>28,6%</w:t>
            </w:r>
          </w:p>
        </w:tc>
      </w:tr>
    </w:tbl>
    <w:p w14:paraId="283AA1EF" w14:textId="77777777" w:rsidR="00C82386" w:rsidRDefault="00E66F64">
      <w:pPr>
        <w:spacing w:before="240" w:after="0"/>
        <w:ind w:firstLine="709"/>
        <w:jc w:val="both"/>
        <w:rPr>
          <w:rFonts w:ascii="Times New Roman" w:eastAsia="Times New Roman" w:hAnsi="Times New Roman" w:cs="Times New Roman"/>
          <w:sz w:val="24"/>
          <w:szCs w:val="24"/>
        </w:rPr>
      </w:pPr>
      <w:r>
        <w:rPr>
          <w:noProof/>
          <w:lang w:val="ru-RU"/>
        </w:rPr>
        <w:drawing>
          <wp:inline distT="0" distB="0" distL="0" distR="0" wp14:anchorId="629901A3" wp14:editId="22E0B870">
            <wp:extent cx="4775532" cy="2299169"/>
            <wp:effectExtent l="0" t="0" r="0" b="0"/>
            <wp:docPr id="2144251919" name="Диаграмма 21442519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C6315AE" w14:textId="77777777" w:rsidR="00C82386" w:rsidRDefault="00E66F64">
      <w:pPr>
        <w:spacing w:after="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3.21. Структура енергоспоживання промисловості та комерційного сектора в 2012 р.</w:t>
      </w:r>
    </w:p>
    <w:p w14:paraId="30439578" w14:textId="77777777" w:rsidR="00C82386" w:rsidRDefault="00E66F64">
      <w:pPr>
        <w:spacing w:after="0"/>
        <w:jc w:val="center"/>
        <w:rPr>
          <w:rFonts w:ascii="Times New Roman" w:eastAsia="Times New Roman" w:hAnsi="Times New Roman" w:cs="Times New Roman"/>
          <w:sz w:val="24"/>
          <w:szCs w:val="24"/>
        </w:rPr>
      </w:pPr>
      <w:r>
        <w:rPr>
          <w:noProof/>
          <w:lang w:val="ru-RU"/>
        </w:rPr>
        <w:drawing>
          <wp:inline distT="0" distB="0" distL="0" distR="0" wp14:anchorId="22105B95" wp14:editId="68963420">
            <wp:extent cx="5067300" cy="2298700"/>
            <wp:effectExtent l="0" t="0" r="0" b="0"/>
            <wp:docPr id="2144251920" name="Диаграмма 21442519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BC9EDBE" w14:textId="77777777" w:rsidR="00C82386" w:rsidRDefault="00E66F64">
      <w:pPr>
        <w:spacing w:after="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Рисунок 3.22. Структура енергоспоживання промисловості та комерційного сектору в 2020 р.</w:t>
      </w:r>
    </w:p>
    <w:p w14:paraId="7CB260FF" w14:textId="77777777" w:rsidR="00C82386" w:rsidRPr="002316C3" w:rsidRDefault="00E66F64">
      <w:pPr>
        <w:spacing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За період з 2010 року по 2020 рік енергоспоживання промисловістю та комерційними структурами Житомирської громади зменшилося на 28%, при чому наявне зменшення споживання природного газу та тепла при збільшення споживання електроенергії. Відповідно змінилася і структура енергоспоживання зі збільшенням долі спожитої електроенергії з 19% до 40,3%.</w:t>
      </w:r>
    </w:p>
    <w:p w14:paraId="624001B5" w14:textId="77777777" w:rsidR="00C82386" w:rsidRPr="002316C3" w:rsidRDefault="00E66F64">
      <w:pPr>
        <w:spacing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Можливою причиною зменшення споживання природного газу є переведення потужностей опалення на твердопаливні котли, але детальна інформація з цього приводу відсутня.</w:t>
      </w:r>
    </w:p>
    <w:p w14:paraId="4C8E6C52" w14:textId="77777777" w:rsidR="00C82386" w:rsidRPr="002316C3" w:rsidRDefault="00E66F64">
      <w:pPr>
        <w:spacing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 xml:space="preserve">Варто зауважити, що споживання промисловості та комерційних структур у 2010 році складає 32,5% від загального енергоспоживання по Житомирській міській територіальній громаді, і хоча надалі промисловість не розглядається в рамках Базового кадастру викидів, було б доцільно проводити інформаційно-просвітницькі заходи за участі </w:t>
      </w:r>
      <w:r w:rsidRPr="002316C3">
        <w:rPr>
          <w:rFonts w:ascii="Times New Roman" w:eastAsia="Times New Roman" w:hAnsi="Times New Roman" w:cs="Times New Roman"/>
          <w:sz w:val="24"/>
          <w:szCs w:val="24"/>
        </w:rPr>
        <w:lastRenderedPageBreak/>
        <w:t>представників промисловості та комерційного сектору, оскільки вони є невід’ємною частиною функціонування міста і викиди СО</w:t>
      </w:r>
      <w:r w:rsidRPr="002316C3">
        <w:rPr>
          <w:rFonts w:ascii="Times New Roman" w:eastAsia="Times New Roman" w:hAnsi="Times New Roman" w:cs="Times New Roman"/>
          <w:sz w:val="24"/>
          <w:szCs w:val="24"/>
          <w:vertAlign w:val="subscript"/>
        </w:rPr>
        <w:t>2</w:t>
      </w:r>
      <w:r w:rsidRPr="002316C3">
        <w:rPr>
          <w:rFonts w:ascii="Times New Roman" w:eastAsia="Times New Roman" w:hAnsi="Times New Roman" w:cs="Times New Roman"/>
          <w:sz w:val="24"/>
          <w:szCs w:val="24"/>
        </w:rPr>
        <w:t xml:space="preserve"> та інших шкідливих речовин від промислової діяльності загрожують екології міста, здоров’ю населення та мають вплив на загальну екологічну ситуацію в регіоні. </w:t>
      </w:r>
    </w:p>
    <w:p w14:paraId="0EDE7164" w14:textId="77777777" w:rsidR="00C82386" w:rsidRDefault="00E66F64">
      <w:pPr>
        <w:spacing w:after="0"/>
        <w:ind w:firstLine="709"/>
        <w:jc w:val="both"/>
        <w:rPr>
          <w:rFonts w:ascii="Times New Roman" w:eastAsia="Times New Roman" w:hAnsi="Times New Roman" w:cs="Times New Roman"/>
          <w:sz w:val="24"/>
          <w:szCs w:val="24"/>
        </w:rPr>
      </w:pPr>
      <w:r w:rsidRPr="002316C3">
        <w:rPr>
          <w:rFonts w:ascii="Times New Roman" w:eastAsia="Times New Roman" w:hAnsi="Times New Roman" w:cs="Times New Roman"/>
          <w:sz w:val="24"/>
          <w:szCs w:val="24"/>
        </w:rPr>
        <w:t>Рекомендується доводити до відома промислових структур інформацію про необхідність проведення енергетичного аудиту промислових</w:t>
      </w:r>
      <w:r>
        <w:rPr>
          <w:rFonts w:ascii="Times New Roman" w:eastAsia="Times New Roman" w:hAnsi="Times New Roman" w:cs="Times New Roman"/>
          <w:sz w:val="24"/>
          <w:szCs w:val="24"/>
        </w:rPr>
        <w:t xml:space="preserve"> підприємств та поступового покращення енергоефективності виробництва, що забезпечує покращення економічних показників та позитивно вплине на оточуюче середовище.</w:t>
      </w:r>
    </w:p>
    <w:p w14:paraId="06B0B684" w14:textId="77777777" w:rsidR="00C82386" w:rsidRDefault="00E66F64">
      <w:pPr>
        <w:keepNext/>
        <w:keepLines/>
        <w:numPr>
          <w:ilvl w:val="0"/>
          <w:numId w:val="54"/>
        </w:numPr>
        <w:pBdr>
          <w:top w:val="nil"/>
          <w:left w:val="nil"/>
          <w:bottom w:val="nil"/>
          <w:right w:val="nil"/>
          <w:between w:val="nil"/>
        </w:pBdr>
        <w:spacing w:before="200" w:after="0"/>
        <w:ind w:hanging="420"/>
        <w:rPr>
          <w:rFonts w:ascii="Times New Roman" w:eastAsia="Times New Roman" w:hAnsi="Times New Roman" w:cs="Times New Roman"/>
          <w:b/>
          <w:color w:val="000000"/>
          <w:sz w:val="24"/>
          <w:szCs w:val="24"/>
        </w:rPr>
      </w:pPr>
      <w:bookmarkStart w:id="35" w:name="_heading=h.32hioqz" w:colFirst="0" w:colLast="0"/>
      <w:bookmarkEnd w:id="35"/>
      <w:r>
        <w:rPr>
          <w:rFonts w:ascii="Times New Roman" w:eastAsia="Times New Roman" w:hAnsi="Times New Roman" w:cs="Times New Roman"/>
          <w:b/>
          <w:color w:val="000000"/>
          <w:sz w:val="24"/>
          <w:szCs w:val="24"/>
        </w:rPr>
        <w:t>Транспорт</w:t>
      </w:r>
    </w:p>
    <w:p w14:paraId="4456875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 — великий транспортний вузол України, головною особливістю якого є безпосередня близькість до міста Києва: відстань до столиці залізницею складає 165 км, автомобільними шляхами — 131 км.</w:t>
      </w:r>
    </w:p>
    <w:p w14:paraId="469421CD" w14:textId="77777777" w:rsidR="00C82386" w:rsidRDefault="00C82386">
      <w:pPr>
        <w:spacing w:after="0"/>
        <w:ind w:firstLine="709"/>
        <w:jc w:val="both"/>
        <w:rPr>
          <w:rFonts w:ascii="Times New Roman" w:eastAsia="Times New Roman" w:hAnsi="Times New Roman" w:cs="Times New Roman"/>
          <w:sz w:val="24"/>
          <w:szCs w:val="24"/>
        </w:rPr>
      </w:pPr>
    </w:p>
    <w:p w14:paraId="3BE18A97" w14:textId="77777777" w:rsidR="00C82386" w:rsidRDefault="00E66F64">
      <w:r>
        <w:rPr>
          <w:noProof/>
          <w:lang w:val="ru-RU"/>
        </w:rPr>
        <w:drawing>
          <wp:inline distT="0" distB="0" distL="0" distR="0" wp14:anchorId="655A9706" wp14:editId="5F60B47E">
            <wp:extent cx="5987333" cy="5144494"/>
            <wp:effectExtent l="0" t="0" r="0" b="0"/>
            <wp:docPr id="214425196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8"/>
                    <a:srcRect/>
                    <a:stretch>
                      <a:fillRect/>
                    </a:stretch>
                  </pic:blipFill>
                  <pic:spPr>
                    <a:xfrm>
                      <a:off x="0" y="0"/>
                      <a:ext cx="5995140" cy="5151202"/>
                    </a:xfrm>
                    <a:prstGeom prst="rect">
                      <a:avLst/>
                    </a:prstGeom>
                    <a:ln/>
                  </pic:spPr>
                </pic:pic>
              </a:graphicData>
            </a:graphic>
          </wp:inline>
        </w:drawing>
      </w:r>
    </w:p>
    <w:p w14:paraId="568EA9E1" w14:textId="77777777" w:rsidR="00C82386" w:rsidRDefault="00E66F64">
      <w:pPr>
        <w:spacing w:after="120"/>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Рисунок 3.23 – Регіональні транспортні зв’язки м. Житомир </w:t>
      </w:r>
      <w:r>
        <w:rPr>
          <w:rFonts w:ascii="Times New Roman" w:eastAsia="Times New Roman" w:hAnsi="Times New Roman" w:cs="Times New Roman"/>
          <w:sz w:val="24"/>
          <w:szCs w:val="24"/>
        </w:rPr>
        <w:br/>
        <w:t>(Джерело: Житомир: паспорт міста 2016)</w:t>
      </w:r>
    </w:p>
    <w:p w14:paraId="3A181393" w14:textId="77777777" w:rsidR="00B64824" w:rsidRDefault="00B64824" w:rsidP="00B6482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Житомира підходять п’ять автомобільних доріг державного значення: автомобільна дорога міжнародного значення М-06, сполученням Київ-Чоп (на Будапешт через Львів, Мукачеве, Ужгород); автомобільна дорога національного значення Н-03, сполученням Житомир-Чернівці; автомобільна дорога міжнародного значення М-21, </w:t>
      </w:r>
      <w:r>
        <w:rPr>
          <w:rFonts w:ascii="Times New Roman" w:eastAsia="Times New Roman" w:hAnsi="Times New Roman" w:cs="Times New Roman"/>
          <w:sz w:val="24"/>
          <w:szCs w:val="24"/>
        </w:rPr>
        <w:lastRenderedPageBreak/>
        <w:t>сполученням Житомир – Могилів-Подільський (через Вінницю); автомобільна дорога регіонального значення Р-18, сполученням Житомир – Попільня – Сквира – Володарка – Ставище; автомобільна дорога регіонального значення Р-28, сполученням Виступовичі (на Мозир) – Житомир (через Овруч)</w:t>
      </w:r>
      <w:r>
        <w:rPr>
          <w:rFonts w:ascii="Times New Roman" w:eastAsia="Times New Roman" w:hAnsi="Times New Roman" w:cs="Times New Roman"/>
          <w:sz w:val="24"/>
          <w:szCs w:val="24"/>
          <w:vertAlign w:val="superscript"/>
        </w:rPr>
        <w:footnoteReference w:id="12"/>
      </w:r>
      <w:r>
        <w:rPr>
          <w:rFonts w:ascii="Times New Roman" w:eastAsia="Times New Roman" w:hAnsi="Times New Roman" w:cs="Times New Roman"/>
          <w:sz w:val="24"/>
          <w:szCs w:val="24"/>
        </w:rPr>
        <w:t>.</w:t>
      </w:r>
    </w:p>
    <w:p w14:paraId="48B3CB63" w14:textId="77777777" w:rsidR="00B64824" w:rsidRDefault="00B64824" w:rsidP="00B6482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Таке географічне положення призводить до проходження транзитних потоків через територію міста, частина з яких пересікається на центральному майдані Житомира. Найбільш активний транзитний потік проходить трасою Е40/М-06 (Київ – Чоп), який завдяки об’їзній дорозі проходить територією Житомирського району.</w:t>
      </w:r>
    </w:p>
    <w:p w14:paraId="348E7EC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території громади діють два автовокзали: центральна автостанція АС-1, що сполучає Житомир з іншими областями України і містами Європи, та автостанція АС-2 регіонального сполучення [1]. Крім того, з Площі Перемоги здійснюються регулярні пасажирські перевезення Житомир–Київ.</w:t>
      </w:r>
    </w:p>
    <w:p w14:paraId="59A1EAF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мобільність населення забезпечується мережею автомобільних доріг, системою громадського транспорту та пішохідною інфраструктурою. У місті облаштовані елементи велосипедної інфраструктури, але вони не зв’язані між собою.</w:t>
      </w:r>
    </w:p>
    <w:p w14:paraId="33BFBD5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Згідно дослідження мобільності м. Житомир переважна більшість населення пересуваються громадським транспортом. Частка користувачів громадського транспорту становить 46%. Водночас значна частка переміщень здійснюється пішки – 37,8% від загальної кількості. Відсоток користування індивідуальним автомобільним транспортом чоловіками вдвічі вищий, ніж жінками. Діти до 12 років здебільшого пересуваються пішки, підлітки – громадським транспортом, дорослі старше 17 років найчастіше використовують громадський транспорт, але серед усіх вікових груп, автомобілем найчастіше користуються дорослі чоловіки віком від 18 до 40 років</w:t>
      </w:r>
      <w:r>
        <w:rPr>
          <w:rFonts w:ascii="Times New Roman" w:eastAsia="Times New Roman" w:hAnsi="Times New Roman" w:cs="Times New Roman"/>
          <w:sz w:val="24"/>
          <w:szCs w:val="24"/>
          <w:vertAlign w:val="superscript"/>
        </w:rPr>
        <w:footnoteReference w:id="13"/>
      </w:r>
      <w:r>
        <w:rPr>
          <w:rFonts w:ascii="Times New Roman" w:eastAsia="Times New Roman" w:hAnsi="Times New Roman" w:cs="Times New Roman"/>
          <w:sz w:val="24"/>
          <w:szCs w:val="24"/>
        </w:rPr>
        <w:t>.</w:t>
      </w:r>
    </w:p>
    <w:p w14:paraId="5DCF10D0" w14:textId="77777777" w:rsidR="00C82386" w:rsidRDefault="00C82386">
      <w:pPr>
        <w:spacing w:after="0"/>
        <w:ind w:firstLine="709"/>
        <w:jc w:val="both"/>
        <w:rPr>
          <w:rFonts w:ascii="Times New Roman" w:eastAsia="Times New Roman" w:hAnsi="Times New Roman" w:cs="Times New Roman"/>
          <w:sz w:val="24"/>
          <w:szCs w:val="24"/>
        </w:rPr>
      </w:pPr>
    </w:p>
    <w:p w14:paraId="6BC4D879" w14:textId="77777777" w:rsidR="00C82386" w:rsidRDefault="00E66F64">
      <w:r>
        <w:rPr>
          <w:noProof/>
          <w:lang w:val="ru-RU"/>
        </w:rPr>
        <w:drawing>
          <wp:inline distT="0" distB="0" distL="0" distR="0" wp14:anchorId="1BF93485" wp14:editId="426097A0">
            <wp:extent cx="5436870" cy="2522220"/>
            <wp:effectExtent l="0" t="0" r="0" b="0"/>
            <wp:docPr id="2144251961"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49"/>
                    <a:srcRect/>
                    <a:stretch>
                      <a:fillRect/>
                    </a:stretch>
                  </pic:blipFill>
                  <pic:spPr>
                    <a:xfrm>
                      <a:off x="0" y="0"/>
                      <a:ext cx="5436870" cy="2522220"/>
                    </a:xfrm>
                    <a:prstGeom prst="rect">
                      <a:avLst/>
                    </a:prstGeom>
                    <a:ln/>
                  </pic:spPr>
                </pic:pic>
              </a:graphicData>
            </a:graphic>
          </wp:inline>
        </w:drawing>
      </w:r>
    </w:p>
    <w:p w14:paraId="79B17CC9" w14:textId="77777777" w:rsidR="00C82386" w:rsidRDefault="00E66F64">
      <w:pPr>
        <w:spacing w:after="0"/>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Рис. 3.24 - Розподіл поїздок за видом пересування містом </w:t>
      </w:r>
    </w:p>
    <w:p w14:paraId="290D1B57" w14:textId="77777777" w:rsidR="00C82386" w:rsidRDefault="00E66F64">
      <w:pPr>
        <w:rPr>
          <w:rFonts w:ascii="Times New Roman" w:eastAsia="Times New Roman" w:hAnsi="Times New Roman" w:cs="Times New Roman"/>
          <w:sz w:val="24"/>
          <w:szCs w:val="24"/>
        </w:rPr>
      </w:pPr>
      <w:r>
        <w:rPr>
          <w:rFonts w:ascii="Times New Roman" w:eastAsia="Times New Roman" w:hAnsi="Times New Roman" w:cs="Times New Roman"/>
          <w:sz w:val="24"/>
          <w:szCs w:val="24"/>
        </w:rPr>
        <w:t>(Джерело: План сталої мобільності м. Житомир)</w:t>
      </w:r>
    </w:p>
    <w:p w14:paraId="76DE96D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Велосипедна мережа м. Житомир є недостатньо розвинена, станом на 2019 рік в місті Житомирі налічувалось 2,4 км </w:t>
      </w:r>
      <w:r>
        <w:rPr>
          <w:rFonts w:ascii="Times New Roman" w:eastAsia="Times New Roman" w:hAnsi="Times New Roman" w:cs="Times New Roman"/>
          <w:sz w:val="24"/>
          <w:szCs w:val="24"/>
          <w:vertAlign w:val="superscript"/>
        </w:rPr>
        <w:footnoteReference w:id="14"/>
      </w:r>
      <w:r>
        <w:rPr>
          <w:rFonts w:ascii="Times New Roman" w:eastAsia="Times New Roman" w:hAnsi="Times New Roman" w:cs="Times New Roman"/>
          <w:sz w:val="24"/>
          <w:szCs w:val="24"/>
        </w:rPr>
        <w:t xml:space="preserve"> велодоріжок та велосмуг. Попри це рельєф та просторова організація міста сприяють пересуванню на велосипеді. Середня відстань пересування </w:t>
      </w:r>
      <w:r>
        <w:rPr>
          <w:rFonts w:ascii="Times New Roman" w:eastAsia="Times New Roman" w:hAnsi="Times New Roman" w:cs="Times New Roman"/>
          <w:sz w:val="24"/>
          <w:szCs w:val="24"/>
        </w:rPr>
        <w:lastRenderedPageBreak/>
        <w:t xml:space="preserve">автомобільним транспортом в місті складає 7,1 км, що є оптимальною відстанню для руху на велосипеді, тому Житомир має великий потенціал збільшення частки велосипедного транспорту. </w:t>
      </w:r>
    </w:p>
    <w:p w14:paraId="544EC0AD"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Місто Житомир має компактну структуру, що сприяє пересуванню пішки. Частка пересувань пішки складає 37,8%, що відповідає значенням прогресивних Європейських міст</w:t>
      </w:r>
      <w:r>
        <w:rPr>
          <w:rFonts w:ascii="Times New Roman" w:eastAsia="Times New Roman" w:hAnsi="Times New Roman" w:cs="Times New Roman"/>
          <w:sz w:val="24"/>
          <w:szCs w:val="24"/>
          <w:vertAlign w:val="superscript"/>
        </w:rPr>
        <w:footnoteReference w:id="15"/>
      </w:r>
      <w:r>
        <w:rPr>
          <w:rFonts w:ascii="Times New Roman" w:eastAsia="Times New Roman" w:hAnsi="Times New Roman" w:cs="Times New Roman"/>
          <w:sz w:val="24"/>
          <w:szCs w:val="24"/>
        </w:rPr>
        <w:t>.</w:t>
      </w:r>
    </w:p>
    <w:p w14:paraId="6C429AC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до методики Угоди мерів для врахування у «Плані сталого енергетичного розвитку та клімат» та Базовому кадастрі викидів (БКВ) обрано наступні сектори транспорту:</w:t>
      </w:r>
    </w:p>
    <w:p w14:paraId="52383CF3"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муніципальний транспорт; </w:t>
      </w:r>
    </w:p>
    <w:p w14:paraId="528717E8"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громадський транспорт; </w:t>
      </w:r>
    </w:p>
    <w:p w14:paraId="23AD131F"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приватний і комерційний транспорт.</w:t>
      </w:r>
    </w:p>
    <w:p w14:paraId="41C35F0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Розрахунки викидів від транспортних засобів ґрунтуються на даних про загальне споживання палива. Для кожного типу палива в розрахунках використовуються відповідні характеристики - питома теплота згоряння і коефіцієнт викидів парникових газів. Для оцінки викидів від сфери транспорту враховані наступні види палива:</w:t>
      </w:r>
    </w:p>
    <w:p w14:paraId="7F229145"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бензин;</w:t>
      </w:r>
    </w:p>
    <w:p w14:paraId="6C2C0790"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дизельне паливо;</w:t>
      </w:r>
    </w:p>
    <w:p w14:paraId="702B171F"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скраплений нафтовий газ;</w:t>
      </w:r>
    </w:p>
    <w:p w14:paraId="4022EB2F"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стиснений природний газ;</w:t>
      </w:r>
    </w:p>
    <w:p w14:paraId="16A54BB5"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електроенергія;</w:t>
      </w:r>
    </w:p>
    <w:p w14:paraId="5E562C3A"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біопаливо (біо-дизельне паливо, біо-бензин інші рідкі біопалива).</w:t>
      </w:r>
    </w:p>
    <w:p w14:paraId="2AEBA63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цілей цього звіту було оновлено методику визначення базового рівня викидів для сектору Транспорту, яка застосовувалась в 2010 році з метою підвищення точності оцінки заходів, оновлено результати розрахунків за 2010 рік та проведено інвентаризацію викидів за 2010 рік. Результати розрахунків представлені в таблицях, опис кожного під сектору і методика розрахунку у відповідному розділі. </w:t>
      </w:r>
    </w:p>
    <w:p w14:paraId="2D54F442"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Оновлена методика була також застосована для оцінки проміжного 2019 року. Результати оцінки для базового і проміжного року порівнюються між собою з аналізом тенденцій зміни викидів і трендів. Опис підходу і ключові результати представлені нижче, детальний опис методики представлений в </w:t>
      </w:r>
      <w:r w:rsidRPr="00B64824">
        <w:rPr>
          <w:rFonts w:ascii="Times New Roman" w:eastAsia="Times New Roman" w:hAnsi="Times New Roman" w:cs="Times New Roman"/>
          <w:sz w:val="24"/>
          <w:szCs w:val="24"/>
        </w:rPr>
        <w:t>Додатку 1</w:t>
      </w:r>
      <w:r>
        <w:rPr>
          <w:rFonts w:ascii="Times New Roman" w:eastAsia="Times New Roman" w:hAnsi="Times New Roman" w:cs="Times New Roman"/>
          <w:sz w:val="24"/>
          <w:szCs w:val="24"/>
        </w:rPr>
        <w:t>.</w:t>
      </w:r>
    </w:p>
    <w:p w14:paraId="2F2B651D" w14:textId="77777777" w:rsidR="00C82386" w:rsidRDefault="00E66F64">
      <w:pPr>
        <w:keepNext/>
        <w:keepLines/>
        <w:numPr>
          <w:ilvl w:val="0"/>
          <w:numId w:val="55"/>
        </w:numPr>
        <w:pBdr>
          <w:top w:val="nil"/>
          <w:left w:val="nil"/>
          <w:bottom w:val="nil"/>
          <w:right w:val="nil"/>
          <w:between w:val="nil"/>
        </w:pBdr>
        <w:spacing w:before="200" w:after="0"/>
        <w:ind w:left="851" w:hanging="851"/>
        <w:rPr>
          <w:rFonts w:ascii="Times New Roman" w:eastAsia="Times New Roman" w:hAnsi="Times New Roman" w:cs="Times New Roman"/>
          <w:b/>
          <w:color w:val="000000"/>
          <w:sz w:val="24"/>
          <w:szCs w:val="24"/>
        </w:rPr>
      </w:pPr>
      <w:bookmarkStart w:id="36" w:name="_heading=h.1hmsyys" w:colFirst="0" w:colLast="0"/>
      <w:bookmarkEnd w:id="36"/>
      <w:r>
        <w:rPr>
          <w:rFonts w:ascii="Times New Roman" w:eastAsia="Times New Roman" w:hAnsi="Times New Roman" w:cs="Times New Roman"/>
          <w:b/>
          <w:color w:val="000000"/>
          <w:sz w:val="24"/>
          <w:szCs w:val="24"/>
        </w:rPr>
        <w:t>Муніципальний транспорт</w:t>
      </w:r>
    </w:p>
    <w:p w14:paraId="2ED2DAE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аналізу забруднення від муніципального транспорту було отримано дані про парк рухомого складу від структурних підрозділів і комунальних підприємств Житомирської міської ради від наступних організацій:</w:t>
      </w:r>
    </w:p>
    <w:p w14:paraId="6A24DA29"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"Управління автомобільних шляхів" Житомирської міської ради (ЖУАШ)</w:t>
      </w:r>
    </w:p>
    <w:p w14:paraId="22D2359B"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"Житомиртеплокомуненерго" Житомирської міської ради (ЖТКЕ)</w:t>
      </w:r>
    </w:p>
    <w:p w14:paraId="755F458F"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з питань надзвичайних ситуацій і цивільного захисту населення</w:t>
      </w:r>
    </w:p>
    <w:p w14:paraId="62FC7F60" w14:textId="77777777" w:rsidR="00D10670" w:rsidRDefault="00D10670">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p w14:paraId="0BAF6C9B" w14:textId="77777777" w:rsidR="00D10670" w:rsidRDefault="00D10670">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63E62AE8"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бюджету і фінансів Житомирської міської ради</w:t>
      </w:r>
    </w:p>
    <w:p w14:paraId="1008F3C1"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«Зеленбуд» Житомирської міської ради</w:t>
      </w:r>
    </w:p>
    <w:p w14:paraId="427BF50D"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Планово-фінансовий відділ Житомирської міської ради</w:t>
      </w:r>
    </w:p>
    <w:p w14:paraId="2874C792"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2318E955"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«Житомирське трамвайно-тролейбусне управління (ЖТТУ)</w:t>
      </w:r>
    </w:p>
    <w:p w14:paraId="0DBC2BB0"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«Спеціалізований комбінат комунально-побутового обслуговування» Житомирської міської ради</w:t>
      </w:r>
    </w:p>
    <w:p w14:paraId="06E4AF32"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«Автотранспортне підприємство 0628» Житомирської міської ради </w:t>
      </w:r>
    </w:p>
    <w:p w14:paraId="0E21C3B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аналізу не увійшли дані про пожежні автомобілі та інша рятувальна техніка, машини швидкої допомоги, поліцейські авто, так як вони не входять до муніципальної власності, а служби, що їх використовують, не підпорядковуються міській раді.</w:t>
      </w:r>
    </w:p>
    <w:p w14:paraId="405F1ACD"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Загалом парк рухомого складу муніципальної власності потребує оновлення, середній вік рухомого складу серед всіх вищезазначених підприємств 23,7 роки. Найбільший річний пробіг спостерігається серед автомобілів 1997-2015 років випуску. Велика частка рухомого складу, що експлуатується, випущено до 2005 року, тобто до введення стандарту Євро-2 для автомобілів, що вперше реєструються в Україні (рис. 3.25). Ці транспортні засоби мають суттєво гірші показники енергоефективності і вищий рівень забруднення порівняно з новішими машинами.</w:t>
      </w:r>
    </w:p>
    <w:p w14:paraId="1B940EF4" w14:textId="77777777" w:rsidR="00C82386" w:rsidRDefault="00E66F64">
      <w:pPr>
        <w:jc w:val="center"/>
      </w:pPr>
      <w:r>
        <w:rPr>
          <w:noProof/>
          <w:lang w:val="ru-RU"/>
        </w:rPr>
        <w:drawing>
          <wp:inline distT="0" distB="0" distL="0" distR="0" wp14:anchorId="0EA5AFA4" wp14:editId="054FEA3E">
            <wp:extent cx="5782237" cy="2518293"/>
            <wp:effectExtent l="0" t="0" r="0" b="0"/>
            <wp:docPr id="214425196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50"/>
                    <a:srcRect/>
                    <a:stretch>
                      <a:fillRect/>
                    </a:stretch>
                  </pic:blipFill>
                  <pic:spPr>
                    <a:xfrm>
                      <a:off x="0" y="0"/>
                      <a:ext cx="5782237" cy="2518293"/>
                    </a:xfrm>
                    <a:prstGeom prst="rect">
                      <a:avLst/>
                    </a:prstGeom>
                    <a:ln/>
                  </pic:spPr>
                </pic:pic>
              </a:graphicData>
            </a:graphic>
          </wp:inline>
        </w:drawing>
      </w:r>
    </w:p>
    <w:p w14:paraId="1A0E705F" w14:textId="77777777" w:rsidR="00C82386" w:rsidRDefault="00E66F64">
      <w:pPr>
        <w:spacing w:after="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3.25 Залежність середньорічного пробігу і віку рухомого складу</w:t>
      </w:r>
    </w:p>
    <w:p w14:paraId="36F9BC29"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3.16</w:t>
      </w:r>
    </w:p>
    <w:p w14:paraId="25B44DF5"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Кінцеве енергоспоживання муніципального транспорту за видами палива</w:t>
      </w:r>
    </w:p>
    <w:tbl>
      <w:tblPr>
        <w:tblStyle w:val="affff8"/>
        <w:tblW w:w="957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2410"/>
        <w:gridCol w:w="2551"/>
        <w:gridCol w:w="2658"/>
      </w:tblGrid>
      <w:tr w:rsidR="00C82386" w14:paraId="5D1F51E6" w14:textId="77777777" w:rsidTr="00AF6DBD">
        <w:tc>
          <w:tcPr>
            <w:tcW w:w="1951" w:type="dxa"/>
          </w:tcPr>
          <w:p w14:paraId="111F7A6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410" w:type="dxa"/>
          </w:tcPr>
          <w:p w14:paraId="7FA7CFC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Базовий (2010) рік, </w:t>
            </w:r>
            <w:r>
              <w:rPr>
                <w:rFonts w:ascii="Times New Roman" w:eastAsia="Times New Roman" w:hAnsi="Times New Roman" w:cs="Times New Roman"/>
                <w:sz w:val="24"/>
                <w:szCs w:val="24"/>
              </w:rPr>
              <w:br/>
              <w:t>МВт·год</w:t>
            </w:r>
          </w:p>
        </w:tc>
        <w:tc>
          <w:tcPr>
            <w:tcW w:w="2551" w:type="dxa"/>
          </w:tcPr>
          <w:p w14:paraId="63DB09F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Проміжний (2019) рік, МВт·год</w:t>
            </w:r>
          </w:p>
        </w:tc>
        <w:tc>
          <w:tcPr>
            <w:tcW w:w="2658" w:type="dxa"/>
            <w:tcBorders>
              <w:bottom w:val="single" w:sz="4" w:space="0" w:color="000000"/>
            </w:tcBorders>
          </w:tcPr>
          <w:p w14:paraId="651B231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2020 рік*, </w:t>
            </w:r>
            <w:r>
              <w:rPr>
                <w:rFonts w:ascii="Times New Roman" w:eastAsia="Times New Roman" w:hAnsi="Times New Roman" w:cs="Times New Roman"/>
                <w:sz w:val="24"/>
                <w:szCs w:val="24"/>
              </w:rPr>
              <w:br/>
              <w:t>МВт·год.</w:t>
            </w:r>
          </w:p>
        </w:tc>
      </w:tr>
      <w:tr w:rsidR="00C82386" w14:paraId="4ADB195D" w14:textId="77777777" w:rsidTr="00AF6DBD">
        <w:tc>
          <w:tcPr>
            <w:tcW w:w="1951" w:type="dxa"/>
            <w:vAlign w:val="bottom"/>
          </w:tcPr>
          <w:p w14:paraId="1595C52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410" w:type="dxa"/>
            <w:vAlign w:val="bottom"/>
          </w:tcPr>
          <w:p w14:paraId="2DB8AEBA"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7 357,9</w:t>
            </w:r>
          </w:p>
        </w:tc>
        <w:tc>
          <w:tcPr>
            <w:tcW w:w="2551" w:type="dxa"/>
            <w:vAlign w:val="bottom"/>
          </w:tcPr>
          <w:p w14:paraId="2113D55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F6DBD">
              <w:rPr>
                <w:rFonts w:ascii="Times New Roman" w:eastAsia="Times New Roman" w:hAnsi="Times New Roman" w:cs="Times New Roman"/>
                <w:sz w:val="24"/>
                <w:szCs w:val="24"/>
              </w:rPr>
              <w:t> </w:t>
            </w:r>
            <w:r>
              <w:rPr>
                <w:rFonts w:ascii="Times New Roman" w:eastAsia="Times New Roman" w:hAnsi="Times New Roman" w:cs="Times New Roman"/>
                <w:sz w:val="24"/>
                <w:szCs w:val="24"/>
              </w:rPr>
              <w:t>026,799</w:t>
            </w:r>
          </w:p>
        </w:tc>
        <w:tc>
          <w:tcPr>
            <w:tcW w:w="2658" w:type="dxa"/>
            <w:shd w:val="clear" w:color="auto" w:fill="FFFFFF" w:themeFill="background1"/>
          </w:tcPr>
          <w:p w14:paraId="10EC0DD3"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2 648,2</w:t>
            </w:r>
          </w:p>
        </w:tc>
      </w:tr>
      <w:tr w:rsidR="00C82386" w14:paraId="33A526C8" w14:textId="77777777" w:rsidTr="00AF6DBD">
        <w:trPr>
          <w:trHeight w:val="302"/>
        </w:trPr>
        <w:tc>
          <w:tcPr>
            <w:tcW w:w="1951" w:type="dxa"/>
            <w:vAlign w:val="bottom"/>
          </w:tcPr>
          <w:p w14:paraId="5268EA16"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410" w:type="dxa"/>
            <w:vAlign w:val="bottom"/>
          </w:tcPr>
          <w:p w14:paraId="1DE93E03"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5 651,3</w:t>
            </w:r>
          </w:p>
        </w:tc>
        <w:tc>
          <w:tcPr>
            <w:tcW w:w="2551" w:type="dxa"/>
            <w:vAlign w:val="bottom"/>
          </w:tcPr>
          <w:p w14:paraId="17FCC1C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AF6DBD">
              <w:rPr>
                <w:rFonts w:ascii="Times New Roman" w:eastAsia="Times New Roman" w:hAnsi="Times New Roman" w:cs="Times New Roman"/>
                <w:sz w:val="24"/>
                <w:szCs w:val="24"/>
              </w:rPr>
              <w:t> </w:t>
            </w:r>
            <w:r>
              <w:rPr>
                <w:rFonts w:ascii="Times New Roman" w:eastAsia="Times New Roman" w:hAnsi="Times New Roman" w:cs="Times New Roman"/>
                <w:sz w:val="24"/>
                <w:szCs w:val="24"/>
              </w:rPr>
              <w:t>123,088</w:t>
            </w:r>
          </w:p>
        </w:tc>
        <w:tc>
          <w:tcPr>
            <w:tcW w:w="2658" w:type="dxa"/>
            <w:shd w:val="clear" w:color="auto" w:fill="FFFFFF" w:themeFill="background1"/>
          </w:tcPr>
          <w:p w14:paraId="56A283BF"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6 586,7</w:t>
            </w:r>
          </w:p>
        </w:tc>
      </w:tr>
      <w:tr w:rsidR="00C82386" w14:paraId="46BF3D8A" w14:textId="77777777" w:rsidTr="00AF6DBD">
        <w:tc>
          <w:tcPr>
            <w:tcW w:w="1951" w:type="dxa"/>
            <w:vAlign w:val="bottom"/>
          </w:tcPr>
          <w:p w14:paraId="61CD8BD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скраплений газ</w:t>
            </w:r>
          </w:p>
        </w:tc>
        <w:tc>
          <w:tcPr>
            <w:tcW w:w="2410" w:type="dxa"/>
            <w:vAlign w:val="bottom"/>
          </w:tcPr>
          <w:p w14:paraId="25799D81"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0</w:t>
            </w:r>
          </w:p>
        </w:tc>
        <w:tc>
          <w:tcPr>
            <w:tcW w:w="2551" w:type="dxa"/>
            <w:vAlign w:val="bottom"/>
          </w:tcPr>
          <w:p w14:paraId="459C29C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AF6DBD">
              <w:rPr>
                <w:rFonts w:ascii="Times New Roman" w:eastAsia="Times New Roman" w:hAnsi="Times New Roman" w:cs="Times New Roman"/>
                <w:sz w:val="24"/>
                <w:szCs w:val="24"/>
              </w:rPr>
              <w:t> </w:t>
            </w:r>
            <w:r>
              <w:rPr>
                <w:rFonts w:ascii="Times New Roman" w:eastAsia="Times New Roman" w:hAnsi="Times New Roman" w:cs="Times New Roman"/>
                <w:sz w:val="24"/>
                <w:szCs w:val="24"/>
              </w:rPr>
              <w:t>269,178</w:t>
            </w:r>
          </w:p>
        </w:tc>
        <w:tc>
          <w:tcPr>
            <w:tcW w:w="2658" w:type="dxa"/>
            <w:shd w:val="clear" w:color="auto" w:fill="FFFFFF" w:themeFill="background1"/>
          </w:tcPr>
          <w:p w14:paraId="12FB1E1F"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1 497,1</w:t>
            </w:r>
          </w:p>
        </w:tc>
      </w:tr>
      <w:tr w:rsidR="00C82386" w14:paraId="698DA78C" w14:textId="77777777" w:rsidTr="00AF6DBD">
        <w:tc>
          <w:tcPr>
            <w:tcW w:w="1951" w:type="dxa"/>
          </w:tcPr>
          <w:p w14:paraId="31A8AC6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410" w:type="dxa"/>
          </w:tcPr>
          <w:p w14:paraId="2EEABA05"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13 009,2</w:t>
            </w:r>
          </w:p>
        </w:tc>
        <w:tc>
          <w:tcPr>
            <w:tcW w:w="2551" w:type="dxa"/>
          </w:tcPr>
          <w:p w14:paraId="7DEF1A0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AF6DBD">
              <w:rPr>
                <w:rFonts w:ascii="Times New Roman" w:eastAsia="Times New Roman" w:hAnsi="Times New Roman" w:cs="Times New Roman"/>
                <w:sz w:val="24"/>
                <w:szCs w:val="24"/>
              </w:rPr>
              <w:t> </w:t>
            </w:r>
            <w:r>
              <w:rPr>
                <w:rFonts w:ascii="Times New Roman" w:eastAsia="Times New Roman" w:hAnsi="Times New Roman" w:cs="Times New Roman"/>
                <w:sz w:val="24"/>
                <w:szCs w:val="24"/>
              </w:rPr>
              <w:t>419,065</w:t>
            </w:r>
          </w:p>
        </w:tc>
        <w:tc>
          <w:tcPr>
            <w:tcW w:w="2658" w:type="dxa"/>
            <w:shd w:val="clear" w:color="auto" w:fill="FFFFFF" w:themeFill="background1"/>
          </w:tcPr>
          <w:p w14:paraId="58C71C18" w14:textId="77777777" w:rsidR="00C82386" w:rsidRPr="00AF6DBD" w:rsidRDefault="00AF6DBD">
            <w:pPr>
              <w:spacing w:after="0"/>
              <w:jc w:val="center"/>
              <w:rPr>
                <w:rFonts w:ascii="Times New Roman" w:eastAsia="Times New Roman" w:hAnsi="Times New Roman" w:cs="Times New Roman"/>
                <w:sz w:val="24"/>
                <w:szCs w:val="24"/>
              </w:rPr>
            </w:pPr>
            <w:r w:rsidRPr="00AF6DBD">
              <w:rPr>
                <w:rFonts w:ascii="Times New Roman" w:eastAsia="Times New Roman" w:hAnsi="Times New Roman" w:cs="Times New Roman"/>
                <w:sz w:val="24"/>
                <w:szCs w:val="24"/>
              </w:rPr>
              <w:t>11 096,3</w:t>
            </w:r>
          </w:p>
        </w:tc>
      </w:tr>
    </w:tbl>
    <w:p w14:paraId="7A619619" w14:textId="77777777" w:rsidR="00C82386" w:rsidRDefault="00E66F64">
      <w:pPr>
        <w:spacing w:before="120"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3.17</w:t>
      </w:r>
    </w:p>
    <w:p w14:paraId="0CC84109" w14:textId="77777777" w:rsidR="00C82386" w:rsidRDefault="00E66F64">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Середньорічні викиди СО2 муніципального транспорту за видами палива</w:t>
      </w:r>
    </w:p>
    <w:tbl>
      <w:tblPr>
        <w:tblStyle w:val="affff9"/>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2268"/>
        <w:gridCol w:w="2693"/>
        <w:gridCol w:w="2552"/>
      </w:tblGrid>
      <w:tr w:rsidR="00C82386" w14:paraId="1AF63648" w14:textId="77777777" w:rsidTr="00052E5A">
        <w:tc>
          <w:tcPr>
            <w:tcW w:w="1951" w:type="dxa"/>
          </w:tcPr>
          <w:p w14:paraId="7973A4C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268" w:type="dxa"/>
          </w:tcPr>
          <w:p w14:paraId="64861E9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рік, т СО</w:t>
            </w:r>
            <w:r>
              <w:rPr>
                <w:rFonts w:ascii="Times New Roman" w:eastAsia="Times New Roman" w:hAnsi="Times New Roman" w:cs="Times New Roman"/>
                <w:sz w:val="24"/>
                <w:szCs w:val="24"/>
                <w:vertAlign w:val="subscript"/>
              </w:rPr>
              <w:t>2</w:t>
            </w:r>
          </w:p>
        </w:tc>
        <w:tc>
          <w:tcPr>
            <w:tcW w:w="2693" w:type="dxa"/>
          </w:tcPr>
          <w:p w14:paraId="08508A0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Проміжний (2019) рік, </w:t>
            </w:r>
            <w:r>
              <w:rPr>
                <w:rFonts w:ascii="Times New Roman" w:eastAsia="Times New Roman" w:hAnsi="Times New Roman" w:cs="Times New Roman"/>
                <w:sz w:val="24"/>
                <w:szCs w:val="24"/>
              </w:rPr>
              <w:br/>
              <w:t>т СО</w:t>
            </w:r>
            <w:r>
              <w:rPr>
                <w:rFonts w:ascii="Times New Roman" w:eastAsia="Times New Roman" w:hAnsi="Times New Roman" w:cs="Times New Roman"/>
                <w:sz w:val="24"/>
                <w:szCs w:val="24"/>
                <w:vertAlign w:val="subscript"/>
              </w:rPr>
              <w:t>2</w:t>
            </w:r>
          </w:p>
        </w:tc>
        <w:tc>
          <w:tcPr>
            <w:tcW w:w="2552" w:type="dxa"/>
            <w:tcBorders>
              <w:bottom w:val="single" w:sz="4" w:space="0" w:color="000000"/>
            </w:tcBorders>
          </w:tcPr>
          <w:p w14:paraId="14CD16F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2020 рік*, </w:t>
            </w:r>
            <w:r>
              <w:rPr>
                <w:rFonts w:ascii="Times New Roman" w:eastAsia="Times New Roman" w:hAnsi="Times New Roman" w:cs="Times New Roman"/>
                <w:sz w:val="24"/>
                <w:szCs w:val="24"/>
              </w:rPr>
              <w:br/>
              <w:t>т СО</w:t>
            </w:r>
            <w:r>
              <w:rPr>
                <w:rFonts w:ascii="Times New Roman" w:eastAsia="Times New Roman" w:hAnsi="Times New Roman" w:cs="Times New Roman"/>
                <w:sz w:val="24"/>
                <w:szCs w:val="24"/>
                <w:vertAlign w:val="subscript"/>
              </w:rPr>
              <w:t>2</w:t>
            </w:r>
          </w:p>
        </w:tc>
      </w:tr>
      <w:tr w:rsidR="00C82386" w14:paraId="79725173" w14:textId="77777777" w:rsidTr="00052E5A">
        <w:tc>
          <w:tcPr>
            <w:tcW w:w="1951" w:type="dxa"/>
            <w:vAlign w:val="bottom"/>
          </w:tcPr>
          <w:p w14:paraId="728D1F0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268" w:type="dxa"/>
            <w:vAlign w:val="bottom"/>
          </w:tcPr>
          <w:p w14:paraId="2AEB41B5" w14:textId="77777777" w:rsidR="00C82386" w:rsidRPr="00052E5A" w:rsidRDefault="00052E5A" w:rsidP="00052E5A">
            <w:pPr>
              <w:spacing w:after="0"/>
              <w:ind w:right="-11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1 839,5</w:t>
            </w:r>
          </w:p>
        </w:tc>
        <w:tc>
          <w:tcPr>
            <w:tcW w:w="2693" w:type="dxa"/>
            <w:vAlign w:val="bottom"/>
          </w:tcPr>
          <w:p w14:paraId="1E44763A" w14:textId="77777777" w:rsidR="00C82386" w:rsidRPr="00052E5A" w:rsidRDefault="00E66F64">
            <w:pPr>
              <w:spacing w:after="0"/>
              <w:ind w:right="743"/>
              <w:jc w:val="right"/>
              <w:rPr>
                <w:rFonts w:ascii="Times New Roman" w:eastAsia="Times New Roman" w:hAnsi="Times New Roman" w:cs="Times New Roman"/>
                <w:sz w:val="24"/>
                <w:szCs w:val="24"/>
              </w:rPr>
            </w:pPr>
            <w:r w:rsidRPr="00052E5A">
              <w:rPr>
                <w:rFonts w:ascii="Times New Roman" w:eastAsia="Times New Roman" w:hAnsi="Times New Roman" w:cs="Times New Roman"/>
                <w:sz w:val="24"/>
                <w:szCs w:val="24"/>
              </w:rPr>
              <w:t>504,673</w:t>
            </w:r>
          </w:p>
        </w:tc>
        <w:tc>
          <w:tcPr>
            <w:tcW w:w="2552" w:type="dxa"/>
            <w:shd w:val="clear" w:color="auto" w:fill="FFFFFF" w:themeFill="background1"/>
          </w:tcPr>
          <w:p w14:paraId="43784EC2" w14:textId="77777777" w:rsidR="00C82386" w:rsidRPr="00052E5A" w:rsidRDefault="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662,0</w:t>
            </w:r>
          </w:p>
        </w:tc>
      </w:tr>
      <w:tr w:rsidR="00C82386" w14:paraId="7995A117" w14:textId="77777777" w:rsidTr="00052E5A">
        <w:tc>
          <w:tcPr>
            <w:tcW w:w="1951" w:type="dxa"/>
            <w:vAlign w:val="bottom"/>
          </w:tcPr>
          <w:p w14:paraId="31AB94F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68" w:type="dxa"/>
            <w:vAlign w:val="bottom"/>
          </w:tcPr>
          <w:p w14:paraId="1E7EF963" w14:textId="77777777" w:rsidR="00C82386" w:rsidRPr="00052E5A" w:rsidRDefault="00052E5A" w:rsidP="00052E5A">
            <w:pPr>
              <w:spacing w:after="0"/>
              <w:ind w:right="-11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1 514,6</w:t>
            </w:r>
          </w:p>
        </w:tc>
        <w:tc>
          <w:tcPr>
            <w:tcW w:w="2693" w:type="dxa"/>
            <w:vAlign w:val="bottom"/>
          </w:tcPr>
          <w:p w14:paraId="08321825" w14:textId="77777777" w:rsidR="00C82386" w:rsidRPr="00052E5A" w:rsidRDefault="00E66F64">
            <w:pPr>
              <w:spacing w:after="0"/>
              <w:ind w:right="743"/>
              <w:jc w:val="right"/>
              <w:rPr>
                <w:rFonts w:ascii="Times New Roman" w:eastAsia="Times New Roman" w:hAnsi="Times New Roman" w:cs="Times New Roman"/>
                <w:sz w:val="24"/>
                <w:szCs w:val="24"/>
              </w:rPr>
            </w:pPr>
            <w:r w:rsidRPr="00052E5A">
              <w:rPr>
                <w:rFonts w:ascii="Times New Roman" w:eastAsia="Times New Roman" w:hAnsi="Times New Roman" w:cs="Times New Roman"/>
                <w:sz w:val="24"/>
                <w:szCs w:val="24"/>
              </w:rPr>
              <w:t>833,865</w:t>
            </w:r>
          </w:p>
        </w:tc>
        <w:tc>
          <w:tcPr>
            <w:tcW w:w="2552" w:type="dxa"/>
            <w:shd w:val="clear" w:color="auto" w:fill="FFFFFF" w:themeFill="background1"/>
          </w:tcPr>
          <w:p w14:paraId="04D4FA5E" w14:textId="77777777" w:rsidR="00C82386" w:rsidRPr="00052E5A" w:rsidRDefault="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1 765,2</w:t>
            </w:r>
          </w:p>
        </w:tc>
      </w:tr>
      <w:tr w:rsidR="00C82386" w14:paraId="48A53644" w14:textId="77777777" w:rsidTr="00052E5A">
        <w:trPr>
          <w:trHeight w:val="70"/>
        </w:trPr>
        <w:tc>
          <w:tcPr>
            <w:tcW w:w="1951" w:type="dxa"/>
            <w:vAlign w:val="bottom"/>
          </w:tcPr>
          <w:p w14:paraId="7C51F15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скраплений газ</w:t>
            </w:r>
          </w:p>
        </w:tc>
        <w:tc>
          <w:tcPr>
            <w:tcW w:w="2268" w:type="dxa"/>
            <w:vAlign w:val="bottom"/>
          </w:tcPr>
          <w:p w14:paraId="6EA50F97" w14:textId="77777777" w:rsidR="00C82386" w:rsidRPr="00052E5A" w:rsidRDefault="00052E5A" w:rsidP="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2693" w:type="dxa"/>
            <w:vAlign w:val="bottom"/>
          </w:tcPr>
          <w:p w14:paraId="4D540479" w14:textId="77777777" w:rsidR="00C82386" w:rsidRPr="00052E5A" w:rsidRDefault="00E66F64">
            <w:pPr>
              <w:spacing w:after="0"/>
              <w:ind w:right="743"/>
              <w:jc w:val="right"/>
              <w:rPr>
                <w:rFonts w:ascii="Times New Roman" w:eastAsia="Times New Roman" w:hAnsi="Times New Roman" w:cs="Times New Roman"/>
                <w:sz w:val="24"/>
                <w:szCs w:val="24"/>
              </w:rPr>
            </w:pPr>
            <w:r w:rsidRPr="00052E5A">
              <w:rPr>
                <w:rFonts w:ascii="Times New Roman" w:eastAsia="Times New Roman" w:hAnsi="Times New Roman" w:cs="Times New Roman"/>
                <w:sz w:val="24"/>
                <w:szCs w:val="24"/>
              </w:rPr>
              <w:t>742,103</w:t>
            </w:r>
          </w:p>
        </w:tc>
        <w:tc>
          <w:tcPr>
            <w:tcW w:w="2552" w:type="dxa"/>
            <w:shd w:val="clear" w:color="auto" w:fill="FFFFFF" w:themeFill="background1"/>
          </w:tcPr>
          <w:p w14:paraId="2B3C7019" w14:textId="77777777" w:rsidR="00C82386" w:rsidRPr="00052E5A" w:rsidRDefault="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339,8</w:t>
            </w:r>
          </w:p>
        </w:tc>
      </w:tr>
      <w:tr w:rsidR="00C82386" w14:paraId="10DEB3CA" w14:textId="77777777" w:rsidTr="00052E5A">
        <w:tc>
          <w:tcPr>
            <w:tcW w:w="1951" w:type="dxa"/>
          </w:tcPr>
          <w:p w14:paraId="051F979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268" w:type="dxa"/>
          </w:tcPr>
          <w:p w14:paraId="28080B66" w14:textId="77777777" w:rsidR="00C82386" w:rsidRPr="00052E5A" w:rsidRDefault="00052E5A" w:rsidP="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3 354,0</w:t>
            </w:r>
          </w:p>
        </w:tc>
        <w:tc>
          <w:tcPr>
            <w:tcW w:w="2693" w:type="dxa"/>
          </w:tcPr>
          <w:p w14:paraId="57AA05B8" w14:textId="77777777" w:rsidR="00C82386" w:rsidRPr="00052E5A" w:rsidRDefault="00E66F64">
            <w:pPr>
              <w:spacing w:after="0"/>
              <w:ind w:right="743"/>
              <w:jc w:val="right"/>
              <w:rPr>
                <w:rFonts w:ascii="Times New Roman" w:eastAsia="Times New Roman" w:hAnsi="Times New Roman" w:cs="Times New Roman"/>
                <w:sz w:val="24"/>
                <w:szCs w:val="24"/>
              </w:rPr>
            </w:pPr>
            <w:r w:rsidRPr="00052E5A">
              <w:rPr>
                <w:rFonts w:ascii="Times New Roman" w:eastAsia="Times New Roman" w:hAnsi="Times New Roman" w:cs="Times New Roman"/>
                <w:sz w:val="24"/>
                <w:szCs w:val="24"/>
              </w:rPr>
              <w:t>2080,641</w:t>
            </w:r>
          </w:p>
        </w:tc>
        <w:tc>
          <w:tcPr>
            <w:tcW w:w="2552" w:type="dxa"/>
            <w:shd w:val="clear" w:color="auto" w:fill="FFFFFF" w:themeFill="background1"/>
          </w:tcPr>
          <w:p w14:paraId="30AA507E" w14:textId="77777777" w:rsidR="00C82386" w:rsidRPr="00052E5A" w:rsidRDefault="00052E5A">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2 840,7</w:t>
            </w:r>
          </w:p>
        </w:tc>
      </w:tr>
    </w:tbl>
    <w:p w14:paraId="4AA400D5" w14:textId="77777777" w:rsidR="00C82386" w:rsidRDefault="00E66F64">
      <w:pPr>
        <w:spacing w:after="0"/>
        <w:jc w:val="both"/>
        <w:rPr>
          <w:rFonts w:ascii="Times New Roman" w:eastAsia="Times New Roman" w:hAnsi="Times New Roman" w:cs="Times New Roman"/>
        </w:rPr>
      </w:pPr>
      <w:r w:rsidRPr="003C51CB">
        <w:rPr>
          <w:rFonts w:ascii="Times New Roman" w:eastAsia="Times New Roman" w:hAnsi="Times New Roman" w:cs="Times New Roman"/>
          <w:sz w:val="24"/>
          <w:szCs w:val="24"/>
        </w:rPr>
        <w:t xml:space="preserve">* - </w:t>
      </w:r>
      <w:r w:rsidRPr="003C51CB">
        <w:rPr>
          <w:rFonts w:ascii="Times New Roman" w:eastAsia="Times New Roman" w:hAnsi="Times New Roman" w:cs="Times New Roman"/>
        </w:rPr>
        <w:t>дані за 2020 рік наведені за інформацією з Дослідження, що було проведено для оцінки викидів транспорту Житомирської МТГ</w:t>
      </w:r>
      <w:r w:rsidRPr="003C51CB">
        <w:rPr>
          <w:rFonts w:ascii="Times New Roman" w:eastAsia="Times New Roman" w:hAnsi="Times New Roman" w:cs="Times New Roman"/>
          <w:vertAlign w:val="superscript"/>
        </w:rPr>
        <w:footnoteReference w:id="16"/>
      </w:r>
      <w:r w:rsidRPr="003C51CB">
        <w:rPr>
          <w:rFonts w:ascii="Times New Roman" w:eastAsia="Times New Roman" w:hAnsi="Times New Roman" w:cs="Times New Roman"/>
        </w:rPr>
        <w:t xml:space="preserve"> .</w:t>
      </w:r>
    </w:p>
    <w:p w14:paraId="10C0CAEA" w14:textId="77777777" w:rsidR="00C82386" w:rsidRDefault="00E66F64">
      <w:pPr>
        <w:spacing w:before="12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Можна відмітити, що загальне енергоспоживання муніципальним транспортом у 2019 році зросло порівняно з базовим роком. Це відбулося переважно за рахунок збільшення рухомого складу та підвищення якості та </w:t>
      </w:r>
      <w:r w:rsidR="00052E5A">
        <w:rPr>
          <w:rFonts w:ascii="Times New Roman" w:eastAsia="Times New Roman" w:hAnsi="Times New Roman" w:cs="Times New Roman"/>
          <w:sz w:val="24"/>
          <w:szCs w:val="24"/>
        </w:rPr>
        <w:t>регулярності його використання.</w:t>
      </w:r>
    </w:p>
    <w:p w14:paraId="4F353D3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зменшення викидів парникових газів в секторі транспорту рекомендується припинити використання рухомого складу, що введено в експлуатацію до 2005 року. При оновлені рухомого складу надалі доцільно надавати перевагу транспортним засобам, що працюють на електроенергії або на газу.</w:t>
      </w:r>
    </w:p>
    <w:p w14:paraId="48792D88" w14:textId="77777777" w:rsidR="00C82386" w:rsidRDefault="00E66F64">
      <w:pPr>
        <w:keepNext/>
        <w:keepLines/>
        <w:numPr>
          <w:ilvl w:val="0"/>
          <w:numId w:val="55"/>
        </w:numPr>
        <w:pBdr>
          <w:top w:val="nil"/>
          <w:left w:val="nil"/>
          <w:bottom w:val="nil"/>
          <w:right w:val="nil"/>
          <w:between w:val="nil"/>
        </w:pBdr>
        <w:spacing w:before="200" w:after="0"/>
        <w:ind w:left="851" w:hanging="851"/>
        <w:rPr>
          <w:rFonts w:ascii="Times New Roman" w:eastAsia="Times New Roman" w:hAnsi="Times New Roman" w:cs="Times New Roman"/>
          <w:b/>
          <w:color w:val="000000"/>
          <w:sz w:val="24"/>
          <w:szCs w:val="24"/>
        </w:rPr>
      </w:pPr>
      <w:bookmarkStart w:id="37" w:name="_heading=h.41mghml" w:colFirst="0" w:colLast="0"/>
      <w:bookmarkEnd w:id="37"/>
      <w:r>
        <w:rPr>
          <w:rFonts w:ascii="Times New Roman" w:eastAsia="Times New Roman" w:hAnsi="Times New Roman" w:cs="Times New Roman"/>
          <w:b/>
          <w:color w:val="000000"/>
          <w:sz w:val="24"/>
          <w:szCs w:val="24"/>
        </w:rPr>
        <w:t>Громадський транспорт</w:t>
      </w:r>
    </w:p>
    <w:p w14:paraId="6BD4A51A" w14:textId="77777777" w:rsidR="00C82386" w:rsidRDefault="00E66F64" w:rsidP="0055767F">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Транспортна мережа Житомира має високу щільність покриття громадським транспортом: 96,14% населення міста Житомир проживають у 500-метровій зоні доступності до громадського транспорту (Рисунок 3.26).</w:t>
      </w:r>
    </w:p>
    <w:p w14:paraId="57CEC976" w14:textId="77777777" w:rsidR="000911D3" w:rsidRDefault="000911D3" w:rsidP="000911D3">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Громадський транспорт Житомира представлений автобусними, тролейбусними і одним трамвайним маршрутами.</w:t>
      </w:r>
    </w:p>
    <w:p w14:paraId="331386D0" w14:textId="77777777" w:rsidR="000911D3" w:rsidRDefault="000911D3" w:rsidP="000911D3">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базовому 2010 році наданням послуг з перевезення пасажирів в місті Житомирі займалося 14 приватні автотранспортні компанії та комунальне підприємство «Житомирське трамвайно-тролейбусне управління» (КП «ЖТТУ»). В місті функціонувало 29 автобусних маршрутів (з них 21 – в режимі маршрутного таксі), 11 тролейбусних та 1 трамвайний маршрут. Автобусні маршрути переважно обслуговувалися рухомим складом малого (пасажиромісткість до 20 осіб) або середнього класу (пасажиромісткість до 50 осіб), за виключенням автобусів муніципальної власності. Парк рухомого складу тролейбусів складав 90 одиниць, проте експлуатаційний термін транспортних засобів, що використовувалися, перевищував термін встановлений міністерством інфраструктури, що призводило до низької енергоефективності транспорту та недостатнього комфорту пересування пасажирів.</w:t>
      </w:r>
    </w:p>
    <w:p w14:paraId="0F27B654" w14:textId="77777777" w:rsidR="000911D3" w:rsidRDefault="000911D3">
      <w:pPr>
        <w:ind w:firstLine="709"/>
        <w:jc w:val="both"/>
        <w:rPr>
          <w:rFonts w:ascii="Times New Roman" w:eastAsia="Times New Roman" w:hAnsi="Times New Roman" w:cs="Times New Roman"/>
          <w:sz w:val="24"/>
          <w:szCs w:val="24"/>
        </w:rPr>
      </w:pPr>
    </w:p>
    <w:p w14:paraId="018A630D" w14:textId="77777777" w:rsidR="00C82386" w:rsidRDefault="00E66F64">
      <w:pPr>
        <w:keepNext/>
      </w:pPr>
      <w:r>
        <w:rPr>
          <w:noProof/>
          <w:lang w:val="ru-RU"/>
        </w:rPr>
        <w:lastRenderedPageBreak/>
        <w:drawing>
          <wp:inline distT="0" distB="0" distL="0" distR="0" wp14:anchorId="65DA00D2" wp14:editId="775E703F">
            <wp:extent cx="5246370" cy="3768090"/>
            <wp:effectExtent l="0" t="0" r="0" b="0"/>
            <wp:docPr id="214425196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1"/>
                    <a:srcRect r="1379"/>
                    <a:stretch>
                      <a:fillRect/>
                    </a:stretch>
                  </pic:blipFill>
                  <pic:spPr>
                    <a:xfrm>
                      <a:off x="0" y="0"/>
                      <a:ext cx="5246370" cy="3768090"/>
                    </a:xfrm>
                    <a:prstGeom prst="rect">
                      <a:avLst/>
                    </a:prstGeom>
                    <a:ln/>
                  </pic:spPr>
                </pic:pic>
              </a:graphicData>
            </a:graphic>
          </wp:inline>
        </w:drawing>
      </w:r>
    </w:p>
    <w:p w14:paraId="3506957B"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i/>
          <w:color w:val="000000"/>
          <w:sz w:val="24"/>
          <w:szCs w:val="24"/>
        </w:rPr>
      </w:pPr>
      <w:bookmarkStart w:id="38" w:name="_heading=h.2grqrue" w:colFirst="0" w:colLast="0"/>
      <w:bookmarkEnd w:id="38"/>
      <w:r>
        <w:rPr>
          <w:rFonts w:ascii="Times New Roman" w:eastAsia="Times New Roman" w:hAnsi="Times New Roman" w:cs="Times New Roman"/>
          <w:i/>
          <w:color w:val="000000"/>
          <w:sz w:val="24"/>
          <w:szCs w:val="24"/>
        </w:rPr>
        <w:t xml:space="preserve">Рис. 3.26. Покриття території міста громадським транспортом </w:t>
      </w:r>
    </w:p>
    <w:p w14:paraId="58A16C85" w14:textId="77777777" w:rsidR="00C82386" w:rsidRDefault="00E66F64">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(Джерело: План сталої мобільності Житомира, 2019 р.)</w:t>
      </w:r>
    </w:p>
    <w:p w14:paraId="43CD11A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попередніх 2007-2010 років спостерігалась чітка тенденція до зменшення обсягу перевезення пасажирів міським електротранспортом, в першу чергу через скорочення рухомого складу електротранспорту, а по-друге, через погіршення технічного стану рухомого складу електротранспорт і перебоїв у виході на лінію з причин несправності. При цьому міський електротранспорт – єдиний вид громадського транспорту в місті Житомирі, який надає право безкоштовного проїзду всім пільговим категоріям громадян. Тому, наприклад, в 2010 році пільгові пасажири становили 55% пасажирів громадського електротранспорту.</w:t>
      </w:r>
    </w:p>
    <w:p w14:paraId="2D2C1CD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2016 року в місті розпочато реформу громадського транспорту, розроблено план оптимізації мережі, залучені інвестиції на оновлення рухомого складу комунальної форми власності, оновлено вимоги на обслуговування маршрутів та проведено конкурс на перевезення. В 2017 році містом було затверджено «План дій зі сталого енергетичного розвитку міста Житомира на 2015-2024 роки», а в 2019 «План сталої міської мобільності міста Житомира». В 2018 році було впроваджено систему електронної оплати проїзду в громадському транспорті та придбано 17 нових автобусів великої пасажиромісткості, залучено інвестиції для покупки 50 нових тролейбусів.</w:t>
      </w:r>
    </w:p>
    <w:p w14:paraId="105A919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результатами дослідження пасажиропотоків</w:t>
      </w:r>
      <w:r>
        <w:rPr>
          <w:rFonts w:ascii="Times New Roman" w:eastAsia="Times New Roman" w:hAnsi="Times New Roman" w:cs="Times New Roman"/>
          <w:sz w:val="24"/>
          <w:szCs w:val="24"/>
          <w:vertAlign w:val="superscript"/>
        </w:rPr>
        <w:footnoteReference w:id="17"/>
      </w:r>
      <w:r>
        <w:rPr>
          <w:rFonts w:ascii="Times New Roman" w:eastAsia="Times New Roman" w:hAnsi="Times New Roman" w:cs="Times New Roman"/>
          <w:sz w:val="24"/>
          <w:szCs w:val="24"/>
        </w:rPr>
        <w:t>, середньодобовий обсяг перевезення в 2019 році автобусними маршрутами склав  130 846 пасажирів, тролейбусами – 101 524 пасажирів та трамваєм – 24 174 пасажирів.</w:t>
      </w:r>
    </w:p>
    <w:p w14:paraId="7D90E808"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Автобусний парк рухомого складу відносно новий, середній вік рухомого складу – 8 років, без врахування муніципального транспорту (придбаного в 2018 році) – 9 років. </w:t>
      </w:r>
    </w:p>
    <w:p w14:paraId="3B227D5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 2017 році КП ЖТТУ було введено в експлуатацію 17 автобусів моделі МАЗ на дизельному паливі. Дана модель характеризується вищим рівнем використання палива проте вищою пасажиромісткістю. </w:t>
      </w:r>
    </w:p>
    <w:p w14:paraId="352FEF0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Парк рухомого складу електротранспорту знаходиться в значно гіршому стані і потребує оновлення. Середній вік тролейбусів становить 27,5 років, трамваїв – 32,5 , у той час як нормативний період експлуатації становить, відповідно, 10 та 15 років. </w:t>
      </w:r>
    </w:p>
    <w:p w14:paraId="0AF22A74"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таблиці 3.18 представлені узагальнені характеристики типового рухомого складу, що експлуатується в Житомирі.</w:t>
      </w:r>
    </w:p>
    <w:p w14:paraId="07535320"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3.18</w:t>
      </w:r>
    </w:p>
    <w:p w14:paraId="22A8A1D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Характеристика рухомого складу громадського транспорту</w:t>
      </w:r>
    </w:p>
    <w:tbl>
      <w:tblPr>
        <w:tblStyle w:val="affffa"/>
        <w:tblW w:w="926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9"/>
        <w:gridCol w:w="3074"/>
        <w:gridCol w:w="1701"/>
        <w:gridCol w:w="2212"/>
      </w:tblGrid>
      <w:tr w:rsidR="00C82386" w14:paraId="2E62CD48" w14:textId="77777777">
        <w:tc>
          <w:tcPr>
            <w:tcW w:w="2279" w:type="dxa"/>
            <w:shd w:val="clear" w:color="auto" w:fill="auto"/>
          </w:tcPr>
          <w:p w14:paraId="3A552C7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Модель</w:t>
            </w:r>
          </w:p>
        </w:tc>
        <w:tc>
          <w:tcPr>
            <w:tcW w:w="3074" w:type="dxa"/>
          </w:tcPr>
          <w:p w14:paraId="7098958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Номінальна пасажиромісткість, </w:t>
            </w:r>
            <w:r>
              <w:rPr>
                <w:rFonts w:ascii="Times New Roman" w:eastAsia="Times New Roman" w:hAnsi="Times New Roman" w:cs="Times New Roman"/>
                <w:sz w:val="24"/>
                <w:szCs w:val="24"/>
              </w:rPr>
              <w:br/>
              <w:t>(місць для сидіння) загальна кількість місць</w:t>
            </w:r>
          </w:p>
        </w:tc>
        <w:tc>
          <w:tcPr>
            <w:tcW w:w="1701" w:type="dxa"/>
            <w:shd w:val="clear" w:color="auto" w:fill="auto"/>
          </w:tcPr>
          <w:p w14:paraId="28ACEE8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Тип палива</w:t>
            </w:r>
          </w:p>
        </w:tc>
        <w:tc>
          <w:tcPr>
            <w:tcW w:w="2212" w:type="dxa"/>
            <w:shd w:val="clear" w:color="auto" w:fill="auto"/>
          </w:tcPr>
          <w:p w14:paraId="0D486BF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Нормативне / фактичне використання палива</w:t>
            </w:r>
          </w:p>
        </w:tc>
      </w:tr>
      <w:tr w:rsidR="00C82386" w14:paraId="1F90084F" w14:textId="77777777">
        <w:tc>
          <w:tcPr>
            <w:tcW w:w="2279" w:type="dxa"/>
            <w:shd w:val="clear" w:color="auto" w:fill="auto"/>
          </w:tcPr>
          <w:p w14:paraId="1F6A01E0"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Рута 20 (22, 25)</w:t>
            </w:r>
          </w:p>
        </w:tc>
        <w:tc>
          <w:tcPr>
            <w:tcW w:w="3074" w:type="dxa"/>
          </w:tcPr>
          <w:p w14:paraId="40D6A320"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 25</w:t>
            </w:r>
          </w:p>
        </w:tc>
        <w:tc>
          <w:tcPr>
            <w:tcW w:w="1701" w:type="dxa"/>
            <w:shd w:val="clear" w:color="auto" w:fill="auto"/>
          </w:tcPr>
          <w:p w14:paraId="053CD7AC"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Газ</w:t>
            </w:r>
          </w:p>
        </w:tc>
        <w:tc>
          <w:tcPr>
            <w:tcW w:w="2212" w:type="dxa"/>
            <w:shd w:val="clear" w:color="auto" w:fill="auto"/>
          </w:tcPr>
          <w:p w14:paraId="0A2A9B2F"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17,5</w:t>
            </w:r>
          </w:p>
        </w:tc>
      </w:tr>
      <w:tr w:rsidR="00C82386" w14:paraId="04D22AFC" w14:textId="77777777">
        <w:tc>
          <w:tcPr>
            <w:tcW w:w="2279" w:type="dxa"/>
            <w:shd w:val="clear" w:color="auto" w:fill="auto"/>
          </w:tcPr>
          <w:p w14:paraId="739B74F2"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АТАМАН А-092Н6</w:t>
            </w:r>
          </w:p>
        </w:tc>
        <w:tc>
          <w:tcPr>
            <w:tcW w:w="3074" w:type="dxa"/>
          </w:tcPr>
          <w:p w14:paraId="2DE2553C"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 52</w:t>
            </w:r>
          </w:p>
        </w:tc>
        <w:tc>
          <w:tcPr>
            <w:tcW w:w="1701" w:type="dxa"/>
            <w:shd w:val="clear" w:color="auto" w:fill="auto"/>
          </w:tcPr>
          <w:p w14:paraId="5EECB93C"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12" w:type="dxa"/>
            <w:shd w:val="clear" w:color="auto" w:fill="auto"/>
          </w:tcPr>
          <w:p w14:paraId="3A8B15DA"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20,5</w:t>
            </w:r>
          </w:p>
        </w:tc>
      </w:tr>
      <w:tr w:rsidR="00C82386" w14:paraId="75530729" w14:textId="77777777">
        <w:tc>
          <w:tcPr>
            <w:tcW w:w="2279" w:type="dxa"/>
            <w:shd w:val="clear" w:color="auto" w:fill="auto"/>
          </w:tcPr>
          <w:p w14:paraId="0DC7B069"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БОГДАН А-09302</w:t>
            </w:r>
          </w:p>
        </w:tc>
        <w:tc>
          <w:tcPr>
            <w:tcW w:w="3074" w:type="dxa"/>
          </w:tcPr>
          <w:p w14:paraId="40C75BB9"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 43</w:t>
            </w:r>
          </w:p>
        </w:tc>
        <w:tc>
          <w:tcPr>
            <w:tcW w:w="1701" w:type="dxa"/>
            <w:shd w:val="clear" w:color="auto" w:fill="auto"/>
          </w:tcPr>
          <w:p w14:paraId="3B16AF29"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12" w:type="dxa"/>
            <w:shd w:val="clear" w:color="auto" w:fill="auto"/>
          </w:tcPr>
          <w:p w14:paraId="704A8166"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C82386" w14:paraId="73D0B222" w14:textId="77777777">
        <w:tc>
          <w:tcPr>
            <w:tcW w:w="2279" w:type="dxa"/>
            <w:shd w:val="clear" w:color="auto" w:fill="auto"/>
          </w:tcPr>
          <w:p w14:paraId="0D469952"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I-VAN A07A1</w:t>
            </w:r>
          </w:p>
        </w:tc>
        <w:tc>
          <w:tcPr>
            <w:tcW w:w="3074" w:type="dxa"/>
          </w:tcPr>
          <w:p w14:paraId="6874A824"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 35</w:t>
            </w:r>
          </w:p>
        </w:tc>
        <w:tc>
          <w:tcPr>
            <w:tcW w:w="1701" w:type="dxa"/>
            <w:shd w:val="clear" w:color="auto" w:fill="auto"/>
          </w:tcPr>
          <w:p w14:paraId="5E63669C"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12" w:type="dxa"/>
            <w:shd w:val="clear" w:color="auto" w:fill="auto"/>
          </w:tcPr>
          <w:p w14:paraId="26646057"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C82386" w14:paraId="5DB04E19" w14:textId="77777777">
        <w:tc>
          <w:tcPr>
            <w:tcW w:w="2279" w:type="dxa"/>
            <w:shd w:val="clear" w:color="auto" w:fill="auto"/>
          </w:tcPr>
          <w:p w14:paraId="284EBBF6"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VOLVO B7R</w:t>
            </w:r>
          </w:p>
        </w:tc>
        <w:tc>
          <w:tcPr>
            <w:tcW w:w="3074" w:type="dxa"/>
          </w:tcPr>
          <w:p w14:paraId="6F8D9EB6"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 67</w:t>
            </w:r>
          </w:p>
        </w:tc>
        <w:tc>
          <w:tcPr>
            <w:tcW w:w="1701" w:type="dxa"/>
            <w:shd w:val="clear" w:color="auto" w:fill="auto"/>
          </w:tcPr>
          <w:p w14:paraId="270E9DDC"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12" w:type="dxa"/>
            <w:shd w:val="clear" w:color="auto" w:fill="auto"/>
          </w:tcPr>
          <w:p w14:paraId="76CAD091"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r>
      <w:tr w:rsidR="00C82386" w14:paraId="4CEB6F05" w14:textId="77777777">
        <w:tc>
          <w:tcPr>
            <w:tcW w:w="2279" w:type="dxa"/>
            <w:shd w:val="clear" w:color="auto" w:fill="auto"/>
          </w:tcPr>
          <w:p w14:paraId="4FB10600" w14:textId="77777777" w:rsidR="00C82386" w:rsidRDefault="00E66F64">
            <w:pPr>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МАЗ 206096</w:t>
            </w:r>
          </w:p>
        </w:tc>
        <w:tc>
          <w:tcPr>
            <w:tcW w:w="3074" w:type="dxa"/>
          </w:tcPr>
          <w:p w14:paraId="553FFD93"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 72/64</w:t>
            </w:r>
          </w:p>
        </w:tc>
        <w:tc>
          <w:tcPr>
            <w:tcW w:w="1701" w:type="dxa"/>
            <w:shd w:val="clear" w:color="auto" w:fill="auto"/>
          </w:tcPr>
          <w:p w14:paraId="12EFC67F"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212" w:type="dxa"/>
            <w:shd w:val="clear" w:color="auto" w:fill="auto"/>
          </w:tcPr>
          <w:p w14:paraId="139EC4AA" w14:textId="77777777" w:rsidR="00C82386" w:rsidRDefault="00E66F64">
            <w:pPr>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 / 35</w:t>
            </w:r>
          </w:p>
        </w:tc>
      </w:tr>
    </w:tbl>
    <w:p w14:paraId="7F0EF4AB" w14:textId="77777777" w:rsidR="00C82386" w:rsidRDefault="00E66F64">
      <w:pPr>
        <w:keepNext/>
      </w:pPr>
      <w:r>
        <w:rPr>
          <w:noProof/>
          <w:lang w:val="ru-RU"/>
        </w:rPr>
        <w:lastRenderedPageBreak/>
        <w:drawing>
          <wp:inline distT="0" distB="0" distL="0" distR="0" wp14:anchorId="7D0519AB" wp14:editId="47B6ADD5">
            <wp:extent cx="5934075" cy="4514850"/>
            <wp:effectExtent l="0" t="0" r="0" b="0"/>
            <wp:docPr id="2144251951"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52"/>
                    <a:srcRect/>
                    <a:stretch>
                      <a:fillRect/>
                    </a:stretch>
                  </pic:blipFill>
                  <pic:spPr>
                    <a:xfrm>
                      <a:off x="0" y="0"/>
                      <a:ext cx="5934075" cy="4514850"/>
                    </a:xfrm>
                    <a:prstGeom prst="rect">
                      <a:avLst/>
                    </a:prstGeom>
                    <a:ln/>
                  </pic:spPr>
                </pic:pic>
              </a:graphicData>
            </a:graphic>
          </wp:inline>
        </w:drawing>
      </w:r>
    </w:p>
    <w:p w14:paraId="7BCD4CDD" w14:textId="77777777" w:rsidR="00C82386" w:rsidRDefault="00E66F64">
      <w:pPr>
        <w:spacing w:after="12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3.27. Енергоспоживання та викиди СО</w:t>
      </w:r>
      <w:r>
        <w:rPr>
          <w:rFonts w:ascii="Times New Roman" w:eastAsia="Times New Roman" w:hAnsi="Times New Roman" w:cs="Times New Roman"/>
          <w:i/>
          <w:sz w:val="24"/>
          <w:szCs w:val="24"/>
          <w:vertAlign w:val="subscript"/>
        </w:rPr>
        <w:t>2</w:t>
      </w:r>
      <w:r>
        <w:rPr>
          <w:rFonts w:ascii="Times New Roman" w:eastAsia="Times New Roman" w:hAnsi="Times New Roman" w:cs="Times New Roman"/>
          <w:i/>
          <w:sz w:val="24"/>
          <w:szCs w:val="24"/>
        </w:rPr>
        <w:t xml:space="preserve"> громадським транспортом </w:t>
      </w:r>
    </w:p>
    <w:p w14:paraId="0E0AA72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енергоспоживання і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було здійснено для кожного маршруту окремо на основі даних управління транспорту і зв’язку. Для маршрутів приміського транспорту використовувались відстані пересування в межах міста.</w:t>
      </w:r>
    </w:p>
    <w:p w14:paraId="49BB808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зниження рівня викидів від громадського транспорту необхідно продовжити оновлення рухомого складу та інфраструктури електротранспорту та оптимізувати мережу орієнтовано на використання оптимальних за провізною спроможністю транспортних засобів. При реалізації інвестиційних проектів з закупки рухомого складу надавати пріоритет електричним видам транспорту, наприклад, електробусам.</w:t>
      </w:r>
    </w:p>
    <w:p w14:paraId="393E6A19"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3.16</w:t>
      </w:r>
    </w:p>
    <w:p w14:paraId="2A791D9F"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Кінцеве енергоспоживання громадського транспорту за видами палива</w:t>
      </w:r>
    </w:p>
    <w:tbl>
      <w:tblPr>
        <w:tblStyle w:val="affffb"/>
        <w:tblW w:w="779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31"/>
        <w:gridCol w:w="2410"/>
        <w:gridCol w:w="2658"/>
      </w:tblGrid>
      <w:tr w:rsidR="00C82386" w14:paraId="692686A7" w14:textId="77777777" w:rsidTr="001266F0">
        <w:trPr>
          <w:jc w:val="center"/>
        </w:trPr>
        <w:tc>
          <w:tcPr>
            <w:tcW w:w="2731" w:type="dxa"/>
          </w:tcPr>
          <w:p w14:paraId="03721CC1"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410" w:type="dxa"/>
            <w:tcBorders>
              <w:bottom w:val="single" w:sz="4" w:space="0" w:color="000000"/>
            </w:tcBorders>
          </w:tcPr>
          <w:p w14:paraId="4BC5D03C" w14:textId="77777777" w:rsidR="00C82386" w:rsidRDefault="00E66F64" w:rsidP="001B5789">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w:t>
            </w:r>
            <w:r w:rsidR="009818BD">
              <w:rPr>
                <w:rFonts w:ascii="Times New Roman" w:eastAsia="Times New Roman" w:hAnsi="Times New Roman" w:cs="Times New Roman"/>
                <w:sz w:val="24"/>
                <w:szCs w:val="24"/>
                <w:lang w:val="en-US"/>
              </w:rPr>
              <w:t>і</w:t>
            </w:r>
            <w:r w:rsidR="00241265">
              <w:rPr>
                <w:rFonts w:ascii="Times New Roman" w:eastAsia="Times New Roman" w:hAnsi="Times New Roman" w:cs="Times New Roman"/>
                <w:sz w:val="24"/>
                <w:szCs w:val="24"/>
              </w:rPr>
              <w:t>к</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МВт·год</w:t>
            </w:r>
          </w:p>
        </w:tc>
        <w:tc>
          <w:tcPr>
            <w:tcW w:w="2658" w:type="dxa"/>
            <w:tcBorders>
              <w:bottom w:val="single" w:sz="4" w:space="0" w:color="000000"/>
            </w:tcBorders>
          </w:tcPr>
          <w:p w14:paraId="7ED2698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9818BD">
              <w:rPr>
                <w:rFonts w:ascii="Times New Roman" w:eastAsia="Times New Roman" w:hAnsi="Times New Roman" w:cs="Times New Roman"/>
                <w:sz w:val="24"/>
                <w:szCs w:val="24"/>
              </w:rPr>
              <w:t>020 рі</w:t>
            </w:r>
            <w:r w:rsidR="00241265">
              <w:rPr>
                <w:rFonts w:ascii="Times New Roman" w:eastAsia="Times New Roman" w:hAnsi="Times New Roman" w:cs="Times New Roman"/>
                <w:sz w:val="24"/>
                <w:szCs w:val="24"/>
              </w:rPr>
              <w:t>к</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МВт·год.</w:t>
            </w:r>
          </w:p>
        </w:tc>
      </w:tr>
      <w:tr w:rsidR="00C82386" w14:paraId="335473C6" w14:textId="77777777" w:rsidTr="001266F0">
        <w:trPr>
          <w:jc w:val="center"/>
        </w:trPr>
        <w:tc>
          <w:tcPr>
            <w:tcW w:w="2731" w:type="dxa"/>
            <w:vAlign w:val="bottom"/>
          </w:tcPr>
          <w:p w14:paraId="06089A3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410" w:type="dxa"/>
            <w:shd w:val="clear" w:color="auto" w:fill="FFFFFF" w:themeFill="background1"/>
          </w:tcPr>
          <w:p w14:paraId="13104EBA"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2658" w:type="dxa"/>
            <w:shd w:val="clear" w:color="auto" w:fill="FFFFFF" w:themeFill="background1"/>
          </w:tcPr>
          <w:p w14:paraId="73A8F1E2"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C82386" w14:paraId="4D2B5C13" w14:textId="77777777" w:rsidTr="001266F0">
        <w:trPr>
          <w:jc w:val="center"/>
        </w:trPr>
        <w:tc>
          <w:tcPr>
            <w:tcW w:w="2731" w:type="dxa"/>
            <w:vAlign w:val="bottom"/>
          </w:tcPr>
          <w:p w14:paraId="49EA326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410" w:type="dxa"/>
            <w:shd w:val="clear" w:color="auto" w:fill="FFFFFF" w:themeFill="background1"/>
          </w:tcPr>
          <w:p w14:paraId="389C20C3"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17 150,3</w:t>
            </w:r>
          </w:p>
        </w:tc>
        <w:tc>
          <w:tcPr>
            <w:tcW w:w="2658" w:type="dxa"/>
            <w:shd w:val="clear" w:color="auto" w:fill="FFFFFF" w:themeFill="background1"/>
          </w:tcPr>
          <w:p w14:paraId="58A1AB09"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12 808,0</w:t>
            </w:r>
          </w:p>
        </w:tc>
      </w:tr>
      <w:tr w:rsidR="00C82386" w14:paraId="71CB7FA2" w14:textId="77777777" w:rsidTr="001266F0">
        <w:trPr>
          <w:jc w:val="center"/>
        </w:trPr>
        <w:tc>
          <w:tcPr>
            <w:tcW w:w="2731" w:type="dxa"/>
            <w:vAlign w:val="bottom"/>
          </w:tcPr>
          <w:p w14:paraId="13781CA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стиснений газ (метан)</w:t>
            </w:r>
          </w:p>
        </w:tc>
        <w:tc>
          <w:tcPr>
            <w:tcW w:w="2410" w:type="dxa"/>
            <w:tcBorders>
              <w:bottom w:val="single" w:sz="4" w:space="0" w:color="000000"/>
            </w:tcBorders>
            <w:shd w:val="clear" w:color="auto" w:fill="FFFFFF" w:themeFill="background1"/>
          </w:tcPr>
          <w:p w14:paraId="01EFB452"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93 061,5</w:t>
            </w:r>
          </w:p>
        </w:tc>
        <w:tc>
          <w:tcPr>
            <w:tcW w:w="2658" w:type="dxa"/>
            <w:tcBorders>
              <w:bottom w:val="single" w:sz="4" w:space="0" w:color="000000"/>
            </w:tcBorders>
            <w:shd w:val="clear" w:color="auto" w:fill="FFFFFF" w:themeFill="background1"/>
          </w:tcPr>
          <w:p w14:paraId="63E5611D"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245 246,1</w:t>
            </w:r>
          </w:p>
        </w:tc>
      </w:tr>
      <w:tr w:rsidR="00C82386" w14:paraId="6CA16D2C" w14:textId="77777777" w:rsidTr="001266F0">
        <w:trPr>
          <w:jc w:val="center"/>
        </w:trPr>
        <w:tc>
          <w:tcPr>
            <w:tcW w:w="2731" w:type="dxa"/>
            <w:vAlign w:val="bottom"/>
          </w:tcPr>
          <w:p w14:paraId="26EC627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електроенергія</w:t>
            </w:r>
          </w:p>
        </w:tc>
        <w:tc>
          <w:tcPr>
            <w:tcW w:w="2410" w:type="dxa"/>
            <w:tcBorders>
              <w:bottom w:val="single" w:sz="4" w:space="0" w:color="000000"/>
            </w:tcBorders>
            <w:shd w:val="clear" w:color="auto" w:fill="FFFFFF" w:themeFill="background1"/>
          </w:tcPr>
          <w:p w14:paraId="558B19F8" w14:textId="77777777" w:rsidR="00C82386" w:rsidRPr="00EE5296" w:rsidRDefault="00EE5296">
            <w:pPr>
              <w:spacing w:after="0"/>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15 230,0</w:t>
            </w:r>
          </w:p>
        </w:tc>
        <w:tc>
          <w:tcPr>
            <w:tcW w:w="2658" w:type="dxa"/>
            <w:tcBorders>
              <w:bottom w:val="single" w:sz="4" w:space="0" w:color="000000"/>
            </w:tcBorders>
            <w:shd w:val="clear" w:color="auto" w:fill="FFFFFF" w:themeFill="background1"/>
          </w:tcPr>
          <w:p w14:paraId="547020A6" w14:textId="77777777" w:rsidR="00C82386" w:rsidRPr="00EE5296" w:rsidRDefault="00EE5296">
            <w:pPr>
              <w:spacing w:after="0"/>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10 341,9</w:t>
            </w:r>
          </w:p>
        </w:tc>
      </w:tr>
      <w:tr w:rsidR="00C82386" w14:paraId="1E0979A2" w14:textId="77777777" w:rsidTr="001266F0">
        <w:trPr>
          <w:jc w:val="center"/>
        </w:trPr>
        <w:tc>
          <w:tcPr>
            <w:tcW w:w="2731" w:type="dxa"/>
          </w:tcPr>
          <w:p w14:paraId="07E62E4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410" w:type="dxa"/>
            <w:shd w:val="clear" w:color="auto" w:fill="FFFFFF" w:themeFill="background1"/>
          </w:tcPr>
          <w:p w14:paraId="2489B528"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125 441,8</w:t>
            </w:r>
          </w:p>
        </w:tc>
        <w:tc>
          <w:tcPr>
            <w:tcW w:w="2658" w:type="dxa"/>
            <w:shd w:val="clear" w:color="auto" w:fill="FFFFFF" w:themeFill="background1"/>
          </w:tcPr>
          <w:p w14:paraId="51F779D3" w14:textId="77777777" w:rsidR="00C82386" w:rsidRDefault="001266F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268 396,0</w:t>
            </w:r>
          </w:p>
        </w:tc>
      </w:tr>
    </w:tbl>
    <w:p w14:paraId="6C8BF77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rPr>
        <w:t xml:space="preserve"> - дані наведені з</w:t>
      </w:r>
      <w:r w:rsidR="00ED490E">
        <w:rPr>
          <w:rFonts w:ascii="Times New Roman" w:eastAsia="Times New Roman" w:hAnsi="Times New Roman" w:cs="Times New Roman"/>
        </w:rPr>
        <w:t xml:space="preserve"> урахуванням</w:t>
      </w:r>
      <w:r>
        <w:rPr>
          <w:rFonts w:ascii="Times New Roman" w:eastAsia="Times New Roman" w:hAnsi="Times New Roman" w:cs="Times New Roman"/>
        </w:rPr>
        <w:t xml:space="preserve"> інформаці</w:t>
      </w:r>
      <w:r w:rsidR="00ED490E">
        <w:rPr>
          <w:rFonts w:ascii="Times New Roman" w:eastAsia="Times New Roman" w:hAnsi="Times New Roman" w:cs="Times New Roman"/>
        </w:rPr>
        <w:t>ї</w:t>
      </w:r>
      <w:r>
        <w:rPr>
          <w:rFonts w:ascii="Times New Roman" w:eastAsia="Times New Roman" w:hAnsi="Times New Roman" w:cs="Times New Roman"/>
        </w:rPr>
        <w:t xml:space="preserve"> з </w:t>
      </w:r>
      <w:r w:rsidR="00ED490E">
        <w:rPr>
          <w:rFonts w:ascii="Times New Roman" w:eastAsia="Times New Roman" w:hAnsi="Times New Roman" w:cs="Times New Roman"/>
        </w:rPr>
        <w:t>д</w:t>
      </w:r>
      <w:r>
        <w:rPr>
          <w:rFonts w:ascii="Times New Roman" w:eastAsia="Times New Roman" w:hAnsi="Times New Roman" w:cs="Times New Roman"/>
        </w:rPr>
        <w:t>ослідження, що було проведено для оцінки викидів парникових газів транспорту Житомирської МТГ</w:t>
      </w:r>
      <w:r>
        <w:rPr>
          <w:rFonts w:ascii="Times New Roman" w:eastAsia="Times New Roman" w:hAnsi="Times New Roman" w:cs="Times New Roman"/>
          <w:vertAlign w:val="superscript"/>
        </w:rPr>
        <w:footnoteReference w:id="18"/>
      </w:r>
      <w:r>
        <w:rPr>
          <w:rFonts w:ascii="Times New Roman" w:eastAsia="Times New Roman" w:hAnsi="Times New Roman" w:cs="Times New Roman"/>
        </w:rPr>
        <w:t xml:space="preserve"> .</w:t>
      </w:r>
    </w:p>
    <w:p w14:paraId="50A28D17" w14:textId="77777777" w:rsidR="00C82386" w:rsidRDefault="00E66F64">
      <w:pPr>
        <w:keepNext/>
        <w:keepLines/>
        <w:numPr>
          <w:ilvl w:val="0"/>
          <w:numId w:val="55"/>
        </w:numPr>
        <w:pBdr>
          <w:top w:val="nil"/>
          <w:left w:val="nil"/>
          <w:bottom w:val="nil"/>
          <w:right w:val="nil"/>
          <w:between w:val="nil"/>
        </w:pBdr>
        <w:spacing w:before="200" w:after="0"/>
        <w:ind w:left="851" w:hanging="851"/>
        <w:rPr>
          <w:rFonts w:ascii="Times New Roman" w:eastAsia="Times New Roman" w:hAnsi="Times New Roman" w:cs="Times New Roman"/>
          <w:b/>
          <w:color w:val="000000"/>
          <w:sz w:val="24"/>
          <w:szCs w:val="24"/>
        </w:rPr>
      </w:pPr>
      <w:bookmarkStart w:id="39" w:name="_heading=h.vx1227" w:colFirst="0" w:colLast="0"/>
      <w:bookmarkEnd w:id="39"/>
      <w:r>
        <w:rPr>
          <w:rFonts w:ascii="Times New Roman" w:eastAsia="Times New Roman" w:hAnsi="Times New Roman" w:cs="Times New Roman"/>
          <w:b/>
          <w:color w:val="000000"/>
          <w:sz w:val="24"/>
          <w:szCs w:val="24"/>
        </w:rPr>
        <w:lastRenderedPageBreak/>
        <w:t>Приватний та комерційний транспорт</w:t>
      </w:r>
    </w:p>
    <w:p w14:paraId="070B8FF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низьку якість громадського транспорту, недостатню кількість рухомого складу для обслуговування пасажирів в години пік та завдяки покращенню фінансового становища населення в місті, спостерігається зростання кількості приватних автотранспортних засобів. Через те, центральні вулиці міста, а саме Київське шосе, вулиці Жуйка, Михайла Грушевського, Київська, Велика Бердичівська, Перемоги, Покровська, Леха Качинського, Чуднівська, Івана Гонти, проспект Миру та проспект Незалежності, стають перевантаженими автомобільним транспортом, в години пік на цих вулицях накопичується транспорт, з’являється проблема з неорганізованим паркуванням автомобілів.</w:t>
      </w:r>
    </w:p>
    <w:p w14:paraId="619F8E3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2010 рік рівень автомобілізації в Житомирі складав 175 автомобілів на 1000 мешканці. Це на 15% вище, ніж аналогічний показник у 2006 році. За даними сервісного центру ГСЦ МВС в період між базовим і проміжним роками тенденція до збільшення рівня автомобілізації в Житомирі продовжилась. </w:t>
      </w:r>
    </w:p>
    <w:p w14:paraId="411F9B6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Рівень автомобілізації в 2019 році склав 194 авто/1000 мешканців (рис. 6). При чому починаючи з 2018 року в Україні щорічно імпортується втричі більше автомобілів бувших у використанні, ніж нових. Експерти відмічають, що такі показники наприкінці 2018 року спричинені закінченням дії пільгового закону щодо розмитнення автомобілів (діяв до 31.12.2018 р), а також початком дії з 26 листопада 2018 р нового закону, який дозволив легалізувати автомобілі з європейською реєстрацією. У 2018 році близько 60% вживаних авто, мають вік понад 8 років, тобто почали експлуатуватися ще до того, як в Євросоюзі було введено норму Євро-5. Хоча сертифікат відповідності стандарту Євро-5 і вище є необхідним для здійснення державної реєстрації автомобіля на території України</w:t>
      </w:r>
      <w:r>
        <w:rPr>
          <w:rFonts w:ascii="Times New Roman" w:eastAsia="Times New Roman" w:hAnsi="Times New Roman" w:cs="Times New Roman"/>
          <w:sz w:val="24"/>
          <w:szCs w:val="24"/>
          <w:vertAlign w:val="superscript"/>
        </w:rPr>
        <w:footnoteReference w:id="19"/>
      </w:r>
      <w:r>
        <w:rPr>
          <w:rFonts w:ascii="Times New Roman" w:eastAsia="Times New Roman" w:hAnsi="Times New Roman" w:cs="Times New Roman"/>
          <w:sz w:val="24"/>
          <w:szCs w:val="24"/>
        </w:rPr>
        <w:t xml:space="preserve">. </w:t>
      </w:r>
    </w:p>
    <w:p w14:paraId="749902C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Як результат насичення ринку вживаними авто, в січні 2019 року продаж нових автомобілів впав на 20% порівняно з попереднім роком. В 2019 році зберігається тенденція зростання ввозу вживаних автомобілів і за 6 місяців 2019 року було імпортовано в 4,8 разів більше вживаних авто порівняно з аналогічним періодом у 2018 році. 36% з цих авто віком понад 10 років. </w:t>
      </w:r>
    </w:p>
    <w:p w14:paraId="2D0C4FA8" w14:textId="77777777" w:rsidR="00C82386" w:rsidRDefault="00E66F64">
      <w:pPr>
        <w:keepNext/>
        <w:spacing w:after="0"/>
        <w:jc w:val="center"/>
      </w:pPr>
      <w:r>
        <w:rPr>
          <w:noProof/>
          <w:lang w:val="ru-RU"/>
        </w:rPr>
        <w:drawing>
          <wp:inline distT="0" distB="0" distL="0" distR="0" wp14:anchorId="46378FD5" wp14:editId="5C95B4D8">
            <wp:extent cx="5628989" cy="2695575"/>
            <wp:effectExtent l="0" t="0" r="0" b="0"/>
            <wp:docPr id="2144251952"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3"/>
                    <a:srcRect/>
                    <a:stretch>
                      <a:fillRect/>
                    </a:stretch>
                  </pic:blipFill>
                  <pic:spPr>
                    <a:xfrm>
                      <a:off x="0" y="0"/>
                      <a:ext cx="5630760" cy="2696423"/>
                    </a:xfrm>
                    <a:prstGeom prst="rect">
                      <a:avLst/>
                    </a:prstGeom>
                    <a:ln/>
                  </pic:spPr>
                </pic:pic>
              </a:graphicData>
            </a:graphic>
          </wp:inline>
        </w:drawing>
      </w:r>
    </w:p>
    <w:p w14:paraId="4C589EE5" w14:textId="77777777" w:rsidR="00C82386" w:rsidRDefault="00E66F64">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3.28. Динаміка автомобілізації м. Житомир</w:t>
      </w:r>
    </w:p>
    <w:p w14:paraId="7ED4A03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Що важливо, більшість автомобілів, що імпортуються в Україну мають не тільки застарілі технології контролю викидів, а й переважно дизельний двигун. Різке зростання реєстрації автомобілів з двигуном, що працює на дизельному паливі відбулося на початку 2019 року , що вірогідно пов’язано з закінченням дії пільгового закону щодо розмитнення автомобілів (рисунок 3.29).</w:t>
      </w:r>
    </w:p>
    <w:p w14:paraId="3E143753" w14:textId="77777777" w:rsidR="00C82386" w:rsidRDefault="00E66F64">
      <w:pPr>
        <w:keepNext/>
        <w:spacing w:after="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647B3D5" wp14:editId="37CAEBC3">
            <wp:extent cx="6027420" cy="1303020"/>
            <wp:effectExtent l="0" t="0" r="0" b="0"/>
            <wp:docPr id="214425195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54"/>
                    <a:srcRect/>
                    <a:stretch>
                      <a:fillRect/>
                    </a:stretch>
                  </pic:blipFill>
                  <pic:spPr>
                    <a:xfrm>
                      <a:off x="0" y="0"/>
                      <a:ext cx="6027420" cy="1303020"/>
                    </a:xfrm>
                    <a:prstGeom prst="rect">
                      <a:avLst/>
                    </a:prstGeom>
                    <a:ln/>
                  </pic:spPr>
                </pic:pic>
              </a:graphicData>
            </a:graphic>
          </wp:inline>
        </w:drawing>
      </w:r>
    </w:p>
    <w:p w14:paraId="289B4C09" w14:textId="77777777" w:rsidR="00C82386" w:rsidRDefault="00E66F64">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3.29. Динаміка реєстрації рухомого складу, що працює на дизельному паливі, в м. Житомир</w:t>
      </w:r>
    </w:p>
    <w:p w14:paraId="68C0C9C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1.10.2019 р. в Житомирській області зареєстровано 570 автомобілів з електричним або гібридним двигуном</w:t>
      </w:r>
      <w:r>
        <w:rPr>
          <w:rFonts w:ascii="Times New Roman" w:eastAsia="Times New Roman" w:hAnsi="Times New Roman" w:cs="Times New Roman"/>
          <w:sz w:val="24"/>
          <w:szCs w:val="24"/>
          <w:vertAlign w:val="superscript"/>
        </w:rPr>
        <w:footnoteReference w:id="20"/>
      </w:r>
      <w:r>
        <w:rPr>
          <w:rFonts w:ascii="Times New Roman" w:eastAsia="Times New Roman" w:hAnsi="Times New Roman" w:cs="Times New Roman"/>
          <w:sz w:val="24"/>
          <w:szCs w:val="24"/>
        </w:rPr>
        <w:t>. Це становить менше 1% всіх зареєстрованих автомобілів і тому не враховувалося в даних розрахунках.</w:t>
      </w:r>
    </w:p>
    <w:p w14:paraId="470A200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Визначення обсягів викидів для приватного і комерційного транспорту становить найбільшу складність і спирається на низку припущень. Методологічно доцільно виділити приватний транспорт індивідуального користування і комерційний транспорт, а також пасажирський і вантажний транспорт. Автомобілі, які використовуються населенням в приватних цілях відносяться до пасажирського транспорту індивідуального користування. Перевезення вантажу здебільшого потрапляє в комерційні вантажні перевезення. До комерційного пасажирського транспорту можна також віднести служби таксі.</w:t>
      </w:r>
    </w:p>
    <w:p w14:paraId="6A7B779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від приватного легкового транспорту здійснювався на основі даних про пересування населення, що отримані в результаті дослідження мобільності.</w:t>
      </w:r>
    </w:p>
    <w:p w14:paraId="1DA8E8C1"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3.19</w:t>
      </w:r>
    </w:p>
    <w:p w14:paraId="73F5ED5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Характеристика мобільності населення м. Житомир</w:t>
      </w:r>
    </w:p>
    <w:tbl>
      <w:tblPr>
        <w:tblStyle w:val="affffc"/>
        <w:tblW w:w="9521"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2409"/>
        <w:gridCol w:w="1701"/>
        <w:gridCol w:w="1583"/>
      </w:tblGrid>
      <w:tr w:rsidR="00C82386" w14:paraId="57C6AFCC" w14:textId="77777777">
        <w:trPr>
          <w:trHeight w:val="282"/>
        </w:trPr>
        <w:tc>
          <w:tcPr>
            <w:tcW w:w="3828" w:type="dxa"/>
            <w:shd w:val="clear" w:color="auto" w:fill="auto"/>
            <w:vAlign w:val="center"/>
          </w:tcPr>
          <w:p w14:paraId="3C9FB392"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Показник</w:t>
            </w:r>
          </w:p>
        </w:tc>
        <w:tc>
          <w:tcPr>
            <w:tcW w:w="2409" w:type="dxa"/>
            <w:shd w:val="clear" w:color="auto" w:fill="auto"/>
            <w:vAlign w:val="center"/>
          </w:tcPr>
          <w:p w14:paraId="55B8B716"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Одиниця виміру</w:t>
            </w:r>
          </w:p>
        </w:tc>
        <w:tc>
          <w:tcPr>
            <w:tcW w:w="1701" w:type="dxa"/>
            <w:shd w:val="clear" w:color="auto" w:fill="E2EFDA"/>
            <w:vAlign w:val="center"/>
          </w:tcPr>
          <w:p w14:paraId="2A54B909" w14:textId="77777777" w:rsidR="00C82386" w:rsidRDefault="00E66F64">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2010р</w:t>
            </w:r>
          </w:p>
        </w:tc>
        <w:tc>
          <w:tcPr>
            <w:tcW w:w="1583" w:type="dxa"/>
            <w:shd w:val="clear" w:color="auto" w:fill="E2EFDA"/>
            <w:vAlign w:val="center"/>
          </w:tcPr>
          <w:p w14:paraId="0F4B5348" w14:textId="77777777" w:rsidR="00C82386" w:rsidRDefault="00E66F64">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2019р</w:t>
            </w:r>
          </w:p>
        </w:tc>
      </w:tr>
      <w:tr w:rsidR="00C82386" w14:paraId="09571BFA" w14:textId="77777777">
        <w:trPr>
          <w:trHeight w:val="282"/>
        </w:trPr>
        <w:tc>
          <w:tcPr>
            <w:tcW w:w="3828" w:type="dxa"/>
            <w:shd w:val="clear" w:color="auto" w:fill="auto"/>
            <w:vAlign w:val="center"/>
          </w:tcPr>
          <w:p w14:paraId="7C52F94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Населення</w:t>
            </w:r>
          </w:p>
        </w:tc>
        <w:tc>
          <w:tcPr>
            <w:tcW w:w="2409" w:type="dxa"/>
            <w:shd w:val="clear" w:color="auto" w:fill="auto"/>
            <w:vAlign w:val="center"/>
          </w:tcPr>
          <w:p w14:paraId="16310BC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осіб</w:t>
            </w:r>
          </w:p>
        </w:tc>
        <w:tc>
          <w:tcPr>
            <w:tcW w:w="1701" w:type="dxa"/>
            <w:shd w:val="clear" w:color="auto" w:fill="E2EFDA"/>
            <w:vAlign w:val="center"/>
          </w:tcPr>
          <w:p w14:paraId="729DB120"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271,7</w:t>
            </w:r>
          </w:p>
        </w:tc>
        <w:tc>
          <w:tcPr>
            <w:tcW w:w="1583" w:type="dxa"/>
            <w:shd w:val="clear" w:color="auto" w:fill="E2EFDA"/>
            <w:vAlign w:val="center"/>
          </w:tcPr>
          <w:p w14:paraId="26A0FEAE"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264,3</w:t>
            </w:r>
          </w:p>
        </w:tc>
      </w:tr>
      <w:tr w:rsidR="00C82386" w14:paraId="5FA7AEBF" w14:textId="77777777">
        <w:trPr>
          <w:trHeight w:val="282"/>
        </w:trPr>
        <w:tc>
          <w:tcPr>
            <w:tcW w:w="3828" w:type="dxa"/>
            <w:shd w:val="clear" w:color="auto" w:fill="auto"/>
            <w:vAlign w:val="center"/>
          </w:tcPr>
          <w:p w14:paraId="6DD8F33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Коефіцієнт рухомості*</w:t>
            </w:r>
          </w:p>
        </w:tc>
        <w:tc>
          <w:tcPr>
            <w:tcW w:w="2409" w:type="dxa"/>
            <w:shd w:val="clear" w:color="auto" w:fill="auto"/>
            <w:vAlign w:val="center"/>
          </w:tcPr>
          <w:p w14:paraId="36F7D4C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поїздок</w:t>
            </w:r>
          </w:p>
        </w:tc>
        <w:tc>
          <w:tcPr>
            <w:tcW w:w="1701" w:type="dxa"/>
            <w:shd w:val="clear" w:color="auto" w:fill="E2EFDA"/>
            <w:vAlign w:val="center"/>
          </w:tcPr>
          <w:p w14:paraId="5CA9E47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2,3</w:t>
            </w:r>
          </w:p>
        </w:tc>
        <w:tc>
          <w:tcPr>
            <w:tcW w:w="1583" w:type="dxa"/>
            <w:shd w:val="clear" w:color="auto" w:fill="E2EFDA"/>
            <w:vAlign w:val="center"/>
          </w:tcPr>
          <w:p w14:paraId="7CAEF987"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2,3</w:t>
            </w:r>
          </w:p>
        </w:tc>
      </w:tr>
      <w:tr w:rsidR="00C82386" w14:paraId="397E0092" w14:textId="77777777">
        <w:trPr>
          <w:trHeight w:val="282"/>
        </w:trPr>
        <w:tc>
          <w:tcPr>
            <w:tcW w:w="3828" w:type="dxa"/>
            <w:shd w:val="clear" w:color="auto" w:fill="auto"/>
            <w:vAlign w:val="center"/>
          </w:tcPr>
          <w:p w14:paraId="3EE7B53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Рівень автомобілізації</w:t>
            </w:r>
          </w:p>
        </w:tc>
        <w:tc>
          <w:tcPr>
            <w:tcW w:w="2409" w:type="dxa"/>
            <w:shd w:val="clear" w:color="auto" w:fill="auto"/>
            <w:vAlign w:val="center"/>
          </w:tcPr>
          <w:p w14:paraId="5A200B6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авт. / 1000 ос.</w:t>
            </w:r>
          </w:p>
        </w:tc>
        <w:tc>
          <w:tcPr>
            <w:tcW w:w="1701" w:type="dxa"/>
            <w:shd w:val="clear" w:color="auto" w:fill="E2EFDA"/>
            <w:vAlign w:val="center"/>
          </w:tcPr>
          <w:p w14:paraId="1A620AA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175</w:t>
            </w:r>
          </w:p>
        </w:tc>
        <w:tc>
          <w:tcPr>
            <w:tcW w:w="1583" w:type="dxa"/>
            <w:shd w:val="clear" w:color="auto" w:fill="E2EFDA"/>
            <w:vAlign w:val="center"/>
          </w:tcPr>
          <w:p w14:paraId="3E4007F4"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194</w:t>
            </w:r>
          </w:p>
        </w:tc>
      </w:tr>
      <w:tr w:rsidR="00C82386" w14:paraId="06F73A08" w14:textId="77777777">
        <w:trPr>
          <w:trHeight w:val="282"/>
        </w:trPr>
        <w:tc>
          <w:tcPr>
            <w:tcW w:w="3828" w:type="dxa"/>
            <w:shd w:val="clear" w:color="auto" w:fill="auto"/>
            <w:vAlign w:val="center"/>
          </w:tcPr>
          <w:p w14:paraId="31E8AE3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кількість поїздок на рік</w:t>
            </w:r>
          </w:p>
        </w:tc>
        <w:tc>
          <w:tcPr>
            <w:tcW w:w="2409" w:type="dxa"/>
            <w:shd w:val="clear" w:color="auto" w:fill="auto"/>
            <w:vAlign w:val="center"/>
          </w:tcPr>
          <w:p w14:paraId="4670514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поїздок в рік</w:t>
            </w:r>
          </w:p>
        </w:tc>
        <w:tc>
          <w:tcPr>
            <w:tcW w:w="1701" w:type="dxa"/>
            <w:shd w:val="clear" w:color="auto" w:fill="auto"/>
            <w:vAlign w:val="center"/>
          </w:tcPr>
          <w:p w14:paraId="5DEA7D03"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228 092,15</w:t>
            </w:r>
          </w:p>
        </w:tc>
        <w:tc>
          <w:tcPr>
            <w:tcW w:w="1583" w:type="dxa"/>
            <w:vAlign w:val="center"/>
          </w:tcPr>
          <w:p w14:paraId="07CAB7B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221 894,961</w:t>
            </w:r>
          </w:p>
        </w:tc>
      </w:tr>
      <w:tr w:rsidR="00C82386" w14:paraId="59083032" w14:textId="77777777">
        <w:trPr>
          <w:trHeight w:val="282"/>
        </w:trPr>
        <w:tc>
          <w:tcPr>
            <w:tcW w:w="3828" w:type="dxa"/>
            <w:shd w:val="clear" w:color="auto" w:fill="auto"/>
            <w:vAlign w:val="center"/>
          </w:tcPr>
          <w:p w14:paraId="557A081E"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Відсоток поїздок автомобільним транспортом*</w:t>
            </w:r>
          </w:p>
        </w:tc>
        <w:tc>
          <w:tcPr>
            <w:tcW w:w="2409" w:type="dxa"/>
            <w:shd w:val="clear" w:color="auto" w:fill="auto"/>
            <w:vAlign w:val="center"/>
          </w:tcPr>
          <w:p w14:paraId="45963E1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E2EFDA"/>
            <w:vAlign w:val="center"/>
          </w:tcPr>
          <w:p w14:paraId="2FD9C8DC"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15</w:t>
            </w:r>
          </w:p>
        </w:tc>
        <w:tc>
          <w:tcPr>
            <w:tcW w:w="1583" w:type="dxa"/>
            <w:shd w:val="clear" w:color="auto" w:fill="E2EFDA"/>
            <w:vAlign w:val="center"/>
          </w:tcPr>
          <w:p w14:paraId="50FB7018"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15</w:t>
            </w:r>
          </w:p>
        </w:tc>
      </w:tr>
      <w:tr w:rsidR="00C82386" w14:paraId="082A8871" w14:textId="77777777">
        <w:trPr>
          <w:trHeight w:val="570"/>
        </w:trPr>
        <w:tc>
          <w:tcPr>
            <w:tcW w:w="3828" w:type="dxa"/>
            <w:shd w:val="clear" w:color="auto" w:fill="auto"/>
            <w:vAlign w:val="center"/>
          </w:tcPr>
          <w:p w14:paraId="2A2DC216"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Середня відстань поїздки автомобільним транспортом*</w:t>
            </w:r>
          </w:p>
        </w:tc>
        <w:tc>
          <w:tcPr>
            <w:tcW w:w="2409" w:type="dxa"/>
            <w:shd w:val="clear" w:color="auto" w:fill="auto"/>
            <w:vAlign w:val="center"/>
          </w:tcPr>
          <w:p w14:paraId="387B8A41"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км</w:t>
            </w:r>
          </w:p>
        </w:tc>
        <w:tc>
          <w:tcPr>
            <w:tcW w:w="1701" w:type="dxa"/>
            <w:shd w:val="clear" w:color="auto" w:fill="C6E0B4"/>
            <w:vAlign w:val="center"/>
          </w:tcPr>
          <w:p w14:paraId="7673A54B"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7,1</w:t>
            </w:r>
          </w:p>
        </w:tc>
        <w:tc>
          <w:tcPr>
            <w:tcW w:w="1583" w:type="dxa"/>
            <w:shd w:val="clear" w:color="auto" w:fill="C6E0B4"/>
            <w:vAlign w:val="center"/>
          </w:tcPr>
          <w:p w14:paraId="4D992B9A" w14:textId="77777777" w:rsidR="00C82386" w:rsidRDefault="00E66F64">
            <w:pPr>
              <w:spacing w:after="0"/>
              <w:jc w:val="center"/>
              <w:rPr>
                <w:rFonts w:ascii="Times New Roman" w:eastAsia="Times New Roman" w:hAnsi="Times New Roman" w:cs="Times New Roman"/>
              </w:rPr>
            </w:pPr>
            <w:r>
              <w:rPr>
                <w:rFonts w:ascii="Times New Roman" w:eastAsia="Times New Roman" w:hAnsi="Times New Roman" w:cs="Times New Roman"/>
              </w:rPr>
              <w:t>7,1</w:t>
            </w:r>
          </w:p>
        </w:tc>
      </w:tr>
    </w:tbl>
    <w:p w14:paraId="62C11431" w14:textId="77777777" w:rsidR="00C82386" w:rsidRDefault="00E66F64">
      <w:pPr>
        <w:rPr>
          <w:rFonts w:ascii="Times New Roman" w:eastAsia="Times New Roman" w:hAnsi="Times New Roman" w:cs="Times New Roman"/>
          <w:sz w:val="24"/>
          <w:szCs w:val="24"/>
        </w:rPr>
      </w:pPr>
      <w:r>
        <w:rPr>
          <w:rFonts w:ascii="Times New Roman" w:eastAsia="Times New Roman" w:hAnsi="Times New Roman" w:cs="Times New Roman"/>
          <w:sz w:val="24"/>
          <w:szCs w:val="24"/>
        </w:rPr>
        <w:t>*Дані результатів дослідження мобільності</w:t>
      </w:r>
      <w:r>
        <w:rPr>
          <w:rFonts w:ascii="Times New Roman" w:eastAsia="Times New Roman" w:hAnsi="Times New Roman" w:cs="Times New Roman"/>
          <w:sz w:val="24"/>
          <w:szCs w:val="24"/>
          <w:vertAlign w:val="superscript"/>
        </w:rPr>
        <w:footnoteReference w:id="21"/>
      </w:r>
    </w:p>
    <w:p w14:paraId="24307E09" w14:textId="77777777" w:rsidR="00C82386" w:rsidRDefault="00C82386">
      <w:pPr>
        <w:spacing w:after="0"/>
        <w:jc w:val="right"/>
        <w:rPr>
          <w:rFonts w:ascii="Times New Roman" w:eastAsia="Times New Roman" w:hAnsi="Times New Roman" w:cs="Times New Roman"/>
          <w:sz w:val="24"/>
          <w:szCs w:val="24"/>
        </w:rPr>
      </w:pPr>
    </w:p>
    <w:p w14:paraId="735FD7C3" w14:textId="77777777" w:rsidR="00C82386" w:rsidRDefault="00C82386">
      <w:pPr>
        <w:spacing w:after="0"/>
        <w:jc w:val="right"/>
        <w:rPr>
          <w:rFonts w:ascii="Times New Roman" w:eastAsia="Times New Roman" w:hAnsi="Times New Roman" w:cs="Times New Roman"/>
          <w:sz w:val="24"/>
          <w:szCs w:val="24"/>
        </w:rPr>
      </w:pPr>
    </w:p>
    <w:p w14:paraId="3EE55265"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3.20</w:t>
      </w:r>
    </w:p>
    <w:p w14:paraId="7E96BE96"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Кінцеве енергоспоживання приватного пасажирського транспорту за видами палива</w:t>
      </w:r>
    </w:p>
    <w:tbl>
      <w:tblPr>
        <w:tblStyle w:val="affffd"/>
        <w:tblW w:w="699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67"/>
        <w:gridCol w:w="2458"/>
        <w:gridCol w:w="2574"/>
      </w:tblGrid>
      <w:tr w:rsidR="00C82386" w14:paraId="39B6CE7D" w14:textId="77777777" w:rsidTr="007B2871">
        <w:trPr>
          <w:jc w:val="center"/>
        </w:trPr>
        <w:tc>
          <w:tcPr>
            <w:tcW w:w="1967" w:type="dxa"/>
            <w:vAlign w:val="center"/>
          </w:tcPr>
          <w:p w14:paraId="781A6EC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458" w:type="dxa"/>
            <w:vAlign w:val="center"/>
          </w:tcPr>
          <w:p w14:paraId="2918FD3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рік, МВт.год</w:t>
            </w:r>
          </w:p>
        </w:tc>
        <w:tc>
          <w:tcPr>
            <w:tcW w:w="2574" w:type="dxa"/>
            <w:vAlign w:val="center"/>
          </w:tcPr>
          <w:p w14:paraId="3EB826D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Проміжний (2019) рік, МВт.год</w:t>
            </w:r>
          </w:p>
        </w:tc>
      </w:tr>
      <w:tr w:rsidR="00C82386" w14:paraId="71977C4A" w14:textId="77777777" w:rsidTr="007B2871">
        <w:trPr>
          <w:jc w:val="center"/>
        </w:trPr>
        <w:tc>
          <w:tcPr>
            <w:tcW w:w="1967" w:type="dxa"/>
            <w:vAlign w:val="center"/>
          </w:tcPr>
          <w:p w14:paraId="351C56B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458" w:type="dxa"/>
            <w:vAlign w:val="center"/>
          </w:tcPr>
          <w:p w14:paraId="1B37AB5C"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54 943</w:t>
            </w:r>
          </w:p>
        </w:tc>
        <w:tc>
          <w:tcPr>
            <w:tcW w:w="2574" w:type="dxa"/>
            <w:vAlign w:val="center"/>
          </w:tcPr>
          <w:p w14:paraId="41B5AC15"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93</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939,73</w:t>
            </w:r>
          </w:p>
        </w:tc>
      </w:tr>
      <w:tr w:rsidR="00C82386" w14:paraId="71DD0E9D" w14:textId="77777777" w:rsidTr="007B2871">
        <w:trPr>
          <w:jc w:val="center"/>
        </w:trPr>
        <w:tc>
          <w:tcPr>
            <w:tcW w:w="1967" w:type="dxa"/>
            <w:vAlign w:val="center"/>
          </w:tcPr>
          <w:p w14:paraId="5B881AD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458" w:type="dxa"/>
            <w:vAlign w:val="center"/>
          </w:tcPr>
          <w:p w14:paraId="0F7AA2F8"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72 594</w:t>
            </w:r>
          </w:p>
        </w:tc>
        <w:tc>
          <w:tcPr>
            <w:tcW w:w="2574" w:type="dxa"/>
            <w:vAlign w:val="center"/>
          </w:tcPr>
          <w:p w14:paraId="6ECAB70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589,1</w:t>
            </w:r>
          </w:p>
        </w:tc>
      </w:tr>
      <w:tr w:rsidR="00C82386" w14:paraId="1BDA0512" w14:textId="77777777" w:rsidTr="007B2871">
        <w:trPr>
          <w:jc w:val="center"/>
        </w:trPr>
        <w:tc>
          <w:tcPr>
            <w:tcW w:w="1967" w:type="dxa"/>
            <w:vAlign w:val="center"/>
          </w:tcPr>
          <w:p w14:paraId="4886935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cкраплений газ (пропан-бутан)</w:t>
            </w:r>
          </w:p>
        </w:tc>
        <w:tc>
          <w:tcPr>
            <w:tcW w:w="2458" w:type="dxa"/>
            <w:vAlign w:val="center"/>
          </w:tcPr>
          <w:p w14:paraId="6DCF8FFA"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38 822</w:t>
            </w:r>
          </w:p>
        </w:tc>
        <w:tc>
          <w:tcPr>
            <w:tcW w:w="2574" w:type="dxa"/>
            <w:vAlign w:val="center"/>
          </w:tcPr>
          <w:p w14:paraId="4ED3511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149</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816</w:t>
            </w:r>
          </w:p>
        </w:tc>
      </w:tr>
      <w:tr w:rsidR="00C82386" w14:paraId="0F422B75" w14:textId="77777777" w:rsidTr="007B2871">
        <w:trPr>
          <w:jc w:val="center"/>
        </w:trPr>
        <w:tc>
          <w:tcPr>
            <w:tcW w:w="1967" w:type="dxa"/>
            <w:vAlign w:val="center"/>
          </w:tcPr>
          <w:p w14:paraId="16013BB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458" w:type="dxa"/>
            <w:vAlign w:val="center"/>
          </w:tcPr>
          <w:p w14:paraId="485D7DFA"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166 367</w:t>
            </w:r>
          </w:p>
        </w:tc>
        <w:tc>
          <w:tcPr>
            <w:tcW w:w="2574" w:type="dxa"/>
            <w:vAlign w:val="center"/>
          </w:tcPr>
          <w:p w14:paraId="45B6C22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355</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344,8</w:t>
            </w:r>
          </w:p>
        </w:tc>
      </w:tr>
    </w:tbl>
    <w:p w14:paraId="7889D535" w14:textId="77777777" w:rsidR="00C82386" w:rsidRDefault="00E66F64">
      <w:pPr>
        <w:spacing w:before="240"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3.21</w:t>
      </w:r>
    </w:p>
    <w:p w14:paraId="5AC54AD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Середньорічні викиди приватного пасажирського транспорту за видами палива, т СО</w:t>
      </w:r>
      <w:r>
        <w:rPr>
          <w:rFonts w:ascii="Times New Roman" w:eastAsia="Times New Roman" w:hAnsi="Times New Roman" w:cs="Times New Roman"/>
          <w:sz w:val="24"/>
          <w:szCs w:val="24"/>
          <w:vertAlign w:val="subscript"/>
        </w:rPr>
        <w:t>2</w:t>
      </w:r>
    </w:p>
    <w:tbl>
      <w:tblPr>
        <w:tblStyle w:val="affffe"/>
        <w:tblW w:w="69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77"/>
        <w:gridCol w:w="2199"/>
        <w:gridCol w:w="2552"/>
      </w:tblGrid>
      <w:tr w:rsidR="00C82386" w14:paraId="7FF033C7" w14:textId="77777777" w:rsidTr="007B2871">
        <w:trPr>
          <w:trHeight w:val="286"/>
          <w:jc w:val="center"/>
        </w:trPr>
        <w:tc>
          <w:tcPr>
            <w:tcW w:w="2177" w:type="dxa"/>
            <w:vAlign w:val="center"/>
          </w:tcPr>
          <w:p w14:paraId="5DD3F171"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199" w:type="dxa"/>
            <w:vAlign w:val="center"/>
          </w:tcPr>
          <w:p w14:paraId="26E25AC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рік</w:t>
            </w:r>
          </w:p>
        </w:tc>
        <w:tc>
          <w:tcPr>
            <w:tcW w:w="2552" w:type="dxa"/>
            <w:vAlign w:val="center"/>
          </w:tcPr>
          <w:p w14:paraId="54C0B51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Проміжний (2019) рік </w:t>
            </w:r>
          </w:p>
        </w:tc>
      </w:tr>
      <w:tr w:rsidR="00C82386" w14:paraId="5BB5DF71" w14:textId="77777777" w:rsidTr="007B2871">
        <w:trPr>
          <w:trHeight w:val="286"/>
          <w:jc w:val="center"/>
        </w:trPr>
        <w:tc>
          <w:tcPr>
            <w:tcW w:w="2177" w:type="dxa"/>
            <w:vAlign w:val="center"/>
          </w:tcPr>
          <w:p w14:paraId="3CFF663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199" w:type="dxa"/>
            <w:vAlign w:val="center"/>
          </w:tcPr>
          <w:p w14:paraId="2D01D8E6"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13 681</w:t>
            </w:r>
          </w:p>
        </w:tc>
        <w:tc>
          <w:tcPr>
            <w:tcW w:w="2552" w:type="dxa"/>
            <w:vAlign w:val="center"/>
          </w:tcPr>
          <w:p w14:paraId="3AEAC5D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391,0</w:t>
            </w:r>
          </w:p>
        </w:tc>
      </w:tr>
      <w:tr w:rsidR="00C82386" w14:paraId="11812AC8" w14:textId="77777777" w:rsidTr="007B2871">
        <w:trPr>
          <w:trHeight w:val="278"/>
          <w:jc w:val="center"/>
        </w:trPr>
        <w:tc>
          <w:tcPr>
            <w:tcW w:w="2177" w:type="dxa"/>
            <w:vAlign w:val="center"/>
          </w:tcPr>
          <w:p w14:paraId="6B49CD5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199" w:type="dxa"/>
            <w:vAlign w:val="center"/>
          </w:tcPr>
          <w:p w14:paraId="0956590C"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19 383</w:t>
            </w:r>
          </w:p>
        </w:tc>
        <w:tc>
          <w:tcPr>
            <w:tcW w:w="2552" w:type="dxa"/>
            <w:vAlign w:val="center"/>
          </w:tcPr>
          <w:p w14:paraId="50A2D2E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794,3</w:t>
            </w:r>
          </w:p>
        </w:tc>
      </w:tr>
      <w:tr w:rsidR="00C82386" w14:paraId="3D795B8E" w14:textId="77777777" w:rsidTr="007B2871">
        <w:trPr>
          <w:trHeight w:val="286"/>
          <w:jc w:val="center"/>
        </w:trPr>
        <w:tc>
          <w:tcPr>
            <w:tcW w:w="2177" w:type="dxa"/>
            <w:vAlign w:val="center"/>
          </w:tcPr>
          <w:p w14:paraId="2352E5BE"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cкраплений газ (пропан-бутан)</w:t>
            </w:r>
          </w:p>
        </w:tc>
        <w:tc>
          <w:tcPr>
            <w:tcW w:w="2199" w:type="dxa"/>
            <w:vAlign w:val="center"/>
          </w:tcPr>
          <w:p w14:paraId="3E446E82"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8 813</w:t>
            </w:r>
          </w:p>
        </w:tc>
        <w:tc>
          <w:tcPr>
            <w:tcW w:w="2552" w:type="dxa"/>
            <w:vAlign w:val="center"/>
          </w:tcPr>
          <w:p w14:paraId="62504BD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008,2</w:t>
            </w:r>
          </w:p>
        </w:tc>
      </w:tr>
      <w:tr w:rsidR="00C82386" w14:paraId="03644C8D" w14:textId="77777777" w:rsidTr="007B2871">
        <w:trPr>
          <w:trHeight w:val="278"/>
          <w:jc w:val="center"/>
        </w:trPr>
        <w:tc>
          <w:tcPr>
            <w:tcW w:w="2177" w:type="dxa"/>
            <w:vAlign w:val="center"/>
          </w:tcPr>
          <w:p w14:paraId="73BA2D2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199" w:type="dxa"/>
            <w:vAlign w:val="center"/>
          </w:tcPr>
          <w:p w14:paraId="48621CF6" w14:textId="77777777" w:rsidR="00C82386" w:rsidRPr="00C23D62"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41 880</w:t>
            </w:r>
          </w:p>
        </w:tc>
        <w:tc>
          <w:tcPr>
            <w:tcW w:w="2552" w:type="dxa"/>
            <w:vAlign w:val="center"/>
          </w:tcPr>
          <w:p w14:paraId="76FDD86A"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87193,5</w:t>
            </w:r>
          </w:p>
        </w:tc>
      </w:tr>
    </w:tbl>
    <w:p w14:paraId="39D98262"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визначення викидів від комерційного вантажного транспорту використовувалися дані про склад транспортного потоку на вулицях Житомира. Загальний річний пробіг вантажного транспорту визначається як частка загального пробігу приватного транспорту на основі даних про склад потоку (таблиця 3.22).</w:t>
      </w:r>
    </w:p>
    <w:p w14:paraId="686BB62D"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3.22</w:t>
      </w:r>
    </w:p>
    <w:p w14:paraId="0738CE9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 транспортного потоку в м. Житомир</w:t>
      </w:r>
      <w:r>
        <w:rPr>
          <w:rFonts w:ascii="Times New Roman" w:eastAsia="Times New Roman" w:hAnsi="Times New Roman" w:cs="Times New Roman"/>
          <w:sz w:val="24"/>
          <w:szCs w:val="24"/>
          <w:vertAlign w:val="superscript"/>
        </w:rPr>
        <w:footnoteReference w:id="22"/>
      </w:r>
    </w:p>
    <w:tbl>
      <w:tblPr>
        <w:tblStyle w:val="afffff"/>
        <w:tblW w:w="87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63"/>
        <w:gridCol w:w="4093"/>
      </w:tblGrid>
      <w:tr w:rsidR="00C82386" w14:paraId="655C6CA3" w14:textId="77777777">
        <w:trPr>
          <w:trHeight w:val="672"/>
          <w:jc w:val="center"/>
        </w:trPr>
        <w:tc>
          <w:tcPr>
            <w:tcW w:w="4663" w:type="dxa"/>
            <w:shd w:val="clear" w:color="auto" w:fill="auto"/>
            <w:vAlign w:val="center"/>
          </w:tcPr>
          <w:p w14:paraId="295B36F3" w14:textId="77777777" w:rsidR="00C82386" w:rsidRDefault="00E66F64">
            <w:pPr>
              <w:spacing w:after="0" w:line="240" w:lineRule="auto"/>
              <w:ind w:firstLine="240"/>
              <w:rPr>
                <w:rFonts w:ascii="Times New Roman" w:eastAsia="Times New Roman" w:hAnsi="Times New Roman" w:cs="Times New Roman"/>
                <w:sz w:val="24"/>
                <w:szCs w:val="24"/>
              </w:rPr>
            </w:pPr>
            <w:r>
              <w:rPr>
                <w:rFonts w:ascii="Times New Roman" w:eastAsia="Times New Roman" w:hAnsi="Times New Roman" w:cs="Times New Roman"/>
                <w:sz w:val="24"/>
                <w:szCs w:val="24"/>
              </w:rPr>
              <w:t>Класифікація транспортних засобів</w:t>
            </w:r>
          </w:p>
        </w:tc>
        <w:tc>
          <w:tcPr>
            <w:tcW w:w="4093" w:type="dxa"/>
            <w:shd w:val="clear" w:color="auto" w:fill="auto"/>
            <w:vAlign w:val="center"/>
          </w:tcPr>
          <w:p w14:paraId="2B57E0EB" w14:textId="77777777" w:rsidR="00C82386" w:rsidRDefault="00E66F6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Відсоток в загальному потоці моторизованого транспорту</w:t>
            </w:r>
          </w:p>
        </w:tc>
      </w:tr>
      <w:tr w:rsidR="00C82386" w14:paraId="17C0854A" w14:textId="77777777">
        <w:trPr>
          <w:trHeight w:val="239"/>
          <w:jc w:val="center"/>
        </w:trPr>
        <w:tc>
          <w:tcPr>
            <w:tcW w:w="4663" w:type="dxa"/>
            <w:shd w:val="clear" w:color="auto" w:fill="auto"/>
            <w:vAlign w:val="center"/>
          </w:tcPr>
          <w:p w14:paraId="25C09E2E"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легкові авто</w:t>
            </w:r>
          </w:p>
        </w:tc>
        <w:tc>
          <w:tcPr>
            <w:tcW w:w="4093" w:type="dxa"/>
            <w:shd w:val="clear" w:color="auto" w:fill="auto"/>
            <w:vAlign w:val="bottom"/>
          </w:tcPr>
          <w:p w14:paraId="698112F1"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80,0%</w:t>
            </w:r>
          </w:p>
        </w:tc>
      </w:tr>
      <w:tr w:rsidR="00C82386" w14:paraId="32F22D19" w14:textId="77777777">
        <w:trPr>
          <w:trHeight w:val="239"/>
          <w:jc w:val="center"/>
        </w:trPr>
        <w:tc>
          <w:tcPr>
            <w:tcW w:w="4663" w:type="dxa"/>
            <w:shd w:val="clear" w:color="auto" w:fill="auto"/>
            <w:vAlign w:val="center"/>
          </w:tcPr>
          <w:p w14:paraId="4FC6244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автобус</w:t>
            </w:r>
          </w:p>
        </w:tc>
        <w:tc>
          <w:tcPr>
            <w:tcW w:w="4093" w:type="dxa"/>
            <w:shd w:val="clear" w:color="auto" w:fill="auto"/>
            <w:vAlign w:val="bottom"/>
          </w:tcPr>
          <w:p w14:paraId="7F6A7AB3"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7,3%</w:t>
            </w:r>
          </w:p>
        </w:tc>
      </w:tr>
      <w:tr w:rsidR="00C82386" w14:paraId="4FEBF30B" w14:textId="77777777">
        <w:trPr>
          <w:trHeight w:val="239"/>
          <w:jc w:val="center"/>
        </w:trPr>
        <w:tc>
          <w:tcPr>
            <w:tcW w:w="4663" w:type="dxa"/>
            <w:shd w:val="clear" w:color="auto" w:fill="auto"/>
            <w:vAlign w:val="center"/>
          </w:tcPr>
          <w:p w14:paraId="0FB8EC88"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2-осі вантажний (малий)</w:t>
            </w:r>
          </w:p>
        </w:tc>
        <w:tc>
          <w:tcPr>
            <w:tcW w:w="4093" w:type="dxa"/>
            <w:shd w:val="clear" w:color="auto" w:fill="auto"/>
            <w:vAlign w:val="bottom"/>
          </w:tcPr>
          <w:p w14:paraId="4456C5B8"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3,4%</w:t>
            </w:r>
          </w:p>
        </w:tc>
      </w:tr>
      <w:tr w:rsidR="00C82386" w14:paraId="3AE26B3A" w14:textId="77777777">
        <w:trPr>
          <w:trHeight w:val="239"/>
          <w:jc w:val="center"/>
        </w:trPr>
        <w:tc>
          <w:tcPr>
            <w:tcW w:w="4663" w:type="dxa"/>
            <w:shd w:val="clear" w:color="auto" w:fill="auto"/>
            <w:vAlign w:val="center"/>
          </w:tcPr>
          <w:p w14:paraId="29D7C69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осі вантажний  (середній)</w:t>
            </w:r>
          </w:p>
        </w:tc>
        <w:tc>
          <w:tcPr>
            <w:tcW w:w="4093" w:type="dxa"/>
            <w:shd w:val="clear" w:color="auto" w:fill="auto"/>
            <w:vAlign w:val="bottom"/>
          </w:tcPr>
          <w:p w14:paraId="55EB31CD"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7,1%</w:t>
            </w:r>
          </w:p>
        </w:tc>
      </w:tr>
      <w:tr w:rsidR="00C82386" w14:paraId="32656867" w14:textId="77777777">
        <w:trPr>
          <w:trHeight w:val="239"/>
          <w:jc w:val="center"/>
        </w:trPr>
        <w:tc>
          <w:tcPr>
            <w:tcW w:w="4663" w:type="dxa"/>
            <w:shd w:val="clear" w:color="auto" w:fill="auto"/>
            <w:vAlign w:val="center"/>
          </w:tcPr>
          <w:p w14:paraId="1B385D2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автопотяг без причепа(великий)</w:t>
            </w:r>
          </w:p>
        </w:tc>
        <w:tc>
          <w:tcPr>
            <w:tcW w:w="4093" w:type="dxa"/>
            <w:shd w:val="clear" w:color="auto" w:fill="auto"/>
            <w:vAlign w:val="bottom"/>
          </w:tcPr>
          <w:p w14:paraId="5C5B374D"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1,5%</w:t>
            </w:r>
          </w:p>
        </w:tc>
      </w:tr>
      <w:tr w:rsidR="00C82386" w14:paraId="0FD2AFB2" w14:textId="77777777">
        <w:trPr>
          <w:trHeight w:val="239"/>
          <w:jc w:val="center"/>
        </w:trPr>
        <w:tc>
          <w:tcPr>
            <w:tcW w:w="4663" w:type="dxa"/>
            <w:shd w:val="clear" w:color="auto" w:fill="auto"/>
            <w:vAlign w:val="center"/>
          </w:tcPr>
          <w:p w14:paraId="776312A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автопотяг (з причепом)</w:t>
            </w:r>
          </w:p>
        </w:tc>
        <w:tc>
          <w:tcPr>
            <w:tcW w:w="4093" w:type="dxa"/>
            <w:shd w:val="clear" w:color="auto" w:fill="auto"/>
            <w:vAlign w:val="bottom"/>
          </w:tcPr>
          <w:p w14:paraId="2ED08031" w14:textId="77777777" w:rsidR="00C82386" w:rsidRDefault="00E66F64">
            <w:pPr>
              <w:spacing w:after="0" w:line="24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0,7%</w:t>
            </w:r>
          </w:p>
        </w:tc>
      </w:tr>
    </w:tbl>
    <w:p w14:paraId="20AAF59D" w14:textId="77777777" w:rsidR="00C82386" w:rsidRDefault="00E66F64" w:rsidP="007B2871">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відсутності даних було зроблено припущення, що вантажний транспорт середньої і великої категорії використовує дизельне паливо, а малий вантажний транспорт на половину використовує дизельне паливо і на половину газ.</w:t>
      </w:r>
    </w:p>
    <w:p w14:paraId="599D597B"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3.23</w:t>
      </w:r>
    </w:p>
    <w:p w14:paraId="047EAE89"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Кінцеве енергоспоживання комерційного транспорту за видами палива</w:t>
      </w:r>
    </w:p>
    <w:tbl>
      <w:tblPr>
        <w:tblStyle w:val="afffff0"/>
        <w:tblW w:w="878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976"/>
        <w:gridCol w:w="3828"/>
      </w:tblGrid>
      <w:tr w:rsidR="00C82386" w14:paraId="2172CBDC" w14:textId="77777777">
        <w:trPr>
          <w:jc w:val="center"/>
        </w:trPr>
        <w:tc>
          <w:tcPr>
            <w:tcW w:w="1980" w:type="dxa"/>
          </w:tcPr>
          <w:p w14:paraId="0AFA720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976" w:type="dxa"/>
          </w:tcPr>
          <w:p w14:paraId="44F40E4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рік, МВт.год</w:t>
            </w:r>
          </w:p>
        </w:tc>
        <w:tc>
          <w:tcPr>
            <w:tcW w:w="3828" w:type="dxa"/>
          </w:tcPr>
          <w:p w14:paraId="61D41D3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Проміжний (2019) рік, </w:t>
            </w:r>
            <w:r>
              <w:rPr>
                <w:rFonts w:ascii="Times New Roman" w:eastAsia="Times New Roman" w:hAnsi="Times New Roman" w:cs="Times New Roman"/>
                <w:sz w:val="24"/>
                <w:szCs w:val="24"/>
              </w:rPr>
              <w:br/>
              <w:t>МВт.год</w:t>
            </w:r>
          </w:p>
        </w:tc>
      </w:tr>
      <w:tr w:rsidR="00C82386" w14:paraId="2E8AA9CE" w14:textId="77777777">
        <w:trPr>
          <w:jc w:val="center"/>
        </w:trPr>
        <w:tc>
          <w:tcPr>
            <w:tcW w:w="1980" w:type="dxa"/>
            <w:vAlign w:val="bottom"/>
          </w:tcPr>
          <w:p w14:paraId="4C0385D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976" w:type="dxa"/>
            <w:vAlign w:val="bottom"/>
          </w:tcPr>
          <w:p w14:paraId="3E31AD65"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32 104</w:t>
            </w:r>
          </w:p>
        </w:tc>
        <w:tc>
          <w:tcPr>
            <w:tcW w:w="3828" w:type="dxa"/>
            <w:vAlign w:val="bottom"/>
          </w:tcPr>
          <w:p w14:paraId="12D5C8F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953,3</w:t>
            </w:r>
          </w:p>
        </w:tc>
      </w:tr>
      <w:tr w:rsidR="00C82386" w14:paraId="7D769BB3" w14:textId="77777777">
        <w:trPr>
          <w:jc w:val="center"/>
        </w:trPr>
        <w:tc>
          <w:tcPr>
            <w:tcW w:w="1980" w:type="dxa"/>
            <w:vAlign w:val="bottom"/>
          </w:tcPr>
          <w:p w14:paraId="18A11F0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скраплений газ</w:t>
            </w:r>
          </w:p>
        </w:tc>
        <w:tc>
          <w:tcPr>
            <w:tcW w:w="2976" w:type="dxa"/>
            <w:vAlign w:val="bottom"/>
          </w:tcPr>
          <w:p w14:paraId="78300530"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2 371</w:t>
            </w:r>
          </w:p>
        </w:tc>
        <w:tc>
          <w:tcPr>
            <w:tcW w:w="3828" w:type="dxa"/>
            <w:vAlign w:val="bottom"/>
          </w:tcPr>
          <w:p w14:paraId="654404B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888,5</w:t>
            </w:r>
          </w:p>
        </w:tc>
      </w:tr>
      <w:tr w:rsidR="00C82386" w14:paraId="4D17D35D" w14:textId="77777777">
        <w:trPr>
          <w:jc w:val="center"/>
        </w:trPr>
        <w:tc>
          <w:tcPr>
            <w:tcW w:w="1980" w:type="dxa"/>
          </w:tcPr>
          <w:p w14:paraId="4A40287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Всього</w:t>
            </w:r>
          </w:p>
        </w:tc>
        <w:tc>
          <w:tcPr>
            <w:tcW w:w="2976" w:type="dxa"/>
          </w:tcPr>
          <w:p w14:paraId="1A5C9886"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42 292</w:t>
            </w:r>
          </w:p>
        </w:tc>
        <w:tc>
          <w:tcPr>
            <w:tcW w:w="3828" w:type="dxa"/>
          </w:tcPr>
          <w:p w14:paraId="6D5410D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841,8</w:t>
            </w:r>
          </w:p>
        </w:tc>
      </w:tr>
    </w:tbl>
    <w:p w14:paraId="261471FA" w14:textId="77777777" w:rsidR="00C82386" w:rsidRDefault="00E66F64">
      <w:pPr>
        <w:spacing w:before="120"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3.24</w:t>
      </w:r>
    </w:p>
    <w:p w14:paraId="7965397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Середньорічні викиди комерційного транспорту за видами палива</w:t>
      </w:r>
    </w:p>
    <w:tbl>
      <w:tblPr>
        <w:tblStyle w:val="afffff1"/>
        <w:tblW w:w="878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977"/>
        <w:gridCol w:w="3827"/>
      </w:tblGrid>
      <w:tr w:rsidR="00C82386" w14:paraId="5334D756" w14:textId="77777777">
        <w:trPr>
          <w:jc w:val="center"/>
        </w:trPr>
        <w:tc>
          <w:tcPr>
            <w:tcW w:w="1980" w:type="dxa"/>
          </w:tcPr>
          <w:p w14:paraId="3B5A8C8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977" w:type="dxa"/>
          </w:tcPr>
          <w:p w14:paraId="1BCE127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(2010) рік, т СО</w:t>
            </w:r>
            <w:r>
              <w:rPr>
                <w:rFonts w:ascii="Times New Roman" w:eastAsia="Times New Roman" w:hAnsi="Times New Roman" w:cs="Times New Roman"/>
                <w:sz w:val="24"/>
                <w:szCs w:val="24"/>
                <w:vertAlign w:val="subscript"/>
              </w:rPr>
              <w:t>2</w:t>
            </w:r>
          </w:p>
        </w:tc>
        <w:tc>
          <w:tcPr>
            <w:tcW w:w="3827" w:type="dxa"/>
          </w:tcPr>
          <w:p w14:paraId="4BA6A5D6"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Проміжний (2019) рік, т СО</w:t>
            </w:r>
            <w:r>
              <w:rPr>
                <w:rFonts w:ascii="Times New Roman" w:eastAsia="Times New Roman" w:hAnsi="Times New Roman" w:cs="Times New Roman"/>
                <w:sz w:val="24"/>
                <w:szCs w:val="24"/>
                <w:vertAlign w:val="subscript"/>
              </w:rPr>
              <w:t>2</w:t>
            </w:r>
          </w:p>
        </w:tc>
      </w:tr>
      <w:tr w:rsidR="00C82386" w14:paraId="58617383" w14:textId="77777777">
        <w:trPr>
          <w:jc w:val="center"/>
        </w:trPr>
        <w:tc>
          <w:tcPr>
            <w:tcW w:w="1980" w:type="dxa"/>
            <w:vAlign w:val="bottom"/>
          </w:tcPr>
          <w:p w14:paraId="2D35DAD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977" w:type="dxa"/>
            <w:vAlign w:val="bottom"/>
          </w:tcPr>
          <w:p w14:paraId="0619CA85"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8 572,0</w:t>
            </w:r>
          </w:p>
        </w:tc>
        <w:tc>
          <w:tcPr>
            <w:tcW w:w="3827" w:type="dxa"/>
            <w:vAlign w:val="bottom"/>
          </w:tcPr>
          <w:p w14:paraId="267B0452"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828,5</w:t>
            </w:r>
          </w:p>
        </w:tc>
      </w:tr>
      <w:tr w:rsidR="00C82386" w14:paraId="6DCD606E" w14:textId="77777777">
        <w:trPr>
          <w:jc w:val="center"/>
        </w:trPr>
        <w:tc>
          <w:tcPr>
            <w:tcW w:w="1980" w:type="dxa"/>
            <w:vAlign w:val="bottom"/>
          </w:tcPr>
          <w:p w14:paraId="2D994B7F"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cкраплений газ</w:t>
            </w:r>
          </w:p>
        </w:tc>
        <w:tc>
          <w:tcPr>
            <w:tcW w:w="2977" w:type="dxa"/>
            <w:vAlign w:val="bottom"/>
          </w:tcPr>
          <w:p w14:paraId="6CF217FB"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538</w:t>
            </w:r>
          </w:p>
        </w:tc>
        <w:tc>
          <w:tcPr>
            <w:tcW w:w="3827" w:type="dxa"/>
            <w:vAlign w:val="bottom"/>
          </w:tcPr>
          <w:p w14:paraId="1E8EF80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670,3</w:t>
            </w:r>
          </w:p>
        </w:tc>
      </w:tr>
      <w:tr w:rsidR="00C82386" w14:paraId="1C3CB084" w14:textId="77777777">
        <w:trPr>
          <w:jc w:val="center"/>
        </w:trPr>
        <w:tc>
          <w:tcPr>
            <w:tcW w:w="1980" w:type="dxa"/>
          </w:tcPr>
          <w:p w14:paraId="7AF957E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977" w:type="dxa"/>
          </w:tcPr>
          <w:p w14:paraId="4AADB073"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10 950</w:t>
            </w:r>
          </w:p>
        </w:tc>
        <w:tc>
          <w:tcPr>
            <w:tcW w:w="3827" w:type="dxa"/>
          </w:tcPr>
          <w:p w14:paraId="045717E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r w:rsidR="007B2871">
              <w:rPr>
                <w:rFonts w:ascii="Times New Roman" w:eastAsia="Times New Roman" w:hAnsi="Times New Roman" w:cs="Times New Roman"/>
                <w:sz w:val="24"/>
                <w:szCs w:val="24"/>
              </w:rPr>
              <w:t> </w:t>
            </w:r>
            <w:r>
              <w:rPr>
                <w:rFonts w:ascii="Times New Roman" w:eastAsia="Times New Roman" w:hAnsi="Times New Roman" w:cs="Times New Roman"/>
                <w:sz w:val="24"/>
                <w:szCs w:val="24"/>
              </w:rPr>
              <w:t>498,8</w:t>
            </w:r>
          </w:p>
        </w:tc>
      </w:tr>
    </w:tbl>
    <w:p w14:paraId="5F4C894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EC37B91" wp14:editId="2C6860D0">
            <wp:extent cx="5730966" cy="2614876"/>
            <wp:effectExtent l="0" t="0" r="0" b="0"/>
            <wp:docPr id="2144251954"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55"/>
                    <a:srcRect/>
                    <a:stretch>
                      <a:fillRect/>
                    </a:stretch>
                  </pic:blipFill>
                  <pic:spPr>
                    <a:xfrm>
                      <a:off x="0" y="0"/>
                      <a:ext cx="5730966" cy="2614876"/>
                    </a:xfrm>
                    <a:prstGeom prst="rect">
                      <a:avLst/>
                    </a:prstGeom>
                    <a:ln/>
                  </pic:spPr>
                </pic:pic>
              </a:graphicData>
            </a:graphic>
          </wp:inline>
        </w:drawing>
      </w:r>
    </w:p>
    <w:p w14:paraId="163A392A" w14:textId="77777777" w:rsidR="00C82386" w:rsidRDefault="00E66F64">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3.30.  Частка викидів СО</w:t>
      </w:r>
      <w:r>
        <w:rPr>
          <w:rFonts w:ascii="Times New Roman" w:eastAsia="Times New Roman" w:hAnsi="Times New Roman" w:cs="Times New Roman"/>
          <w:i/>
          <w:sz w:val="24"/>
          <w:szCs w:val="24"/>
          <w:vertAlign w:val="subscript"/>
        </w:rPr>
        <w:t>2</w:t>
      </w:r>
      <w:r>
        <w:rPr>
          <w:rFonts w:ascii="Times New Roman" w:eastAsia="Times New Roman" w:hAnsi="Times New Roman" w:cs="Times New Roman"/>
          <w:i/>
          <w:sz w:val="24"/>
          <w:szCs w:val="24"/>
        </w:rPr>
        <w:t xml:space="preserve"> в залежності від виду транспорту </w:t>
      </w:r>
    </w:p>
    <w:p w14:paraId="52AFBCB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Проте очікується, що тенденція росту чисельності дизельних автомобілів з Європи буде збережено в найближчі роки. Аби уникнути суттєвого зростання та зменшити існуючі викиди, Житомиру необхідно застосувати політики, що будуть направлені на збільшення частки електроавтомобілів, розвиток альтернативних форм пересування, стимулювання немоторизованих пересувань та використання громадського транспорту.</w:t>
      </w:r>
    </w:p>
    <w:p w14:paraId="3AE7F573"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3.25.</w:t>
      </w:r>
    </w:p>
    <w:p w14:paraId="6FC01A5C" w14:textId="77777777" w:rsidR="00C82386" w:rsidRDefault="00E66F64">
      <w:pPr>
        <w:spacing w:after="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Обсяги викид</w:t>
      </w:r>
      <w:r w:rsidR="00220DA0">
        <w:rPr>
          <w:rFonts w:ascii="Times New Roman" w:eastAsia="Times New Roman" w:hAnsi="Times New Roman" w:cs="Times New Roman"/>
          <w:sz w:val="24"/>
          <w:szCs w:val="24"/>
        </w:rPr>
        <w:t>ів</w:t>
      </w:r>
      <w:r>
        <w:rPr>
          <w:rFonts w:ascii="Times New Roman" w:eastAsia="Times New Roman" w:hAnsi="Times New Roman" w:cs="Times New Roman"/>
          <w:sz w:val="24"/>
          <w:szCs w:val="24"/>
        </w:rPr>
        <w:t xml:space="preserve">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приватним і комерційним транспортом Житомирської МТГ у </w:t>
      </w:r>
      <w:r w:rsidR="00220DA0">
        <w:rPr>
          <w:rFonts w:ascii="Times New Roman" w:eastAsia="Times New Roman" w:hAnsi="Times New Roman" w:cs="Times New Roman"/>
          <w:sz w:val="24"/>
          <w:szCs w:val="24"/>
        </w:rPr>
        <w:t xml:space="preserve">2010 і </w:t>
      </w:r>
      <w:r>
        <w:rPr>
          <w:rFonts w:ascii="Times New Roman" w:eastAsia="Times New Roman" w:hAnsi="Times New Roman" w:cs="Times New Roman"/>
          <w:sz w:val="24"/>
          <w:szCs w:val="24"/>
        </w:rPr>
        <w:t>2020 році*</w:t>
      </w:r>
    </w:p>
    <w:tbl>
      <w:tblPr>
        <w:tblStyle w:val="afffff2"/>
        <w:tblW w:w="804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31"/>
        <w:gridCol w:w="2536"/>
        <w:gridCol w:w="2073"/>
      </w:tblGrid>
      <w:tr w:rsidR="00C82386" w14:paraId="636A6823" w14:textId="77777777">
        <w:trPr>
          <w:jc w:val="center"/>
        </w:trPr>
        <w:tc>
          <w:tcPr>
            <w:tcW w:w="3431" w:type="dxa"/>
          </w:tcPr>
          <w:p w14:paraId="37C0369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Вид палива</w:t>
            </w:r>
          </w:p>
        </w:tc>
        <w:tc>
          <w:tcPr>
            <w:tcW w:w="2536" w:type="dxa"/>
            <w:vAlign w:val="center"/>
          </w:tcPr>
          <w:p w14:paraId="63FBA376" w14:textId="77777777" w:rsidR="00C82386" w:rsidRDefault="00220DA0" w:rsidP="00220DA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Викиди 2010,</w:t>
            </w:r>
            <w:r>
              <w:rPr>
                <w:rFonts w:ascii="Times New Roman" w:eastAsia="Times New Roman" w:hAnsi="Times New Roman" w:cs="Times New Roman"/>
                <w:sz w:val="24"/>
                <w:szCs w:val="24"/>
              </w:rPr>
              <w:br/>
              <w:t>т СО</w:t>
            </w:r>
            <w:r>
              <w:rPr>
                <w:rFonts w:ascii="Times New Roman" w:eastAsia="Times New Roman" w:hAnsi="Times New Roman" w:cs="Times New Roman"/>
                <w:sz w:val="24"/>
                <w:szCs w:val="24"/>
                <w:vertAlign w:val="subscript"/>
              </w:rPr>
              <w:t>2</w:t>
            </w:r>
          </w:p>
        </w:tc>
        <w:tc>
          <w:tcPr>
            <w:tcW w:w="2073" w:type="dxa"/>
            <w:vAlign w:val="center"/>
          </w:tcPr>
          <w:p w14:paraId="47BAC6D3" w14:textId="77777777" w:rsidR="00C82386" w:rsidRDefault="00E66F64" w:rsidP="00220DA0">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Викиди </w:t>
            </w:r>
            <w:r w:rsidR="00220DA0">
              <w:rPr>
                <w:rFonts w:ascii="Times New Roman" w:eastAsia="Times New Roman" w:hAnsi="Times New Roman" w:cs="Times New Roman"/>
                <w:sz w:val="24"/>
                <w:szCs w:val="24"/>
              </w:rPr>
              <w:t>2020</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т СО</w:t>
            </w:r>
            <w:r>
              <w:rPr>
                <w:rFonts w:ascii="Times New Roman" w:eastAsia="Times New Roman" w:hAnsi="Times New Roman" w:cs="Times New Roman"/>
                <w:sz w:val="24"/>
                <w:szCs w:val="24"/>
                <w:vertAlign w:val="subscript"/>
              </w:rPr>
              <w:t>2</w:t>
            </w:r>
          </w:p>
        </w:tc>
      </w:tr>
      <w:tr w:rsidR="00C82386" w14:paraId="0A012FB0" w14:textId="77777777">
        <w:trPr>
          <w:jc w:val="center"/>
        </w:trPr>
        <w:tc>
          <w:tcPr>
            <w:tcW w:w="3431" w:type="dxa"/>
            <w:vAlign w:val="bottom"/>
          </w:tcPr>
          <w:p w14:paraId="0429FE9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бензин</w:t>
            </w:r>
          </w:p>
        </w:tc>
        <w:tc>
          <w:tcPr>
            <w:tcW w:w="2536" w:type="dxa"/>
          </w:tcPr>
          <w:p w14:paraId="5A192566"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15 121,6</w:t>
            </w:r>
          </w:p>
        </w:tc>
        <w:tc>
          <w:tcPr>
            <w:tcW w:w="2073" w:type="dxa"/>
          </w:tcPr>
          <w:p w14:paraId="11BC9086"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12 479,0</w:t>
            </w:r>
          </w:p>
        </w:tc>
      </w:tr>
      <w:tr w:rsidR="00C82386" w14:paraId="36394938" w14:textId="77777777">
        <w:trPr>
          <w:jc w:val="center"/>
        </w:trPr>
        <w:tc>
          <w:tcPr>
            <w:tcW w:w="3431" w:type="dxa"/>
            <w:vAlign w:val="bottom"/>
          </w:tcPr>
          <w:p w14:paraId="6A8F1F9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дизель</w:t>
            </w:r>
          </w:p>
        </w:tc>
        <w:tc>
          <w:tcPr>
            <w:tcW w:w="2536" w:type="dxa"/>
          </w:tcPr>
          <w:p w14:paraId="0FBBEDF4"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28 059,2</w:t>
            </w:r>
          </w:p>
        </w:tc>
        <w:tc>
          <w:tcPr>
            <w:tcW w:w="2073" w:type="dxa"/>
          </w:tcPr>
          <w:p w14:paraId="37A4540D"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24 650,9</w:t>
            </w:r>
          </w:p>
        </w:tc>
      </w:tr>
      <w:tr w:rsidR="00C82386" w14:paraId="44F69240" w14:textId="77777777">
        <w:trPr>
          <w:jc w:val="center"/>
        </w:trPr>
        <w:tc>
          <w:tcPr>
            <w:tcW w:w="3431" w:type="dxa"/>
            <w:vAlign w:val="bottom"/>
          </w:tcPr>
          <w:p w14:paraId="4EBAC2A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cкраплений газ (пропан-бутан)</w:t>
            </w:r>
          </w:p>
        </w:tc>
        <w:tc>
          <w:tcPr>
            <w:tcW w:w="2536" w:type="dxa"/>
          </w:tcPr>
          <w:p w14:paraId="6DCA94A6"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10 683,6</w:t>
            </w:r>
          </w:p>
        </w:tc>
        <w:tc>
          <w:tcPr>
            <w:tcW w:w="2073" w:type="dxa"/>
          </w:tcPr>
          <w:p w14:paraId="0FB59A8B"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9 587,5</w:t>
            </w:r>
          </w:p>
        </w:tc>
      </w:tr>
      <w:tr w:rsidR="00C82386" w14:paraId="0FD1A58A" w14:textId="77777777">
        <w:trPr>
          <w:jc w:val="center"/>
        </w:trPr>
        <w:tc>
          <w:tcPr>
            <w:tcW w:w="3431" w:type="dxa"/>
            <w:vAlign w:val="bottom"/>
          </w:tcPr>
          <w:p w14:paraId="42556D3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метан</w:t>
            </w:r>
          </w:p>
        </w:tc>
        <w:tc>
          <w:tcPr>
            <w:tcW w:w="2536" w:type="dxa"/>
          </w:tcPr>
          <w:p w14:paraId="624C2AF3"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405,5</w:t>
            </w:r>
          </w:p>
        </w:tc>
        <w:tc>
          <w:tcPr>
            <w:tcW w:w="2073" w:type="dxa"/>
          </w:tcPr>
          <w:p w14:paraId="1F18A729"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317,0</w:t>
            </w:r>
          </w:p>
        </w:tc>
      </w:tr>
      <w:tr w:rsidR="00C82386" w14:paraId="281E4864" w14:textId="77777777">
        <w:trPr>
          <w:jc w:val="center"/>
        </w:trPr>
        <w:tc>
          <w:tcPr>
            <w:tcW w:w="3431" w:type="dxa"/>
          </w:tcPr>
          <w:p w14:paraId="78C86A3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Всього</w:t>
            </w:r>
          </w:p>
        </w:tc>
        <w:tc>
          <w:tcPr>
            <w:tcW w:w="2536" w:type="dxa"/>
          </w:tcPr>
          <w:p w14:paraId="3B9F739B"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54 274,3</w:t>
            </w:r>
          </w:p>
        </w:tc>
        <w:tc>
          <w:tcPr>
            <w:tcW w:w="2073" w:type="dxa"/>
          </w:tcPr>
          <w:p w14:paraId="6F22E0FD" w14:textId="77777777" w:rsidR="00C82386" w:rsidRPr="007B2871" w:rsidRDefault="007B2871">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47 714,7</w:t>
            </w:r>
          </w:p>
        </w:tc>
      </w:tr>
    </w:tbl>
    <w:p w14:paraId="2CCBEF2F" w14:textId="77777777" w:rsidR="00C82386" w:rsidRDefault="007B2871">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Попри продовження тенденції зростання рівня автомобілізації, Житомиру вдалося уникнути суттєвого росту викидів СО2</w:t>
      </w:r>
      <w:r w:rsidR="00220DA0">
        <w:rPr>
          <w:rFonts w:ascii="Times New Roman" w:eastAsia="Times New Roman" w:hAnsi="Times New Roman" w:cs="Times New Roman"/>
          <w:sz w:val="24"/>
          <w:szCs w:val="24"/>
        </w:rPr>
        <w:t xml:space="preserve"> від приватного автотранспорту.</w:t>
      </w:r>
    </w:p>
    <w:p w14:paraId="26A3A329" w14:textId="77777777" w:rsidR="00225D86" w:rsidRPr="00C23D62" w:rsidRDefault="00F50E39" w:rsidP="00225D86">
      <w:pPr>
        <w:keepNext/>
        <w:keepLines/>
        <w:numPr>
          <w:ilvl w:val="1"/>
          <w:numId w:val="18"/>
        </w:numPr>
        <w:pBdr>
          <w:top w:val="nil"/>
          <w:left w:val="nil"/>
          <w:bottom w:val="nil"/>
          <w:right w:val="nil"/>
          <w:between w:val="nil"/>
        </w:pBdr>
        <w:spacing w:before="200" w:after="0"/>
        <w:ind w:left="709" w:hanging="709"/>
        <w:rPr>
          <w:rFonts w:ascii="Times New Roman" w:eastAsia="Times New Roman" w:hAnsi="Times New Roman" w:cs="Times New Roman"/>
          <w:b/>
          <w:color w:val="000000"/>
          <w:sz w:val="24"/>
          <w:szCs w:val="24"/>
        </w:rPr>
      </w:pPr>
      <w:bookmarkStart w:id="40" w:name="_heading=h.3fwokq0" w:colFirst="0" w:colLast="0"/>
      <w:bookmarkEnd w:id="40"/>
      <w:r>
        <w:rPr>
          <w:rFonts w:ascii="Times New Roman" w:eastAsia="Times New Roman" w:hAnsi="Times New Roman" w:cs="Times New Roman"/>
          <w:b/>
          <w:color w:val="000000"/>
          <w:sz w:val="24"/>
          <w:szCs w:val="24"/>
        </w:rPr>
        <w:t>Установки дегазації</w:t>
      </w:r>
      <w:r w:rsidR="00225D86" w:rsidRPr="00C23D62">
        <w:rPr>
          <w:rFonts w:ascii="Times New Roman" w:eastAsia="Times New Roman" w:hAnsi="Times New Roman" w:cs="Times New Roman"/>
          <w:b/>
          <w:color w:val="000000"/>
          <w:sz w:val="24"/>
          <w:szCs w:val="24"/>
        </w:rPr>
        <w:t xml:space="preserve"> на полігоні ТПВ</w:t>
      </w:r>
    </w:p>
    <w:p w14:paraId="6EB72180" w14:textId="77777777" w:rsidR="00225D86" w:rsidRPr="00C23D62" w:rsidRDefault="00C23D62" w:rsidP="00225D86">
      <w:pPr>
        <w:widowControl w:val="0"/>
        <w:spacing w:after="0"/>
        <w:ind w:firstLine="709"/>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У 2015 році було реалізовано проєкт з дегазації полігону – облаштовано 42 свердловини для відкачування звалищного газу з тіла полігону та встановлено установку для спалювання газу з генерацією електричної енергії та відпуску її в енергомережу. Згодом кількість свердловин було збільшено до 142, з яких 60 є активними.</w:t>
      </w:r>
      <w:r w:rsidR="00225D86" w:rsidRPr="00C23D62">
        <w:rPr>
          <w:rFonts w:ascii="Times New Roman" w:eastAsia="Times New Roman" w:hAnsi="Times New Roman" w:cs="Times New Roman"/>
          <w:sz w:val="24"/>
          <w:szCs w:val="24"/>
        </w:rPr>
        <w:t>.</w:t>
      </w:r>
    </w:p>
    <w:p w14:paraId="028D21E4" w14:textId="77777777" w:rsidR="00C82386" w:rsidRPr="00C23D62" w:rsidRDefault="00E66F64">
      <w:pPr>
        <w:keepNext/>
        <w:keepLines/>
        <w:numPr>
          <w:ilvl w:val="1"/>
          <w:numId w:val="18"/>
        </w:numPr>
        <w:pBdr>
          <w:top w:val="nil"/>
          <w:left w:val="nil"/>
          <w:bottom w:val="nil"/>
          <w:right w:val="nil"/>
          <w:between w:val="nil"/>
        </w:pBdr>
        <w:spacing w:before="200" w:after="0"/>
        <w:ind w:left="709" w:hanging="709"/>
        <w:rPr>
          <w:rFonts w:ascii="Times New Roman" w:eastAsia="Times New Roman" w:hAnsi="Times New Roman" w:cs="Times New Roman"/>
          <w:b/>
          <w:color w:val="000000"/>
          <w:sz w:val="24"/>
          <w:szCs w:val="24"/>
        </w:rPr>
      </w:pPr>
      <w:r w:rsidRPr="00C23D62">
        <w:rPr>
          <w:rFonts w:ascii="Times New Roman" w:eastAsia="Times New Roman" w:hAnsi="Times New Roman" w:cs="Times New Roman"/>
          <w:b/>
          <w:color w:val="000000"/>
          <w:sz w:val="24"/>
          <w:szCs w:val="24"/>
        </w:rPr>
        <w:lastRenderedPageBreak/>
        <w:t>Потенціал для використання відновлюваних джерел енергії</w:t>
      </w:r>
    </w:p>
    <w:p w14:paraId="7B59DB00" w14:textId="77777777" w:rsidR="00C82386" w:rsidRPr="00C23D62" w:rsidRDefault="00E66F64">
      <w:pPr>
        <w:widowControl w:val="0"/>
        <w:spacing w:after="0"/>
        <w:ind w:firstLine="709"/>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Одним із найбільш комплексних та реальних шляхів скорочення викидів СО</w:t>
      </w:r>
      <w:r w:rsidRPr="00C23D62">
        <w:rPr>
          <w:rFonts w:ascii="Times New Roman" w:eastAsia="Times New Roman" w:hAnsi="Times New Roman" w:cs="Times New Roman"/>
          <w:sz w:val="24"/>
          <w:szCs w:val="24"/>
          <w:vertAlign w:val="subscript"/>
        </w:rPr>
        <w:t>2</w:t>
      </w:r>
      <w:r w:rsidRPr="00C23D62">
        <w:rPr>
          <w:rFonts w:ascii="Times New Roman" w:eastAsia="Times New Roman" w:hAnsi="Times New Roman" w:cs="Times New Roman"/>
          <w:sz w:val="24"/>
          <w:szCs w:val="24"/>
        </w:rPr>
        <w:t xml:space="preserve"> та  пом’якшення зміни клімату, яка вже відбуваються, є здійснення повного «енергетичного переходу» (energy transition) від викопних видів енергетичних ресурсів до відновлюваних. </w:t>
      </w:r>
    </w:p>
    <w:p w14:paraId="41339187" w14:textId="77777777" w:rsidR="00C82386" w:rsidRDefault="00E66F64">
      <w:pPr>
        <w:widowControl w:val="0"/>
        <w:spacing w:after="0"/>
        <w:ind w:firstLine="709"/>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Енергогенеруючі об’єкти відновлюваної енергетики</w:t>
      </w:r>
      <w:r>
        <w:rPr>
          <w:rFonts w:ascii="Times New Roman" w:eastAsia="Times New Roman" w:hAnsi="Times New Roman" w:cs="Times New Roman"/>
          <w:sz w:val="24"/>
          <w:szCs w:val="24"/>
        </w:rPr>
        <w:t xml:space="preserve"> стають все більш дешевими та конкурентоспроможними порівняно з генерацією, що працює на викопному паливі. Наразі комплексному переходу на відновлювані джерела енергії заважають недосконалі механізми функціонування нового ринку електроенергії та технологічна неспроможність підключати нові великі обсяги сонячної та вітрової генерації – технологій з нестабільним графіком виробництва електричної енергії. </w:t>
      </w:r>
    </w:p>
    <w:p w14:paraId="7262C2A1" w14:textId="77777777" w:rsidR="00C82386" w:rsidRDefault="00E66F64">
      <w:pPr>
        <w:widowControl w:val="0"/>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Однак оскільки Україна, як член Європейського енергетичного співтовариства, підписала і ратифікувала Угоду про асоціацію з ЄС, узявши зобов’язання підвищувати енергоефективність, розвивати відновлювану енергетику, скорочувати викиди парникових газів та забруднюючих речовин, то можна прогнозувати, що у довгостроковій перспективі, (орієнтовно до 2040 року) завдяки політичній волі та постійному вдосконаленню механізмів генерації, зберігання та розподілу енергії вдасться створити загальноукраїнський ринок електроенергії, забезпечений необхідними технологіями для використання всього потенціалу генерації електроенергії малими та середніми виробниками.</w:t>
      </w:r>
    </w:p>
    <w:p w14:paraId="51D18B7B" w14:textId="77777777" w:rsidR="00C82386" w:rsidRDefault="00E66F64">
      <w:pPr>
        <w:widowControl w:val="0"/>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Підписавши 22 червня 2018 року меморандум про співробітництво з міжнародною неурядовою організацією «350.org» Житомирська міська рада заявила про наміри до 2050 року перейти на споживання 100% енергії з відновлюваних джерел в загальному енергобалансі міста. Встановлюючи амбітні цілі на довгостроковий період Житомир задає вектор трансформації енергетичної системи міста, зменшення енергоспоживання через покращення енергоефективності у споживчому секторі та збільшення виробництва ВДЕ у місті та на прилеглих територіях до обсягів, що можуть повністю забезпечити енергетичні потреби міста. Це значно посилить енергетичну самостійність та кліматичну політику м. Житомира</w:t>
      </w:r>
      <w:r>
        <w:t xml:space="preserve"> </w:t>
      </w:r>
      <w:r>
        <w:rPr>
          <w:rFonts w:ascii="Times New Roman" w:eastAsia="Times New Roman" w:hAnsi="Times New Roman" w:cs="Times New Roman"/>
          <w:sz w:val="24"/>
          <w:szCs w:val="24"/>
        </w:rPr>
        <w:t>з забезпеченням зростання добробуту містян; надійного енергопостачання та енергетичної достатності, економічної, енергетичної, а також екологічної безпеки.</w:t>
      </w:r>
    </w:p>
    <w:p w14:paraId="6EE0C439" w14:textId="77777777" w:rsidR="00C82386" w:rsidRDefault="00E66F64">
      <w:pPr>
        <w:widowControl w:val="0"/>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2020 році на замовлення міжнародної неурядової організації «350.org» та за підтримки Житомирської міської ради Олександром Дячуком та Андрієм Семенюком було проведено дослідження та складена інформаційно-аналітична записка «Модельні сценарні оцінки переходу м. Житомир на 100% відновлюваних джерел енергії до 2050 року». Під час розробки цього документу були використані матеріали дослідження «Перехід України на відновлювану енергетику до 2050 року»</w:t>
      </w:r>
      <w:r>
        <w:rPr>
          <w:rFonts w:ascii="Times New Roman" w:eastAsia="Times New Roman" w:hAnsi="Times New Roman" w:cs="Times New Roman"/>
          <w:sz w:val="24"/>
          <w:szCs w:val="24"/>
          <w:vertAlign w:val="superscript"/>
        </w:rPr>
        <w:footnoteReference w:id="23"/>
      </w:r>
      <w:r>
        <w:rPr>
          <w:rFonts w:ascii="Times New Roman" w:eastAsia="Times New Roman" w:hAnsi="Times New Roman" w:cs="Times New Roman"/>
          <w:sz w:val="24"/>
          <w:szCs w:val="24"/>
        </w:rPr>
        <w:t>, виконаного завдяки співпраці Представництва Фонду ім. Гайнріха Бьолля в Україні і науковцями Державної установи «Інститут економіки та прогнозування Національної академії наук України».</w:t>
      </w:r>
    </w:p>
    <w:p w14:paraId="3FD4B70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Нижче наведені основні висновки вказаного дослідження для Житомирської територіальної громади. Детальніше можна ознайомитися з матеріалами безпосередньо у тексті дослідження.</w:t>
      </w:r>
    </w:p>
    <w:p w14:paraId="5E7EF00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рамках роботи проведено дослідження поточного енергоспоживання міста та визначені три основні сценарії розвитку з поступовим переходом до споживання 100% </w:t>
      </w:r>
      <w:r>
        <w:rPr>
          <w:rFonts w:ascii="Times New Roman" w:eastAsia="Times New Roman" w:hAnsi="Times New Roman" w:cs="Times New Roman"/>
          <w:sz w:val="24"/>
          <w:szCs w:val="24"/>
        </w:rPr>
        <w:lastRenderedPageBreak/>
        <w:t>ВДЕ, описано базовий сценарій в разі відсутності змін у принципах функціонування енергетики міста.</w:t>
      </w:r>
    </w:p>
    <w:p w14:paraId="46CBC80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задоволення потреб громади в енергії пропонується звернути увагу на наступні сучасні технології, що виробляють відновлювану енергію:</w:t>
      </w:r>
    </w:p>
    <w:p w14:paraId="12C5ECA5" w14:textId="77777777" w:rsidR="00C82386" w:rsidRDefault="00E66F64">
      <w:pPr>
        <w:numPr>
          <w:ilvl w:val="0"/>
          <w:numId w:val="2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сонячна енергетика;</w:t>
      </w:r>
    </w:p>
    <w:p w14:paraId="4E143495" w14:textId="77777777" w:rsidR="00C82386" w:rsidRDefault="00E66F64">
      <w:pPr>
        <w:numPr>
          <w:ilvl w:val="0"/>
          <w:numId w:val="2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вітрова енергетика;</w:t>
      </w:r>
    </w:p>
    <w:p w14:paraId="78320C45" w14:textId="77777777" w:rsidR="00C82386" w:rsidRDefault="00E66F64">
      <w:pPr>
        <w:numPr>
          <w:ilvl w:val="0"/>
          <w:numId w:val="2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біоенергетика;</w:t>
      </w:r>
    </w:p>
    <w:p w14:paraId="330DB298" w14:textId="77777777" w:rsidR="00C82386" w:rsidRDefault="00E66F64">
      <w:pPr>
        <w:numPr>
          <w:ilvl w:val="0"/>
          <w:numId w:val="2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гідроенергетика;</w:t>
      </w:r>
    </w:p>
    <w:p w14:paraId="2F89510E" w14:textId="77777777" w:rsidR="00C82386" w:rsidRDefault="00E66F64">
      <w:pPr>
        <w:numPr>
          <w:ilvl w:val="0"/>
          <w:numId w:val="2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балансування ВЕС та СЕС.</w:t>
      </w:r>
    </w:p>
    <w:p w14:paraId="41F745C6" w14:textId="77777777" w:rsidR="00C82386" w:rsidRDefault="00E66F64">
      <w:pPr>
        <w:pBdr>
          <w:top w:val="nil"/>
          <w:left w:val="nil"/>
          <w:bottom w:val="nil"/>
          <w:right w:val="nil"/>
          <w:between w:val="nil"/>
        </w:pBdr>
        <w:spacing w:before="240" w:after="0"/>
        <w:ind w:firstLine="425"/>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Сонячна енергетика</w:t>
      </w:r>
    </w:p>
    <w:p w14:paraId="463CA5E7" w14:textId="77777777" w:rsidR="00C82386" w:rsidRDefault="00E66F64">
      <w:pPr>
        <w:pBdr>
          <w:top w:val="nil"/>
          <w:left w:val="nil"/>
          <w:bottom w:val="nil"/>
          <w:right w:val="nil"/>
          <w:between w:val="nil"/>
        </w:pBdr>
        <w:spacing w:after="40"/>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Авторами дослідження було розраховано потенціал виробництва електроенергії потужностями дахових сонячних електростанцій, що можна розмістити на пласких та покатих дахах муніципальних та комунальних установ та підприємств, дахах багатоповерхових житлових будинків, на дахах будинків та ділянках приватної забудови, а також на промислових наземних СЕС, що можуть бути розміщені на територіях, які були приєднані до міста Житомира пі</w:t>
      </w:r>
      <w:r>
        <w:rPr>
          <w:rFonts w:ascii="Times New Roman" w:eastAsia="Times New Roman" w:hAnsi="Times New Roman" w:cs="Times New Roman"/>
          <w:sz w:val="24"/>
          <w:szCs w:val="24"/>
        </w:rPr>
        <w:t xml:space="preserve">д </w:t>
      </w:r>
      <w:r>
        <w:rPr>
          <w:rFonts w:ascii="Times New Roman" w:eastAsia="Times New Roman" w:hAnsi="Times New Roman" w:cs="Times New Roman"/>
          <w:color w:val="000000"/>
          <w:sz w:val="24"/>
          <w:szCs w:val="24"/>
        </w:rPr>
        <w:t>час створення об’єднаної територіальної громади.</w:t>
      </w:r>
    </w:p>
    <w:p w14:paraId="1FB57B1E" w14:textId="77777777" w:rsidR="00C82386" w:rsidRDefault="00E66F64">
      <w:pPr>
        <w:pBdr>
          <w:top w:val="nil"/>
          <w:left w:val="nil"/>
          <w:bottom w:val="nil"/>
          <w:right w:val="nil"/>
          <w:between w:val="nil"/>
        </w:pBdr>
        <w:spacing w:before="40" w:after="0"/>
        <w:ind w:firstLine="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Загальний потенціал потужності сонячних електростанцій, що можна було б задіяти у Житомирській міській територіальній громаді оцінюється у </w:t>
      </w:r>
      <w:r>
        <w:rPr>
          <w:rFonts w:ascii="Times New Roman" w:eastAsia="Times New Roman" w:hAnsi="Times New Roman" w:cs="Times New Roman"/>
          <w:b/>
          <w:color w:val="000000"/>
          <w:sz w:val="24"/>
          <w:szCs w:val="24"/>
        </w:rPr>
        <w:t xml:space="preserve">480 МВт </w:t>
      </w:r>
      <w:r>
        <w:rPr>
          <w:rFonts w:ascii="Times New Roman" w:eastAsia="Times New Roman" w:hAnsi="Times New Roman" w:cs="Times New Roman"/>
          <w:color w:val="000000"/>
          <w:sz w:val="24"/>
          <w:szCs w:val="24"/>
        </w:rPr>
        <w:t xml:space="preserve">максимальної протягом року потужності. </w:t>
      </w:r>
    </w:p>
    <w:p w14:paraId="1040EC78" w14:textId="77777777" w:rsidR="00C82386" w:rsidRDefault="00E66F64">
      <w:pPr>
        <w:pBdr>
          <w:top w:val="nil"/>
          <w:left w:val="nil"/>
          <w:bottom w:val="nil"/>
          <w:right w:val="nil"/>
          <w:between w:val="nil"/>
        </w:pBdr>
        <w:ind w:firstLine="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Потенціал сонячної енергетики для Житомирської міської територіальної громади показаний на рисунку 3.31.</w:t>
      </w:r>
    </w:p>
    <w:p w14:paraId="25BC5E69" w14:textId="77777777" w:rsidR="00C82386" w:rsidRDefault="00E66F64">
      <w:pPr>
        <w:spacing w:after="0"/>
        <w:jc w:val="center"/>
        <w:rPr>
          <w:rFonts w:ascii="Times New Roman" w:eastAsia="Times New Roman" w:hAnsi="Times New Roman" w:cs="Times New Roman"/>
          <w:sz w:val="24"/>
          <w:szCs w:val="24"/>
        </w:rPr>
      </w:pPr>
      <w:r>
        <w:rPr>
          <w:noProof/>
          <w:lang w:val="ru-RU"/>
        </w:rPr>
        <w:drawing>
          <wp:inline distT="0" distB="0" distL="0" distR="0" wp14:anchorId="3B56DE36" wp14:editId="0E977E82">
            <wp:extent cx="5086350" cy="2305065"/>
            <wp:effectExtent l="0" t="0" r="0" b="0"/>
            <wp:docPr id="2144251913" name="Диаграмма 21442519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67E9911"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Рис.3.31. Потенціал сонячної енергетики для Житомирської міської територіальної громади</w:t>
      </w:r>
    </w:p>
    <w:p w14:paraId="01C3007D" w14:textId="77777777" w:rsidR="00C82386" w:rsidRDefault="00E66F64">
      <w:pPr>
        <w:spacing w:before="240"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Вітрова енергетика</w:t>
      </w:r>
    </w:p>
    <w:p w14:paraId="30F670A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Згідно результатів дослідження потенціал Житомирського регіону для вітрової енергетики оцінюється як незначний на період до 2030 року. Генерація нерівномірна впродовж року і не приваблює інвесторів комерційних ВЕС великої потужності. Проте після 2030 року потенціал вітрової генерації зростатиме згідно з очікуваннями посилення вітрів впродовж року внаслідок зміни клімату</w:t>
      </w:r>
      <w:r>
        <w:rPr>
          <w:rFonts w:ascii="Times New Roman" w:eastAsia="Times New Roman" w:hAnsi="Times New Roman" w:cs="Times New Roman"/>
          <w:sz w:val="24"/>
          <w:szCs w:val="24"/>
          <w:vertAlign w:val="superscript"/>
        </w:rPr>
        <w:footnoteReference w:id="24"/>
      </w:r>
      <w:r>
        <w:rPr>
          <w:rFonts w:ascii="Times New Roman" w:eastAsia="Times New Roman" w:hAnsi="Times New Roman" w:cs="Times New Roman"/>
          <w:sz w:val="24"/>
          <w:szCs w:val="24"/>
        </w:rPr>
        <w:t>. Також за десятиріччя очікується здешевлення вітрогенеруючих технологій та росту їх ефективності.</w:t>
      </w:r>
    </w:p>
    <w:p w14:paraId="794DC908"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Питання дослідження вітрового потенціалу є актуальним не тільки для Житомирського регіону, але й для України загалом. Однак це завдання вимагає професійного підходу із залучення відповідних фахівців і технологій. </w:t>
      </w:r>
    </w:p>
    <w:p w14:paraId="3826387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відміну від СЕС вітрові електростанції потребують суттєво менше земельної площі для безпосереднього розміщення вітро генеруючих установок (близько 500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на одну установку), хоча й можуть простягатися на багато кілометрів. Завдяки цьому ділянки для площадок вітрогенераторів та прокладання електричних мереж можуть знаходитися посеред ділянок з іншим цільовим призначенням, наприклад, для вирощування сільськогосподарської продукції. В даній роботі використано припущення, згідно з яким на 0,17 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заміської території Житомирської МТГ можна розмістити ВЕС потужністю </w:t>
      </w:r>
      <w:r>
        <w:rPr>
          <w:rFonts w:ascii="Times New Roman" w:eastAsia="Times New Roman" w:hAnsi="Times New Roman" w:cs="Times New Roman"/>
          <w:b/>
          <w:sz w:val="24"/>
          <w:szCs w:val="24"/>
        </w:rPr>
        <w:t>до 100 МВт</w:t>
      </w:r>
      <w:r>
        <w:rPr>
          <w:rFonts w:ascii="Times New Roman" w:eastAsia="Times New Roman" w:hAnsi="Times New Roman" w:cs="Times New Roman"/>
          <w:sz w:val="24"/>
          <w:szCs w:val="24"/>
          <w:vertAlign w:val="superscript"/>
        </w:rPr>
        <w:footnoteReference w:id="25"/>
      </w:r>
      <w:r>
        <w:rPr>
          <w:rFonts w:ascii="Times New Roman" w:eastAsia="Times New Roman" w:hAnsi="Times New Roman" w:cs="Times New Roman"/>
          <w:sz w:val="24"/>
          <w:szCs w:val="24"/>
        </w:rPr>
        <w:t>. При цьому, загальна площа необхідна під встановлення 26 турбін потужністю 3.8 МВт кожна – 32,4 тис.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w:t>
      </w:r>
    </w:p>
    <w:p w14:paraId="2D51BB33"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дослідженні не розглядалося можливостей встановлення конструкцій ВЕС, що працюють на малих швидкостях вітру. Такі технології вже існують і випробовуються, проте у вільному доступі ще недостатньо даних про їх вартісні та технічні характеристик. Хоча згодом потенціал таких технологій може бути надзвичайно високим.</w:t>
      </w:r>
    </w:p>
    <w:p w14:paraId="33875850" w14:textId="77777777" w:rsidR="00C82386" w:rsidRDefault="00E66F64">
      <w:pPr>
        <w:widowControl w:val="0"/>
        <w:spacing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Біоенергетика</w:t>
      </w:r>
    </w:p>
    <w:p w14:paraId="6A53C529" w14:textId="77777777" w:rsidR="00C82386" w:rsidRDefault="00E66F64">
      <w:pPr>
        <w:widowControl w:val="0"/>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4"/>
          <w:szCs w:val="24"/>
        </w:rPr>
        <w:t>Біоенергетичні технології можуть бути когенераційними, тобто генерувати водночас як тепло, так і електроенергію. Відновлюваними джерелами енергії, які вони використовують є деревина (пелети, тріска), відходи промислового та сільськогосподарського виробництв, біогаз, культури енергетичних рослин. Хоча, строго кажучи, тверді побутові відходи та паливо з них не є відновлюваними джерелом енергії, (RDF – refuse-derived fuel, SRF - solid recovered fuel), проте технології генерації енергії з ТПВ теж були розглянуті у дослідженні.</w:t>
      </w:r>
    </w:p>
    <w:p w14:paraId="2ABF966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оцінки потенціалу біопалива у Житомирському регіоні у дослідженні «Модельні сценарні оцінки переходу м. Житомир на 100% відновлюваних джерел енергії до 2050 року» використано дані Регіональної цільової програми використання біоенергетичних технологій у тепло- та гарячому водопостачанні у Житомирській області на 2017-2020 роки. Згідно з цими даними, сукупний прогнозований обсяг відходів деревини становить приблизно 2,6 млн м</w:t>
      </w:r>
      <w:r>
        <w:rPr>
          <w:rFonts w:ascii="Times New Roman" w:eastAsia="Times New Roman" w:hAnsi="Times New Roman" w:cs="Times New Roman"/>
          <w:sz w:val="24"/>
          <w:szCs w:val="24"/>
          <w:vertAlign w:val="superscript"/>
        </w:rPr>
        <w:t xml:space="preserve">3 </w:t>
      </w:r>
      <w:r>
        <w:rPr>
          <w:rFonts w:ascii="Times New Roman" w:eastAsia="Times New Roman" w:hAnsi="Times New Roman" w:cs="Times New Roman"/>
          <w:sz w:val="24"/>
          <w:szCs w:val="24"/>
        </w:rPr>
        <w:t>або 716,5 тис. т н.е. щорічно, з яких близько 2,1 млн 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утворюється внаслідок видалення зелених насаджень вздовж ліній електромереж, 0,2 млн 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 від видалення насаджень на узбіччях доріг у 80-ти кілометровому радіусі від м. Житомира, решта – від діяльності лісових господарств у незабруднених радіацією районах Житомирської області. Станом на 2017 рік більшість цієї деревини спалювалося на місці, оскільки в регіоні не існувало енергогенеруючого обладнання, яке могло спалювати тріску деревини вологістю 45-55%. </w:t>
      </w:r>
    </w:p>
    <w:p w14:paraId="12F9C57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Середній показник побічної сировини рослинництва для отримання теплової енергії складає 119,4 тис. т н.е. – це більше, ніж 12% від використаного у 2016 році палива на виробничо-експлуатаційні та комунально-побутові потреби міста Житомира. Вирощування енергетичних культур, таких як міскантус або верба, може дати додаткові 170-180 тис. т н.е.</w:t>
      </w:r>
    </w:p>
    <w:p w14:paraId="131903C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інформацією Біоенергетичної Асоціації України, на сьогодні виробництво теплової енергії з біомаси є вигідним за поточних цін на природний газ та залишиться таким </w:t>
      </w:r>
      <w:r>
        <w:rPr>
          <w:rFonts w:ascii="Times New Roman" w:eastAsia="Times New Roman" w:hAnsi="Times New Roman" w:cs="Times New Roman"/>
          <w:sz w:val="24"/>
          <w:szCs w:val="24"/>
        </w:rPr>
        <w:lastRenderedPageBreak/>
        <w:t>і в майбутньому. Наразі термін окупності ТЕЦ на біомасі складає 4,5 роки, що є цікавим для бізнесу, при нижчих цінах на газ термін окупності збільшиться.</w:t>
      </w:r>
    </w:p>
    <w:p w14:paraId="41B1CC52" w14:textId="77777777" w:rsidR="00C82386" w:rsidRDefault="00E66F64">
      <w:pPr>
        <w:spacing w:before="240"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Гідроенергетика</w:t>
      </w:r>
    </w:p>
    <w:p w14:paraId="5CF82B0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Житомирі на річці Тетерів працює мала ГЕС, довжина греблі якої 100</w:t>
      </w:r>
      <w:r w:rsidR="0055767F">
        <w:rPr>
          <w:rFonts w:ascii="Times New Roman" w:eastAsia="Times New Roman" w:hAnsi="Times New Roman" w:cs="Times New Roman"/>
          <w:sz w:val="24"/>
          <w:szCs w:val="24"/>
        </w:rPr>
        <w:t> </w:t>
      </w:r>
      <w:r>
        <w:rPr>
          <w:rFonts w:ascii="Times New Roman" w:eastAsia="Times New Roman" w:hAnsi="Times New Roman" w:cs="Times New Roman"/>
          <w:sz w:val="24"/>
          <w:szCs w:val="24"/>
        </w:rPr>
        <w:t>м і висота 21</w:t>
      </w:r>
      <w:r w:rsidR="0055767F">
        <w:rPr>
          <w:rFonts w:ascii="Times New Roman" w:eastAsia="Times New Roman" w:hAnsi="Times New Roman" w:cs="Times New Roman"/>
          <w:sz w:val="24"/>
          <w:szCs w:val="24"/>
        </w:rPr>
        <w:t> </w:t>
      </w:r>
      <w:r>
        <w:rPr>
          <w:rFonts w:ascii="Times New Roman" w:eastAsia="Times New Roman" w:hAnsi="Times New Roman" w:cs="Times New Roman"/>
          <w:sz w:val="24"/>
          <w:szCs w:val="24"/>
        </w:rPr>
        <w:t>м. Побудована мала ГЕС у 1960-1962 роках, деякий час не працювала, останні десятиріччя її стан є аварійним. Приєднана потужність генеруючої установки 190 кВт. Загальний потенціал оцінений на рівні 5,5 млн. кВт·год на рік.</w:t>
      </w:r>
    </w:p>
    <w:p w14:paraId="379758BA"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3.26.</w:t>
      </w:r>
    </w:p>
    <w:p w14:paraId="44339F5A" w14:textId="77777777" w:rsidR="00C82386" w:rsidRDefault="00E66F64">
      <w:pPr>
        <w:spacing w:after="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Корисний відпуск електроенергії малої ГЕС на річці Тетерів</w:t>
      </w:r>
    </w:p>
    <w:tbl>
      <w:tblPr>
        <w:tblStyle w:val="afffff3"/>
        <w:tblW w:w="9172" w:type="dxa"/>
        <w:tblInd w:w="-1" w:type="dxa"/>
        <w:tblLayout w:type="fixed"/>
        <w:tblLook w:val="0400" w:firstRow="0" w:lastRow="0" w:firstColumn="0" w:lastColumn="0" w:noHBand="0" w:noVBand="1"/>
      </w:tblPr>
      <w:tblGrid>
        <w:gridCol w:w="2971"/>
        <w:gridCol w:w="1033"/>
        <w:gridCol w:w="1034"/>
        <w:gridCol w:w="1033"/>
        <w:gridCol w:w="1034"/>
        <w:gridCol w:w="1033"/>
        <w:gridCol w:w="1034"/>
      </w:tblGrid>
      <w:tr w:rsidR="00C82386" w14:paraId="654A9A2E" w14:textId="77777777">
        <w:trPr>
          <w:trHeight w:val="348"/>
        </w:trPr>
        <w:tc>
          <w:tcPr>
            <w:tcW w:w="297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7519F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Параметр</w:t>
            </w:r>
          </w:p>
        </w:tc>
        <w:tc>
          <w:tcPr>
            <w:tcW w:w="1033" w:type="dxa"/>
            <w:tcBorders>
              <w:top w:val="single" w:sz="4" w:space="0" w:color="000000"/>
              <w:left w:val="nil"/>
              <w:bottom w:val="single" w:sz="4" w:space="0" w:color="000000"/>
              <w:right w:val="single" w:sz="4" w:space="0" w:color="000000"/>
            </w:tcBorders>
            <w:shd w:val="clear" w:color="auto" w:fill="D9D9D9"/>
            <w:vAlign w:val="center"/>
          </w:tcPr>
          <w:p w14:paraId="2672ADAB"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w:t>
            </w:r>
          </w:p>
        </w:tc>
        <w:tc>
          <w:tcPr>
            <w:tcW w:w="1034" w:type="dxa"/>
            <w:tcBorders>
              <w:top w:val="single" w:sz="4" w:space="0" w:color="000000"/>
              <w:left w:val="nil"/>
              <w:bottom w:val="single" w:sz="4" w:space="0" w:color="000000"/>
              <w:right w:val="single" w:sz="4" w:space="0" w:color="000000"/>
            </w:tcBorders>
            <w:shd w:val="clear" w:color="auto" w:fill="D9D9D9"/>
            <w:vAlign w:val="center"/>
          </w:tcPr>
          <w:p w14:paraId="187D39C9"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2019</w:t>
            </w:r>
          </w:p>
        </w:tc>
        <w:tc>
          <w:tcPr>
            <w:tcW w:w="1033" w:type="dxa"/>
            <w:tcBorders>
              <w:top w:val="single" w:sz="4" w:space="0" w:color="000000"/>
              <w:left w:val="nil"/>
              <w:bottom w:val="single" w:sz="4" w:space="0" w:color="000000"/>
              <w:right w:val="single" w:sz="4" w:space="0" w:color="000000"/>
            </w:tcBorders>
            <w:shd w:val="clear" w:color="auto" w:fill="D9D9D9"/>
            <w:vAlign w:val="center"/>
          </w:tcPr>
          <w:p w14:paraId="171EA47F"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c>
          <w:tcPr>
            <w:tcW w:w="1034" w:type="dxa"/>
            <w:tcBorders>
              <w:top w:val="single" w:sz="4" w:space="0" w:color="000000"/>
              <w:left w:val="nil"/>
              <w:bottom w:val="single" w:sz="4" w:space="0" w:color="000000"/>
              <w:right w:val="single" w:sz="4" w:space="0" w:color="000000"/>
            </w:tcBorders>
            <w:shd w:val="clear" w:color="auto" w:fill="D9D9D9"/>
            <w:vAlign w:val="center"/>
          </w:tcPr>
          <w:p w14:paraId="0D9952C3"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2021</w:t>
            </w:r>
          </w:p>
        </w:tc>
        <w:tc>
          <w:tcPr>
            <w:tcW w:w="1033" w:type="dxa"/>
            <w:tcBorders>
              <w:top w:val="single" w:sz="4" w:space="0" w:color="000000"/>
              <w:left w:val="nil"/>
              <w:bottom w:val="single" w:sz="4" w:space="0" w:color="000000"/>
              <w:right w:val="single" w:sz="4" w:space="0" w:color="000000"/>
            </w:tcBorders>
            <w:shd w:val="clear" w:color="auto" w:fill="D9D9D9"/>
            <w:vAlign w:val="center"/>
          </w:tcPr>
          <w:p w14:paraId="4E08C64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2022</w:t>
            </w:r>
          </w:p>
        </w:tc>
        <w:tc>
          <w:tcPr>
            <w:tcW w:w="1034" w:type="dxa"/>
            <w:tcBorders>
              <w:top w:val="single" w:sz="4" w:space="0" w:color="000000"/>
              <w:left w:val="nil"/>
              <w:bottom w:val="single" w:sz="4" w:space="0" w:color="000000"/>
              <w:right w:val="single" w:sz="4" w:space="0" w:color="000000"/>
            </w:tcBorders>
            <w:shd w:val="clear" w:color="auto" w:fill="D9D9D9"/>
            <w:vAlign w:val="center"/>
          </w:tcPr>
          <w:p w14:paraId="41AB578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r>
      <w:tr w:rsidR="00C82386" w14:paraId="6816035E" w14:textId="77777777">
        <w:trPr>
          <w:trHeight w:val="348"/>
        </w:trPr>
        <w:tc>
          <w:tcPr>
            <w:tcW w:w="2972" w:type="dxa"/>
            <w:tcBorders>
              <w:top w:val="nil"/>
              <w:left w:val="single" w:sz="4" w:space="0" w:color="000000"/>
              <w:bottom w:val="single" w:sz="4" w:space="0" w:color="000000"/>
              <w:right w:val="single" w:sz="4" w:space="0" w:color="000000"/>
            </w:tcBorders>
            <w:shd w:val="clear" w:color="auto" w:fill="auto"/>
            <w:vAlign w:val="bottom"/>
          </w:tcPr>
          <w:p w14:paraId="7A09CE5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Корисний відпуск електроенергії, МВт.год</w:t>
            </w:r>
          </w:p>
        </w:tc>
        <w:tc>
          <w:tcPr>
            <w:tcW w:w="1033" w:type="dxa"/>
            <w:tcBorders>
              <w:top w:val="nil"/>
              <w:left w:val="nil"/>
              <w:bottom w:val="single" w:sz="4" w:space="0" w:color="000000"/>
              <w:right w:val="single" w:sz="4" w:space="0" w:color="000000"/>
            </w:tcBorders>
            <w:shd w:val="clear" w:color="auto" w:fill="auto"/>
            <w:vAlign w:val="center"/>
          </w:tcPr>
          <w:p w14:paraId="653EEF6C"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371,3</w:t>
            </w:r>
          </w:p>
        </w:tc>
        <w:tc>
          <w:tcPr>
            <w:tcW w:w="1034" w:type="dxa"/>
            <w:tcBorders>
              <w:top w:val="nil"/>
              <w:left w:val="nil"/>
              <w:bottom w:val="single" w:sz="4" w:space="0" w:color="000000"/>
              <w:right w:val="single" w:sz="4" w:space="0" w:color="000000"/>
            </w:tcBorders>
            <w:shd w:val="clear" w:color="auto" w:fill="auto"/>
            <w:vAlign w:val="center"/>
          </w:tcPr>
          <w:p w14:paraId="3A73E511"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304,0</w:t>
            </w:r>
          </w:p>
        </w:tc>
        <w:tc>
          <w:tcPr>
            <w:tcW w:w="1033" w:type="dxa"/>
            <w:tcBorders>
              <w:top w:val="nil"/>
              <w:left w:val="nil"/>
              <w:bottom w:val="single" w:sz="4" w:space="0" w:color="000000"/>
              <w:right w:val="single" w:sz="4" w:space="0" w:color="000000"/>
            </w:tcBorders>
            <w:shd w:val="clear" w:color="auto" w:fill="auto"/>
            <w:vAlign w:val="center"/>
          </w:tcPr>
          <w:p w14:paraId="0B27870F"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65,0</w:t>
            </w:r>
          </w:p>
        </w:tc>
        <w:tc>
          <w:tcPr>
            <w:tcW w:w="1034" w:type="dxa"/>
            <w:tcBorders>
              <w:top w:val="nil"/>
              <w:left w:val="nil"/>
              <w:bottom w:val="single" w:sz="4" w:space="0" w:color="000000"/>
              <w:right w:val="single" w:sz="4" w:space="0" w:color="000000"/>
            </w:tcBorders>
            <w:shd w:val="clear" w:color="auto" w:fill="auto"/>
            <w:vAlign w:val="center"/>
          </w:tcPr>
          <w:p w14:paraId="067501A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409,9</w:t>
            </w:r>
          </w:p>
        </w:tc>
        <w:tc>
          <w:tcPr>
            <w:tcW w:w="1033" w:type="dxa"/>
            <w:tcBorders>
              <w:top w:val="nil"/>
              <w:left w:val="nil"/>
              <w:bottom w:val="single" w:sz="4" w:space="0" w:color="000000"/>
              <w:right w:val="single" w:sz="4" w:space="0" w:color="000000"/>
            </w:tcBorders>
            <w:shd w:val="clear" w:color="auto" w:fill="auto"/>
            <w:vAlign w:val="center"/>
          </w:tcPr>
          <w:p w14:paraId="51CDF84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47,0</w:t>
            </w:r>
          </w:p>
        </w:tc>
        <w:tc>
          <w:tcPr>
            <w:tcW w:w="1034" w:type="dxa"/>
            <w:tcBorders>
              <w:top w:val="nil"/>
              <w:left w:val="nil"/>
              <w:bottom w:val="single" w:sz="4" w:space="0" w:color="000000"/>
              <w:right w:val="single" w:sz="4" w:space="0" w:color="000000"/>
            </w:tcBorders>
            <w:shd w:val="clear" w:color="auto" w:fill="auto"/>
            <w:vAlign w:val="center"/>
          </w:tcPr>
          <w:p w14:paraId="65BB937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180,7</w:t>
            </w:r>
          </w:p>
        </w:tc>
      </w:tr>
    </w:tbl>
    <w:p w14:paraId="2F8C08A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думку громадських екологічних організацій, в Україні відсутні малі ГЕС, які відповідають критеріям сталого розвитку, оскільки вони приносять значно більше екологічної шкоди, ніж можуть надати вигід, наприклад, скорочення викидів парникових газів. Проте в Австрії та Норвегії є приклади ГЕС, які цілком безпечні для довкілля. В разі дотримання суворих екологічних критеріїв та оновлення технічної бази малої гідроенергетики, робота ГЕС не буде мати таких значних екологічних наслідків, як зараз, але їх вартість та витрати на утримання відповідно збільшуватимуться.</w:t>
      </w:r>
    </w:p>
    <w:p w14:paraId="2A3426BD" w14:textId="77777777" w:rsidR="00C82386" w:rsidRDefault="00E66F64">
      <w:pPr>
        <w:widowControl w:val="0"/>
        <w:spacing w:before="120"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Балансування ВЕС та СЕС</w:t>
      </w:r>
    </w:p>
    <w:p w14:paraId="2DBEEC1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Наряду з технологіями генерації енергії (ВЕС та СЕС) для забезпечення переходу електроенергетичного сектору на 90-100% використання ВДЕ необхідно забезпечити достатню кількість маневрових потужностей та механізмів, що дозволятимуть утримувати баланс між пропозицією та попитом на електроенергію як протягом доби, так і протягом більшого проміжку часу. Зараз функцію балансування потужностей виконують гідроелектростанції, потенціалу яких буде недостатньо в разі збільшення генерації сонячними та вітровими станціями. Тому сьогодні розвиток сфери генерації ВДЕ має супроводжуватися паралельним розвитком технологій накопичення (акумулятори), перенесення енергії (електролізний «зелений» водень) або балансуючих потужностей (газопоршневі електростанції) для забезпечення стабільності напруги в електромережі та прогнозованості енергосистеми.</w:t>
      </w:r>
    </w:p>
    <w:p w14:paraId="1074EB0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Подібні заходи потребують значних додаткових інвестицій. Тому розглядаємо припущення, що на кожен 1 МВт потужності СЕС або ВЕС необхідно встановити 0,1 МВт акумуляторних батарей.</w:t>
      </w:r>
    </w:p>
    <w:p w14:paraId="7068505D" w14:textId="77777777" w:rsidR="00C82386" w:rsidRDefault="00E66F64">
      <w:pPr>
        <w:spacing w:before="120" w:after="0"/>
        <w:ind w:firstLine="709"/>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Транспорт</w:t>
      </w:r>
    </w:p>
    <w:p w14:paraId="6CDFF92B" w14:textId="77777777" w:rsidR="00C82386" w:rsidRPr="00141469" w:rsidRDefault="00E66F64" w:rsidP="00A15D39">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Маючи бажання втілити в життя енергетичну модель 100% використання ВДЕ, не можна забувати про споживання транспорту. Для подальшого розвитку транспортної інфраструктури </w:t>
      </w:r>
      <w:r w:rsidRPr="00141469">
        <w:rPr>
          <w:rFonts w:ascii="Times New Roman" w:eastAsia="Times New Roman" w:hAnsi="Times New Roman" w:cs="Times New Roman"/>
          <w:sz w:val="24"/>
          <w:szCs w:val="24"/>
        </w:rPr>
        <w:t>Житомирської громади передбачаємо більш інтенсивне використання громадського транспорту замість особистого в межах громади, для чого будуть передбачені окремі заходи по сектору «Транспорт». Так, якщо у 2017 році пасажирообіг для легкових авто по місту становить 387,2 млн. пасажиро-кілометрів (скорочено – пкм), а громадського транспорту (автобуси, маршрутні таксі, тролейбуси та трамваї) – разом 645 млн. пкм, що становить відповідно 38% та 62%, то в 2050 р. прогнозується 558,0  та 1451,7 млн. пкм відповідно, що становитиме 28% і 72%. Попит на вантажні перевезення до 2050 рок</w:t>
      </w:r>
      <w:r w:rsidR="00141469">
        <w:rPr>
          <w:rFonts w:ascii="Times New Roman" w:eastAsia="Times New Roman" w:hAnsi="Times New Roman" w:cs="Times New Roman"/>
          <w:sz w:val="24"/>
          <w:szCs w:val="24"/>
        </w:rPr>
        <w:t>у також зросте вдвічі.</w:t>
      </w:r>
    </w:p>
    <w:p w14:paraId="6766CA59" w14:textId="77777777" w:rsidR="00C82386" w:rsidRDefault="00E66F64" w:rsidP="00A15D39">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даний момент попит на пересування по території громади задовольняється переважно автомобілями з двигуном внутрішнього згоряння, що споживають бензин, дизель і скраплений нафтовий газ або стиснений природний газ. Частка перевезень легковими електромобілями та електробусами не перевищує 18%. За прогнозами за умовами економічної доцільності енергоспоживання цим видом транспорту до 2050 року збільшиться на 10%.</w:t>
      </w:r>
    </w:p>
    <w:p w14:paraId="6D6DAF8A" w14:textId="77777777" w:rsidR="00C82386" w:rsidRDefault="00E66F64" w:rsidP="00A15D39">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всіма сценаріями досягнення 100% використання ВДЕ повна декарбонізація відбувається за рахунок витіснення авто з двигуном внутрішнього згоряння електричними авто, електробусами та вантажівками на біопаливі. Електромобілі володіють майже втричі вищою ефективністю перетворення енергії, ніж вдосконалені авто з двигунами внутрішнього згоряння. Щільність енергії в їх акумуляторах, а відповідно – і дальність руху на одній зарядці в майбутньому буде суттєво зростати (хоча для пересувань в межах невеликого міста це не є визначальним), тому електричний транспорт з акумуляторними батареями зможе задовольнити вдвічі вищі потреби у пересуванні в межах території громади. За таких припущень, загальне споживання енергії в секторі транспорту зменшиться на 35-40%.</w:t>
      </w:r>
    </w:p>
    <w:p w14:paraId="23F440F6" w14:textId="77777777" w:rsidR="00C82386" w:rsidRDefault="00E66F64" w:rsidP="00A15D39">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припущеннями, біопаливо у 2050 році споживається лише вантажівками. При цьому, якщо за сценаріями 100% ВДЕ №1-2 всі вантажівки використовують біопаливо, то у сценарії 100% ВДЕ №3, лише ¾ вантажівок, а решта використовуватимуть електроенергію.</w:t>
      </w:r>
    </w:p>
    <w:p w14:paraId="6C6CF2B5" w14:textId="77777777" w:rsidR="00C82386" w:rsidRDefault="00E66F64" w:rsidP="00A15D39">
      <w:pPr>
        <w:spacing w:before="120" w:after="0" w:line="271" w:lineRule="auto"/>
        <w:ind w:firstLine="709"/>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Моделі розвитку ВДЕ у Житомирській громаді</w:t>
      </w:r>
    </w:p>
    <w:p w14:paraId="2AA805B0" w14:textId="77777777" w:rsidR="00C82386" w:rsidRDefault="00E66F64" w:rsidP="00A15D39">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Розуміючи обсяги економічних вкладень, що необхідні для забезпечення поступового переходу на використання ВДЕ, в рамках моделювання, що було проведено у дослідженні «Модельні сценарні оцінки переходу м. Житомир на 100% відновлюваних джерел енергії до 2050 року» розглянуто три сценарії розвитку ВДЕ, в кожному з яких передбачається досягнути 100% ВДЕ у виробництві тепла та електроенергії, а також кінцевому споживанні енергоресурсів, але пропонуються різні варіанти реалізації: </w:t>
      </w:r>
    </w:p>
    <w:p w14:paraId="0AEEF533" w14:textId="77777777" w:rsidR="00C82386" w:rsidRDefault="00E66F64" w:rsidP="00A15D39">
      <w:pPr>
        <w:numPr>
          <w:ilvl w:val="0"/>
          <w:numId w:val="29"/>
        </w:numPr>
        <w:tabs>
          <w:tab w:val="left" w:pos="709"/>
        </w:tabs>
        <w:spacing w:after="0" w:line="271" w:lineRule="auto"/>
        <w:ind w:left="0"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сценарієм 100% ВДЕ №1, річне виробництво електроенергії з ВДЕ в м. Житомирі станом на 2050 рік складатиме не більше половини від її загального споживання містом, а весь інший обсяг імпортуватиметься від виробників електроенергії з ВДЕ з інших регіонів країни. </w:t>
      </w:r>
    </w:p>
    <w:p w14:paraId="0C416B37" w14:textId="77777777" w:rsidR="00C82386" w:rsidRDefault="00E66F64" w:rsidP="00A15D39">
      <w:pPr>
        <w:numPr>
          <w:ilvl w:val="0"/>
          <w:numId w:val="29"/>
        </w:numPr>
        <w:tabs>
          <w:tab w:val="left" w:pos="709"/>
        </w:tabs>
        <w:spacing w:after="0" w:line="271" w:lineRule="auto"/>
        <w:ind w:left="0"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сценарієм 100% ВДЕ №2, власне річне виробництво електроенергії з ВДЕ в м. Житомирі станом на 2050  рік складатиме не менше обсягу її споживання, однак, без умови дотримання балансу між виробництвом та споживанням. При цьому, не більше 50% електроенергії місто «експортуватиме», а необхідний додатковий обсяг «імпортувати» від виробників електроенергії з ВДЕ з інших регіонів країни. Таким чином, чистий імпорт електроенергії м. Житомир дорівнюватиме нулю.</w:t>
      </w:r>
    </w:p>
    <w:p w14:paraId="44BACD9C" w14:textId="77777777" w:rsidR="00C82386" w:rsidRDefault="00E66F64" w:rsidP="00A15D39">
      <w:pPr>
        <w:numPr>
          <w:ilvl w:val="0"/>
          <w:numId w:val="29"/>
        </w:numPr>
        <w:tabs>
          <w:tab w:val="left" w:pos="709"/>
        </w:tabs>
        <w:spacing w:after="0" w:line="271" w:lineRule="auto"/>
        <w:ind w:left="0" w:firstLine="42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За сценарієм 100% ВДЕ №3, у 2050-му році в загальному національному виробництві електроенергії міститиметься не менше 70% частки з ВДЕ згідно з проєктом Концепції «зеленого» енергетичного переходу. Тоді вважатиметься, що м. Житомир, як і інші міста, що споживають тільки електроенергію з Об'єднаної енергетичної системи України, використовуватиме у свої потребах не менше 70% електроенергії, отриманої з ВДЕ. Для досягнення  100%  м. Житомиру необхідно мати додатково стільки генеруючих потужностей ВДЕ, щоб за рік вони виробляли не менше 30% від загального електроспоживання містом. Таким чином, «експортуючи» (віддаючи) цю електроенергію в ОЕС України, місто фактично</w:t>
      </w:r>
      <w:sdt>
        <w:sdtPr>
          <w:tag w:val="goog_rdk_27"/>
          <w:id w:val="129524252"/>
        </w:sdtPr>
        <w:sdtEndPr/>
        <w:sdtContent/>
      </w:sdt>
      <w:r>
        <w:rPr>
          <w:rFonts w:ascii="Times New Roman" w:eastAsia="Times New Roman" w:hAnsi="Times New Roman" w:cs="Times New Roman"/>
          <w:sz w:val="24"/>
          <w:szCs w:val="24"/>
        </w:rPr>
        <w:t xml:space="preserve"> компенсуватиме «брудну» частку в 30%, яку споживатиме з загальнонаціональної мережі.</w:t>
      </w:r>
      <w:r>
        <w:br w:type="page"/>
      </w:r>
    </w:p>
    <w:p w14:paraId="4D6EAF17"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8"/>
          <w:szCs w:val="28"/>
        </w:rPr>
      </w:pPr>
      <w:bookmarkStart w:id="41" w:name="_heading=h.1v1yuxt" w:colFirst="0" w:colLast="0"/>
      <w:bookmarkEnd w:id="41"/>
      <w:r>
        <w:rPr>
          <w:rFonts w:ascii="Times New Roman" w:eastAsia="Times New Roman" w:hAnsi="Times New Roman" w:cs="Times New Roman"/>
          <w:b/>
          <w:color w:val="000000"/>
          <w:sz w:val="28"/>
          <w:szCs w:val="28"/>
        </w:rPr>
        <w:lastRenderedPageBreak/>
        <w:t>Розділ 4. Базовий кадастр викидів</w:t>
      </w:r>
    </w:p>
    <w:p w14:paraId="2A3FE1E5"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Базовий кадастр викидів – це інструмент визначення обсягів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що викидається в атмосферу у зв’язку із енергоспоживанням на території міста в обраному базовому році. Він дозволяє визначити найзначніші антропогенні джерела емісії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та, відповідно, є основою для подальшого визначення основних напрямів реалізації заходів, що спрямовані на зменшення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p>
    <w:p w14:paraId="6FC9CE2D" w14:textId="77777777" w:rsidR="00C82386" w:rsidRDefault="00E66F64">
      <w:pPr>
        <w:keepNext/>
        <w:keepLines/>
        <w:numPr>
          <w:ilvl w:val="1"/>
          <w:numId w:val="23"/>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42" w:name="_heading=h.4f1mdlm" w:colFirst="0" w:colLast="0"/>
      <w:bookmarkEnd w:id="42"/>
      <w:r>
        <w:rPr>
          <w:rFonts w:ascii="Times New Roman" w:eastAsia="Times New Roman" w:hAnsi="Times New Roman" w:cs="Times New Roman"/>
          <w:b/>
          <w:color w:val="000000"/>
          <w:sz w:val="24"/>
          <w:szCs w:val="24"/>
        </w:rPr>
        <w:t>Визначення базового року</w:t>
      </w:r>
    </w:p>
    <w:p w14:paraId="2BF7993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Базовий рік – це рік у порівнянні з яким буде оцінюватись скорочення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під час моніторингу відповідно до положень «Угоди мерів по клімату та енергії» від 2020 року до кінцевої оцінки у 2030 році. За результатами аналізу, що було проведено при складанні «Плану дій зі сталого енергетичного розвитку міста Житомира на 2015-2024 року», базовим роком для здійснення оцінювання рівня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для м. Житомир обрано 2010 рік. Для подальшого оцінювання рівня скорочення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в рамках «Плану дій сталого енергетичного розвитку та клімату» будемо продовжувати використовувати 2010 рік як базовий. Обраний рік є репрезентативним з точки зору економічної ситуації. До того ж наявна повна, достовірна інформація за даний період про споживання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сіх видів енергоресурсів Житомирської міської територіальної громади, у складі міста Житомира та села Вереси.</w:t>
      </w:r>
    </w:p>
    <w:p w14:paraId="54BCEEF3" w14:textId="77777777" w:rsidR="00C82386" w:rsidRDefault="00E66F64">
      <w:pPr>
        <w:keepNext/>
        <w:keepLines/>
        <w:numPr>
          <w:ilvl w:val="1"/>
          <w:numId w:val="23"/>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43" w:name="_heading=h.2u6wntf" w:colFirst="0" w:colLast="0"/>
      <w:bookmarkEnd w:id="43"/>
      <w:r>
        <w:rPr>
          <w:rFonts w:ascii="Times New Roman" w:eastAsia="Times New Roman" w:hAnsi="Times New Roman" w:cs="Times New Roman"/>
          <w:b/>
          <w:color w:val="000000"/>
          <w:sz w:val="24"/>
          <w:szCs w:val="24"/>
        </w:rPr>
        <w:t>Визначення секторів базового кадастру викидів (БКВ)</w:t>
      </w:r>
    </w:p>
    <w:p w14:paraId="6F27CDAC"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Методикою, що надано «Угодою мерів» та  Об’єднаним дослідницьким центром (Joint Research Centre – JRC), передбачений перелік ключових секторів діяльності (як пов’язаних з енергоспоживанням так і не пов’язаних), що є обов’язковими для включення до розрахунку кадастру викидів. Також у переліку наведені сектори, що є рекомендованими до включення в розрахунок БКВ, але не є обов’язковими.</w:t>
      </w:r>
    </w:p>
    <w:p w14:paraId="650A20D0" w14:textId="77777777" w:rsidR="00C82386" w:rsidRDefault="00E66F64">
      <w:pPr>
        <w:spacing w:after="0"/>
        <w:ind w:firstLine="708"/>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4.1.</w:t>
      </w:r>
    </w:p>
    <w:p w14:paraId="5099C9F7" w14:textId="77777777" w:rsidR="00C82386" w:rsidRDefault="00E66F64">
      <w:pPr>
        <w:spacing w:after="0"/>
        <w:ind w:firstLine="7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Ключові сектори та сектори, що рекомендовані до включення у БКВ </w:t>
      </w:r>
      <w:r>
        <w:rPr>
          <w:rFonts w:ascii="Times New Roman" w:eastAsia="Times New Roman" w:hAnsi="Times New Roman" w:cs="Times New Roman"/>
          <w:sz w:val="24"/>
          <w:szCs w:val="24"/>
        </w:rPr>
        <w:br/>
        <w:t>(методикою Угоди мерів)</w:t>
      </w:r>
    </w:p>
    <w:tbl>
      <w:tblPr>
        <w:tblStyle w:val="afffff4"/>
        <w:tblW w:w="7483" w:type="dxa"/>
        <w:jc w:val="center"/>
        <w:tblInd w:w="0" w:type="dxa"/>
        <w:tblLayout w:type="fixed"/>
        <w:tblLook w:val="0400" w:firstRow="0" w:lastRow="0" w:firstColumn="0" w:lastColumn="0" w:noHBand="0" w:noVBand="1"/>
      </w:tblPr>
      <w:tblGrid>
        <w:gridCol w:w="5613"/>
        <w:gridCol w:w="1870"/>
      </w:tblGrid>
      <w:tr w:rsidR="001C6B1B" w14:paraId="63C3D18F" w14:textId="77777777" w:rsidTr="001C6B1B">
        <w:trPr>
          <w:trHeight w:val="20"/>
          <w:jc w:val="center"/>
        </w:trPr>
        <w:tc>
          <w:tcPr>
            <w:tcW w:w="561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E5F2FB"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Сектори кінцевих споживачів енергоресурсів</w:t>
            </w:r>
          </w:p>
        </w:tc>
        <w:tc>
          <w:tcPr>
            <w:tcW w:w="1870" w:type="dxa"/>
            <w:tcBorders>
              <w:top w:val="single" w:sz="8" w:space="0" w:color="000000"/>
              <w:left w:val="single" w:sz="8" w:space="0" w:color="000000"/>
              <w:bottom w:val="nil"/>
              <w:right w:val="single" w:sz="8" w:space="0" w:color="000000"/>
            </w:tcBorders>
            <w:shd w:val="clear" w:color="auto" w:fill="auto"/>
            <w:vAlign w:val="center"/>
          </w:tcPr>
          <w:p w14:paraId="2EA75064"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Ключові сектори</w:t>
            </w:r>
          </w:p>
        </w:tc>
      </w:tr>
      <w:tr w:rsidR="001C6B1B" w14:paraId="03492AAF"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D9D9D9"/>
            <w:vAlign w:val="center"/>
          </w:tcPr>
          <w:p w14:paraId="6A4B54DB"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Будівлі, обладнання/об’єкти</w:t>
            </w:r>
          </w:p>
        </w:tc>
        <w:tc>
          <w:tcPr>
            <w:tcW w:w="1870" w:type="dxa"/>
            <w:tcBorders>
              <w:top w:val="single" w:sz="8" w:space="0" w:color="000000"/>
              <w:left w:val="nil"/>
              <w:bottom w:val="single" w:sz="8" w:space="0" w:color="000000"/>
              <w:right w:val="single" w:sz="4" w:space="0" w:color="000000"/>
            </w:tcBorders>
            <w:shd w:val="clear" w:color="auto" w:fill="D9D9D9"/>
            <w:vAlign w:val="bottom"/>
          </w:tcPr>
          <w:p w14:paraId="670343B3" w14:textId="77777777" w:rsidR="001C6B1B" w:rsidRDefault="001C6B1B">
            <w:pPr>
              <w:spacing w:after="0" w:line="240" w:lineRule="auto"/>
              <w:rPr>
                <w:rFonts w:ascii="Times New Roman" w:eastAsia="Times New Roman" w:hAnsi="Times New Roman" w:cs="Times New Roman"/>
                <w:color w:val="000000"/>
              </w:rPr>
            </w:pPr>
          </w:p>
        </w:tc>
      </w:tr>
      <w:tr w:rsidR="001C6B1B" w14:paraId="36041EF9"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F2F2F2"/>
            <w:vAlign w:val="center"/>
          </w:tcPr>
          <w:p w14:paraId="28F72A55"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Муніципальні будівлі, обладнання/об’єкти</w:t>
            </w:r>
          </w:p>
        </w:tc>
        <w:tc>
          <w:tcPr>
            <w:tcW w:w="1870" w:type="dxa"/>
            <w:tcBorders>
              <w:top w:val="single" w:sz="8" w:space="0" w:color="000000"/>
              <w:left w:val="nil"/>
              <w:bottom w:val="single" w:sz="8" w:space="0" w:color="000000"/>
              <w:right w:val="single" w:sz="4" w:space="0" w:color="000000"/>
            </w:tcBorders>
            <w:shd w:val="clear" w:color="auto" w:fill="F2F2F2"/>
            <w:vAlign w:val="bottom"/>
          </w:tcPr>
          <w:p w14:paraId="2D1FBF8C"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3BEFC72F"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57250A60"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Муніципальні будівлі, обладнання/об’єкти</w:t>
            </w:r>
          </w:p>
        </w:tc>
        <w:tc>
          <w:tcPr>
            <w:tcW w:w="1870" w:type="dxa"/>
            <w:tcBorders>
              <w:top w:val="nil"/>
              <w:left w:val="nil"/>
              <w:bottom w:val="single" w:sz="4" w:space="0" w:color="000000"/>
              <w:right w:val="single" w:sz="4" w:space="0" w:color="000000"/>
            </w:tcBorders>
            <w:shd w:val="clear" w:color="auto" w:fill="FFFF00"/>
            <w:vAlign w:val="center"/>
          </w:tcPr>
          <w:p w14:paraId="430BEF80"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4ABD35C1"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78B92D10"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Муніципальне освітлення</w:t>
            </w:r>
          </w:p>
        </w:tc>
        <w:tc>
          <w:tcPr>
            <w:tcW w:w="1870" w:type="dxa"/>
            <w:tcBorders>
              <w:top w:val="nil"/>
              <w:left w:val="nil"/>
              <w:bottom w:val="single" w:sz="4" w:space="0" w:color="000000"/>
              <w:right w:val="single" w:sz="4" w:space="0" w:color="000000"/>
            </w:tcBorders>
            <w:shd w:val="clear" w:color="auto" w:fill="FFFF00"/>
            <w:vAlign w:val="center"/>
          </w:tcPr>
          <w:p w14:paraId="7302BA97"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4A21A415"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57C4138A"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Інші</w:t>
            </w:r>
          </w:p>
        </w:tc>
        <w:tc>
          <w:tcPr>
            <w:tcW w:w="1870" w:type="dxa"/>
            <w:tcBorders>
              <w:top w:val="nil"/>
              <w:left w:val="nil"/>
              <w:bottom w:val="single" w:sz="4" w:space="0" w:color="000000"/>
              <w:right w:val="single" w:sz="4" w:space="0" w:color="000000"/>
            </w:tcBorders>
            <w:shd w:val="clear" w:color="auto" w:fill="auto"/>
            <w:vAlign w:val="center"/>
          </w:tcPr>
          <w:p w14:paraId="182E7A97" w14:textId="77777777" w:rsidR="001C6B1B" w:rsidRDefault="001C6B1B">
            <w:pPr>
              <w:spacing w:after="0" w:line="240" w:lineRule="auto"/>
              <w:jc w:val="center"/>
              <w:rPr>
                <w:rFonts w:ascii="Times New Roman" w:eastAsia="Times New Roman" w:hAnsi="Times New Roman" w:cs="Times New Roman"/>
                <w:color w:val="000000"/>
              </w:rPr>
            </w:pPr>
          </w:p>
        </w:tc>
      </w:tr>
      <w:tr w:rsidR="001C6B1B" w14:paraId="43E57D2D"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F2F2F2"/>
            <w:vAlign w:val="center"/>
          </w:tcPr>
          <w:p w14:paraId="07A0A06F"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Третинні (не муніципальні) будівлі, обладнання/об’єкти</w:t>
            </w:r>
          </w:p>
        </w:tc>
        <w:tc>
          <w:tcPr>
            <w:tcW w:w="1870" w:type="dxa"/>
            <w:tcBorders>
              <w:top w:val="nil"/>
              <w:left w:val="nil"/>
              <w:bottom w:val="single" w:sz="4" w:space="0" w:color="000000"/>
              <w:right w:val="single" w:sz="4" w:space="0" w:color="000000"/>
            </w:tcBorders>
            <w:shd w:val="clear" w:color="auto" w:fill="F2F2F2"/>
            <w:vAlign w:val="center"/>
          </w:tcPr>
          <w:p w14:paraId="38377DE5" w14:textId="77777777" w:rsidR="001C6B1B" w:rsidRDefault="001C6B1B">
            <w:pPr>
              <w:spacing w:after="0" w:line="240" w:lineRule="auto"/>
              <w:jc w:val="center"/>
              <w:rPr>
                <w:rFonts w:ascii="Times New Roman" w:eastAsia="Times New Roman" w:hAnsi="Times New Roman" w:cs="Times New Roman"/>
                <w:color w:val="000000"/>
              </w:rPr>
            </w:pPr>
          </w:p>
        </w:tc>
      </w:tr>
      <w:tr w:rsidR="001C6B1B" w14:paraId="79FBD1E9"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56001005"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Житлові будинки</w:t>
            </w:r>
          </w:p>
        </w:tc>
        <w:tc>
          <w:tcPr>
            <w:tcW w:w="1870" w:type="dxa"/>
            <w:tcBorders>
              <w:top w:val="nil"/>
              <w:left w:val="nil"/>
              <w:bottom w:val="single" w:sz="4" w:space="0" w:color="000000"/>
              <w:right w:val="single" w:sz="4" w:space="0" w:color="000000"/>
            </w:tcBorders>
            <w:shd w:val="clear" w:color="auto" w:fill="FFFF00"/>
            <w:vAlign w:val="center"/>
          </w:tcPr>
          <w:p w14:paraId="5B738680"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79F9CDA8"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4CB0C9AF"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Третинні будівлі, обладнання/об’єкти</w:t>
            </w:r>
          </w:p>
        </w:tc>
        <w:tc>
          <w:tcPr>
            <w:tcW w:w="1870" w:type="dxa"/>
            <w:tcBorders>
              <w:top w:val="nil"/>
              <w:left w:val="nil"/>
              <w:bottom w:val="single" w:sz="4" w:space="0" w:color="000000"/>
              <w:right w:val="single" w:sz="4" w:space="0" w:color="000000"/>
            </w:tcBorders>
            <w:shd w:val="clear" w:color="auto" w:fill="FFFF00"/>
            <w:vAlign w:val="center"/>
          </w:tcPr>
          <w:p w14:paraId="35362A19"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23DA4E44"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7F53984B"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Інші</w:t>
            </w:r>
          </w:p>
        </w:tc>
        <w:tc>
          <w:tcPr>
            <w:tcW w:w="1870" w:type="dxa"/>
            <w:tcBorders>
              <w:top w:val="nil"/>
              <w:left w:val="nil"/>
              <w:bottom w:val="single" w:sz="4" w:space="0" w:color="000000"/>
              <w:right w:val="single" w:sz="4" w:space="0" w:color="000000"/>
            </w:tcBorders>
            <w:shd w:val="clear" w:color="auto" w:fill="auto"/>
            <w:vAlign w:val="center"/>
          </w:tcPr>
          <w:p w14:paraId="45067599" w14:textId="77777777" w:rsidR="001C6B1B" w:rsidRDefault="001C6B1B">
            <w:pPr>
              <w:spacing w:after="0" w:line="240" w:lineRule="auto"/>
              <w:jc w:val="center"/>
              <w:rPr>
                <w:rFonts w:ascii="Times New Roman" w:eastAsia="Times New Roman" w:hAnsi="Times New Roman" w:cs="Times New Roman"/>
                <w:color w:val="000000"/>
              </w:rPr>
            </w:pPr>
          </w:p>
        </w:tc>
      </w:tr>
      <w:tr w:rsidR="001C6B1B" w14:paraId="54497586" w14:textId="77777777" w:rsidTr="001C6B1B">
        <w:trPr>
          <w:trHeight w:val="20"/>
          <w:jc w:val="center"/>
        </w:trPr>
        <w:tc>
          <w:tcPr>
            <w:tcW w:w="5613" w:type="dxa"/>
            <w:tcBorders>
              <w:top w:val="nil"/>
              <w:left w:val="single" w:sz="8" w:space="0" w:color="000000"/>
              <w:bottom w:val="single" w:sz="4" w:space="0" w:color="000000"/>
              <w:right w:val="single" w:sz="8" w:space="0" w:color="000000"/>
            </w:tcBorders>
            <w:shd w:val="clear" w:color="auto" w:fill="D9D9D9"/>
            <w:vAlign w:val="center"/>
          </w:tcPr>
          <w:p w14:paraId="08F95ED3"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Промисловість</w:t>
            </w:r>
          </w:p>
        </w:tc>
        <w:tc>
          <w:tcPr>
            <w:tcW w:w="1870" w:type="dxa"/>
            <w:tcBorders>
              <w:top w:val="nil"/>
              <w:left w:val="nil"/>
              <w:bottom w:val="single" w:sz="4" w:space="0" w:color="000000"/>
              <w:right w:val="single" w:sz="4" w:space="0" w:color="000000"/>
            </w:tcBorders>
            <w:shd w:val="clear" w:color="auto" w:fill="D9D9D9"/>
            <w:vAlign w:val="center"/>
          </w:tcPr>
          <w:p w14:paraId="61B76924" w14:textId="77777777" w:rsidR="001C6B1B" w:rsidRDefault="001C6B1B">
            <w:pPr>
              <w:spacing w:after="0" w:line="240" w:lineRule="auto"/>
              <w:jc w:val="center"/>
              <w:rPr>
                <w:rFonts w:ascii="Times New Roman" w:eastAsia="Times New Roman" w:hAnsi="Times New Roman" w:cs="Times New Roman"/>
                <w:color w:val="000000"/>
              </w:rPr>
            </w:pPr>
          </w:p>
        </w:tc>
      </w:tr>
      <w:tr w:rsidR="001C6B1B" w14:paraId="376A66D7" w14:textId="77777777" w:rsidTr="001C6B1B">
        <w:trPr>
          <w:trHeight w:val="20"/>
          <w:jc w:val="center"/>
        </w:trPr>
        <w:tc>
          <w:tcPr>
            <w:tcW w:w="5613" w:type="dxa"/>
            <w:tcBorders>
              <w:top w:val="single" w:sz="4" w:space="0" w:color="000000"/>
              <w:left w:val="single" w:sz="8" w:space="0" w:color="000000"/>
              <w:bottom w:val="single" w:sz="8" w:space="0" w:color="000000"/>
              <w:right w:val="single" w:sz="8" w:space="0" w:color="000000"/>
            </w:tcBorders>
            <w:shd w:val="clear" w:color="auto" w:fill="auto"/>
            <w:vAlign w:val="center"/>
          </w:tcPr>
          <w:p w14:paraId="212E81A7"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Промисловість (не СТВ)</w:t>
            </w:r>
          </w:p>
        </w:tc>
        <w:tc>
          <w:tcPr>
            <w:tcW w:w="1870" w:type="dxa"/>
            <w:tcBorders>
              <w:top w:val="single" w:sz="4" w:space="0" w:color="000000"/>
              <w:left w:val="nil"/>
              <w:bottom w:val="nil"/>
              <w:right w:val="single" w:sz="4" w:space="0" w:color="000000"/>
            </w:tcBorders>
            <w:shd w:val="clear" w:color="auto" w:fill="auto"/>
            <w:vAlign w:val="bottom"/>
          </w:tcPr>
          <w:p w14:paraId="1030B3B2"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31501E7E" w14:textId="77777777" w:rsidTr="001C6B1B">
        <w:trPr>
          <w:trHeight w:val="20"/>
          <w:jc w:val="center"/>
        </w:trPr>
        <w:tc>
          <w:tcPr>
            <w:tcW w:w="5613" w:type="dxa"/>
            <w:tcBorders>
              <w:top w:val="single" w:sz="4" w:space="0" w:color="000000"/>
              <w:left w:val="single" w:sz="8" w:space="0" w:color="000000"/>
              <w:bottom w:val="single" w:sz="8" w:space="0" w:color="000000"/>
              <w:right w:val="single" w:sz="8" w:space="0" w:color="000000"/>
            </w:tcBorders>
            <w:shd w:val="clear" w:color="auto" w:fill="auto"/>
            <w:vAlign w:val="center"/>
          </w:tcPr>
          <w:p w14:paraId="07F82245"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Промисловість СТВ</w:t>
            </w:r>
          </w:p>
        </w:tc>
        <w:tc>
          <w:tcPr>
            <w:tcW w:w="1870" w:type="dxa"/>
            <w:tcBorders>
              <w:top w:val="single" w:sz="4" w:space="0" w:color="000000"/>
              <w:left w:val="nil"/>
              <w:bottom w:val="nil"/>
              <w:right w:val="single" w:sz="4" w:space="0" w:color="000000"/>
            </w:tcBorders>
            <w:shd w:val="clear" w:color="auto" w:fill="auto"/>
            <w:vAlign w:val="bottom"/>
          </w:tcPr>
          <w:p w14:paraId="55477493" w14:textId="77777777" w:rsidR="001C6B1B" w:rsidRDefault="001C6B1B">
            <w:pPr>
              <w:spacing w:after="0" w:line="240" w:lineRule="auto"/>
              <w:rPr>
                <w:rFonts w:ascii="Times New Roman" w:eastAsia="Times New Roman" w:hAnsi="Times New Roman" w:cs="Times New Roman"/>
                <w:color w:val="000000"/>
              </w:rPr>
            </w:pPr>
          </w:p>
        </w:tc>
      </w:tr>
      <w:tr w:rsidR="001C6B1B" w14:paraId="62655A24"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D9D9D9"/>
            <w:vAlign w:val="center"/>
          </w:tcPr>
          <w:p w14:paraId="69AEA19C"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Транспорт</w:t>
            </w:r>
          </w:p>
        </w:tc>
        <w:tc>
          <w:tcPr>
            <w:tcW w:w="1870" w:type="dxa"/>
            <w:tcBorders>
              <w:top w:val="single" w:sz="8" w:space="0" w:color="000000"/>
              <w:left w:val="nil"/>
              <w:bottom w:val="single" w:sz="8" w:space="0" w:color="000000"/>
              <w:right w:val="single" w:sz="4" w:space="0" w:color="000000"/>
            </w:tcBorders>
            <w:shd w:val="clear" w:color="auto" w:fill="FFFF00"/>
            <w:vAlign w:val="center"/>
          </w:tcPr>
          <w:p w14:paraId="6B7AD5B4"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16B3493F"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65400BBD"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Залізничний транспорт</w:t>
            </w:r>
          </w:p>
        </w:tc>
        <w:tc>
          <w:tcPr>
            <w:tcW w:w="1870" w:type="dxa"/>
            <w:vMerge w:val="restart"/>
            <w:tcBorders>
              <w:top w:val="nil"/>
              <w:left w:val="nil"/>
              <w:right w:val="single" w:sz="4" w:space="0" w:color="000000"/>
            </w:tcBorders>
            <w:shd w:val="clear" w:color="auto" w:fill="FFFF00"/>
            <w:vAlign w:val="center"/>
          </w:tcPr>
          <w:p w14:paraId="650F4ABE" w14:textId="77777777" w:rsidR="001C6B1B" w:rsidRDefault="001C6B1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r>
      <w:tr w:rsidR="001C6B1B" w14:paraId="38362325"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770DB0C7"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Муніципальний автотранспорт</w:t>
            </w:r>
          </w:p>
        </w:tc>
        <w:tc>
          <w:tcPr>
            <w:tcW w:w="1870" w:type="dxa"/>
            <w:vMerge/>
            <w:tcBorders>
              <w:top w:val="nil"/>
              <w:left w:val="nil"/>
              <w:right w:val="single" w:sz="4" w:space="0" w:color="000000"/>
            </w:tcBorders>
            <w:shd w:val="clear" w:color="auto" w:fill="FFFF00"/>
            <w:vAlign w:val="center"/>
          </w:tcPr>
          <w:p w14:paraId="6343B9A7" w14:textId="77777777" w:rsidR="001C6B1B" w:rsidRDefault="001C6B1B">
            <w:pPr>
              <w:widowControl w:val="0"/>
              <w:pBdr>
                <w:top w:val="nil"/>
                <w:left w:val="nil"/>
                <w:bottom w:val="nil"/>
                <w:right w:val="nil"/>
                <w:between w:val="nil"/>
              </w:pBdr>
              <w:spacing w:after="0"/>
              <w:rPr>
                <w:rFonts w:ascii="Times New Roman" w:eastAsia="Times New Roman" w:hAnsi="Times New Roman" w:cs="Times New Roman"/>
              </w:rPr>
            </w:pPr>
          </w:p>
        </w:tc>
      </w:tr>
      <w:tr w:rsidR="001C6B1B" w14:paraId="5A703C0B" w14:textId="77777777" w:rsidTr="001C6B1B">
        <w:trPr>
          <w:trHeight w:val="20"/>
          <w:jc w:val="center"/>
        </w:trPr>
        <w:tc>
          <w:tcPr>
            <w:tcW w:w="5613" w:type="dxa"/>
            <w:tcBorders>
              <w:top w:val="nil"/>
              <w:left w:val="single" w:sz="8" w:space="0" w:color="000000"/>
              <w:bottom w:val="single" w:sz="8" w:space="0" w:color="000000"/>
              <w:right w:val="single" w:sz="8" w:space="0" w:color="000000"/>
            </w:tcBorders>
            <w:shd w:val="clear" w:color="auto" w:fill="auto"/>
            <w:vAlign w:val="center"/>
          </w:tcPr>
          <w:p w14:paraId="0FEF165D"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Громадський автотранспорт</w:t>
            </w:r>
          </w:p>
        </w:tc>
        <w:tc>
          <w:tcPr>
            <w:tcW w:w="1870" w:type="dxa"/>
            <w:vMerge/>
            <w:tcBorders>
              <w:top w:val="nil"/>
              <w:left w:val="nil"/>
              <w:right w:val="single" w:sz="4" w:space="0" w:color="000000"/>
            </w:tcBorders>
            <w:shd w:val="clear" w:color="auto" w:fill="FFFF00"/>
            <w:vAlign w:val="center"/>
          </w:tcPr>
          <w:p w14:paraId="6239B20B" w14:textId="77777777" w:rsidR="001C6B1B" w:rsidRDefault="001C6B1B">
            <w:pPr>
              <w:widowControl w:val="0"/>
              <w:pBdr>
                <w:top w:val="nil"/>
                <w:left w:val="nil"/>
                <w:bottom w:val="nil"/>
                <w:right w:val="nil"/>
                <w:between w:val="nil"/>
              </w:pBdr>
              <w:spacing w:after="0"/>
              <w:rPr>
                <w:rFonts w:ascii="Times New Roman" w:eastAsia="Times New Roman" w:hAnsi="Times New Roman" w:cs="Times New Roman"/>
              </w:rPr>
            </w:pPr>
          </w:p>
        </w:tc>
      </w:tr>
      <w:tr w:rsidR="001C6B1B" w14:paraId="5FDF5E0D" w14:textId="77777777" w:rsidTr="001C6B1B">
        <w:trPr>
          <w:trHeight w:val="20"/>
          <w:jc w:val="center"/>
        </w:trPr>
        <w:tc>
          <w:tcPr>
            <w:tcW w:w="5613" w:type="dxa"/>
            <w:tcBorders>
              <w:top w:val="nil"/>
              <w:left w:val="single" w:sz="8" w:space="0" w:color="000000"/>
              <w:bottom w:val="nil"/>
              <w:right w:val="single" w:sz="8" w:space="0" w:color="000000"/>
            </w:tcBorders>
            <w:shd w:val="clear" w:color="auto" w:fill="auto"/>
            <w:vAlign w:val="center"/>
          </w:tcPr>
          <w:p w14:paraId="1EBC48FD"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Приватний та комерційний автотранспорт</w:t>
            </w:r>
          </w:p>
        </w:tc>
        <w:tc>
          <w:tcPr>
            <w:tcW w:w="1870" w:type="dxa"/>
            <w:vMerge/>
            <w:tcBorders>
              <w:top w:val="nil"/>
              <w:left w:val="nil"/>
              <w:right w:val="single" w:sz="4" w:space="0" w:color="000000"/>
            </w:tcBorders>
            <w:shd w:val="clear" w:color="auto" w:fill="FFFF00"/>
            <w:vAlign w:val="center"/>
          </w:tcPr>
          <w:p w14:paraId="3848E754" w14:textId="77777777" w:rsidR="001C6B1B" w:rsidRDefault="001C6B1B">
            <w:pPr>
              <w:widowControl w:val="0"/>
              <w:pBdr>
                <w:top w:val="nil"/>
                <w:left w:val="nil"/>
                <w:bottom w:val="nil"/>
                <w:right w:val="nil"/>
                <w:between w:val="nil"/>
              </w:pBdr>
              <w:spacing w:after="0"/>
              <w:rPr>
                <w:rFonts w:ascii="Times New Roman" w:eastAsia="Times New Roman" w:hAnsi="Times New Roman" w:cs="Times New Roman"/>
              </w:rPr>
            </w:pPr>
          </w:p>
        </w:tc>
      </w:tr>
      <w:tr w:rsidR="001C6B1B" w14:paraId="3BA563AD" w14:textId="77777777" w:rsidTr="001C6B1B">
        <w:trPr>
          <w:trHeight w:val="20"/>
          <w:jc w:val="center"/>
        </w:trPr>
        <w:tc>
          <w:tcPr>
            <w:tcW w:w="5613" w:type="dxa"/>
            <w:tcBorders>
              <w:top w:val="single" w:sz="8" w:space="0" w:color="000000"/>
              <w:left w:val="single" w:sz="8" w:space="0" w:color="000000"/>
              <w:bottom w:val="single" w:sz="4" w:space="0" w:color="000000"/>
              <w:right w:val="single" w:sz="8" w:space="0" w:color="000000"/>
            </w:tcBorders>
            <w:shd w:val="clear" w:color="auto" w:fill="D9D9D9"/>
            <w:vAlign w:val="center"/>
          </w:tcPr>
          <w:p w14:paraId="1727FF14"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Інше</w:t>
            </w:r>
          </w:p>
        </w:tc>
        <w:tc>
          <w:tcPr>
            <w:tcW w:w="1870" w:type="dxa"/>
            <w:tcBorders>
              <w:top w:val="nil"/>
              <w:left w:val="nil"/>
              <w:bottom w:val="single" w:sz="4" w:space="0" w:color="000000"/>
              <w:right w:val="single" w:sz="4" w:space="0" w:color="000000"/>
            </w:tcBorders>
            <w:shd w:val="clear" w:color="auto" w:fill="D9D9D9"/>
            <w:vAlign w:val="bottom"/>
          </w:tcPr>
          <w:p w14:paraId="74715A62"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4C0EE9B1" w14:textId="77777777" w:rsidTr="001C6B1B">
        <w:trPr>
          <w:trHeight w:val="20"/>
          <w:jc w:val="center"/>
        </w:trPr>
        <w:tc>
          <w:tcPr>
            <w:tcW w:w="5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DCA46"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lastRenderedPageBreak/>
              <w:t>Сільське, лісове, рибне господарство</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775C4E3"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5B7DB94C" w14:textId="77777777" w:rsidTr="001C6B1B">
        <w:trPr>
          <w:trHeight w:val="20"/>
          <w:jc w:val="center"/>
        </w:trPr>
        <w:tc>
          <w:tcPr>
            <w:tcW w:w="5613" w:type="dxa"/>
            <w:tcBorders>
              <w:top w:val="single" w:sz="4" w:space="0" w:color="000000"/>
              <w:left w:val="single" w:sz="8" w:space="0" w:color="000000"/>
              <w:bottom w:val="single" w:sz="4" w:space="0" w:color="000000"/>
              <w:right w:val="single" w:sz="8" w:space="0" w:color="000000"/>
            </w:tcBorders>
            <w:shd w:val="clear" w:color="auto" w:fill="auto"/>
            <w:vAlign w:val="center"/>
          </w:tcPr>
          <w:p w14:paraId="73281219"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Інше</w:t>
            </w:r>
          </w:p>
        </w:tc>
        <w:tc>
          <w:tcPr>
            <w:tcW w:w="1870" w:type="dxa"/>
            <w:tcBorders>
              <w:top w:val="single" w:sz="4" w:space="0" w:color="000000"/>
              <w:left w:val="nil"/>
              <w:bottom w:val="single" w:sz="4" w:space="0" w:color="000000"/>
              <w:right w:val="single" w:sz="4" w:space="0" w:color="000000"/>
            </w:tcBorders>
            <w:shd w:val="clear" w:color="auto" w:fill="auto"/>
            <w:vAlign w:val="bottom"/>
          </w:tcPr>
          <w:p w14:paraId="634B5160" w14:textId="77777777" w:rsidR="001C6B1B" w:rsidRDefault="001C6B1B">
            <w:pPr>
              <w:spacing w:after="0" w:line="240" w:lineRule="auto"/>
              <w:rPr>
                <w:rFonts w:ascii="Times New Roman" w:eastAsia="Times New Roman" w:hAnsi="Times New Roman" w:cs="Times New Roman"/>
                <w:color w:val="000000"/>
              </w:rPr>
            </w:pPr>
          </w:p>
        </w:tc>
      </w:tr>
      <w:tr w:rsidR="001C6B1B" w14:paraId="700EAE59" w14:textId="77777777" w:rsidTr="001C6B1B">
        <w:trPr>
          <w:trHeight w:val="20"/>
          <w:jc w:val="center"/>
        </w:trPr>
        <w:tc>
          <w:tcPr>
            <w:tcW w:w="5613" w:type="dxa"/>
            <w:tcBorders>
              <w:top w:val="single" w:sz="4" w:space="0" w:color="000000"/>
              <w:left w:val="single" w:sz="8" w:space="0" w:color="000000"/>
              <w:bottom w:val="single" w:sz="8" w:space="0" w:color="000000"/>
              <w:right w:val="nil"/>
            </w:tcBorders>
            <w:shd w:val="clear" w:color="auto" w:fill="D9D9D9"/>
            <w:vAlign w:val="center"/>
          </w:tcPr>
          <w:p w14:paraId="013A8842" w14:textId="77777777" w:rsidR="001C6B1B" w:rsidRDefault="001C6B1B">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Сектори, що не пов’язані з енергетикою</w:t>
            </w:r>
          </w:p>
        </w:tc>
        <w:tc>
          <w:tcPr>
            <w:tcW w:w="1870" w:type="dxa"/>
            <w:tcBorders>
              <w:top w:val="single" w:sz="4" w:space="0" w:color="000000"/>
              <w:left w:val="single" w:sz="8" w:space="0" w:color="000000"/>
              <w:bottom w:val="single" w:sz="8" w:space="0" w:color="000000"/>
              <w:right w:val="single" w:sz="4" w:space="0" w:color="000000"/>
            </w:tcBorders>
            <w:shd w:val="clear" w:color="auto" w:fill="D9D9D9"/>
            <w:vAlign w:val="bottom"/>
          </w:tcPr>
          <w:p w14:paraId="3D89F1D1"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1E01B498" w14:textId="77777777" w:rsidTr="001C6B1B">
        <w:trPr>
          <w:trHeight w:val="20"/>
          <w:jc w:val="center"/>
        </w:trPr>
        <w:tc>
          <w:tcPr>
            <w:tcW w:w="5613" w:type="dxa"/>
            <w:tcBorders>
              <w:top w:val="nil"/>
              <w:left w:val="single" w:sz="8" w:space="0" w:color="000000"/>
              <w:bottom w:val="single" w:sz="4" w:space="0" w:color="000000"/>
              <w:right w:val="nil"/>
            </w:tcBorders>
            <w:shd w:val="clear" w:color="auto" w:fill="auto"/>
            <w:vAlign w:val="center"/>
          </w:tcPr>
          <w:p w14:paraId="7E438650"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Управління відходами</w:t>
            </w:r>
          </w:p>
        </w:tc>
        <w:tc>
          <w:tcPr>
            <w:tcW w:w="1870" w:type="dxa"/>
            <w:tcBorders>
              <w:top w:val="nil"/>
              <w:left w:val="single" w:sz="8" w:space="0" w:color="000000"/>
              <w:bottom w:val="single" w:sz="4" w:space="0" w:color="000000"/>
              <w:right w:val="single" w:sz="4" w:space="0" w:color="000000"/>
            </w:tcBorders>
            <w:shd w:val="clear" w:color="auto" w:fill="auto"/>
            <w:vAlign w:val="bottom"/>
          </w:tcPr>
          <w:p w14:paraId="7F84A02C"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23A2B4B3" w14:textId="77777777" w:rsidTr="001C6B1B">
        <w:trPr>
          <w:trHeight w:val="20"/>
          <w:jc w:val="center"/>
        </w:trPr>
        <w:tc>
          <w:tcPr>
            <w:tcW w:w="5613" w:type="dxa"/>
            <w:tcBorders>
              <w:top w:val="single" w:sz="4" w:space="0" w:color="000000"/>
              <w:left w:val="single" w:sz="8" w:space="0" w:color="000000"/>
              <w:bottom w:val="single" w:sz="8" w:space="0" w:color="000000"/>
              <w:right w:val="nil"/>
            </w:tcBorders>
            <w:shd w:val="clear" w:color="auto" w:fill="auto"/>
            <w:vAlign w:val="center"/>
          </w:tcPr>
          <w:p w14:paraId="4279E164"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Управління стічними водами</w:t>
            </w:r>
          </w:p>
        </w:tc>
        <w:tc>
          <w:tcPr>
            <w:tcW w:w="1870" w:type="dxa"/>
            <w:tcBorders>
              <w:top w:val="single" w:sz="4" w:space="0" w:color="000000"/>
              <w:left w:val="single" w:sz="8" w:space="0" w:color="000000"/>
              <w:bottom w:val="single" w:sz="4" w:space="0" w:color="000000"/>
              <w:right w:val="single" w:sz="4" w:space="0" w:color="000000"/>
            </w:tcBorders>
            <w:shd w:val="clear" w:color="auto" w:fill="auto"/>
            <w:vAlign w:val="bottom"/>
          </w:tcPr>
          <w:p w14:paraId="58C89FAE"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1C6B1B" w14:paraId="2517406D" w14:textId="77777777" w:rsidTr="001C6B1B">
        <w:trPr>
          <w:trHeight w:val="20"/>
          <w:jc w:val="center"/>
        </w:trPr>
        <w:tc>
          <w:tcPr>
            <w:tcW w:w="5613" w:type="dxa"/>
            <w:tcBorders>
              <w:top w:val="nil"/>
              <w:left w:val="single" w:sz="8" w:space="0" w:color="000000"/>
              <w:bottom w:val="single" w:sz="8" w:space="0" w:color="000000"/>
              <w:right w:val="nil"/>
            </w:tcBorders>
            <w:shd w:val="clear" w:color="auto" w:fill="auto"/>
            <w:vAlign w:val="center"/>
          </w:tcPr>
          <w:p w14:paraId="33FAEC61" w14:textId="77777777" w:rsidR="001C6B1B" w:rsidRDefault="001C6B1B">
            <w:pPr>
              <w:spacing w:after="0" w:line="240" w:lineRule="auto"/>
              <w:rPr>
                <w:rFonts w:ascii="Times New Roman" w:eastAsia="Times New Roman" w:hAnsi="Times New Roman" w:cs="Times New Roman"/>
              </w:rPr>
            </w:pPr>
            <w:r>
              <w:rPr>
                <w:rFonts w:ascii="Times New Roman" w:eastAsia="Times New Roman" w:hAnsi="Times New Roman" w:cs="Times New Roman"/>
              </w:rPr>
              <w:t>Інші неенергетичні джерела</w:t>
            </w:r>
          </w:p>
        </w:tc>
        <w:tc>
          <w:tcPr>
            <w:tcW w:w="1870" w:type="dxa"/>
            <w:tcBorders>
              <w:top w:val="nil"/>
              <w:left w:val="single" w:sz="8" w:space="0" w:color="000000"/>
              <w:bottom w:val="single" w:sz="8" w:space="0" w:color="000000"/>
              <w:right w:val="single" w:sz="4" w:space="0" w:color="000000"/>
            </w:tcBorders>
            <w:shd w:val="clear" w:color="auto" w:fill="auto"/>
            <w:vAlign w:val="bottom"/>
          </w:tcPr>
          <w:p w14:paraId="3C4B054D" w14:textId="77777777" w:rsidR="001C6B1B" w:rsidRDefault="001C6B1B">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080F6D31" w14:textId="77777777" w:rsidR="00C82386" w:rsidRDefault="00E66F64">
      <w:pPr>
        <w:spacing w:before="240"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оптимізації результатів від пріоритетних дій та заходів, направлених на зниження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необхідно врахувати місцеві умови та майбутні перспективи розвитку Житомирської міської територіальної громади. Основними критеріями для обрання рекомендованих секторів до включення в БКВ є:</w:t>
      </w:r>
    </w:p>
    <w:p w14:paraId="52DCB13D"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важливість для міської громади (соціальна важливість);</w:t>
      </w:r>
    </w:p>
    <w:p w14:paraId="7788531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розмір витрат з міського бюджету (фінансова складова);</w:t>
      </w:r>
    </w:p>
    <w:p w14:paraId="43E882B4"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наявність або запланованість проектів у сфері енергозбереження;</w:t>
      </w:r>
    </w:p>
    <w:p w14:paraId="49EB1C37"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регуляторний вплив міської влади на сектор;</w:t>
      </w:r>
    </w:p>
    <w:p w14:paraId="5BA6483D"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можливість контролю над витратами енергії у секторі з боку міської влади.</w:t>
      </w:r>
    </w:p>
    <w:p w14:paraId="152E3955"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таблиці 4.2. приведені дані щодо обгрунтування при виборі секторів кінцевих споживачів базового кадастру та вказані сектори, що обрані.</w:t>
      </w:r>
    </w:p>
    <w:p w14:paraId="295A3E4F" w14:textId="77777777" w:rsidR="00C82386" w:rsidRDefault="00E66F64">
      <w:pPr>
        <w:spacing w:after="0"/>
        <w:ind w:firstLine="708"/>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4.2.</w:t>
      </w:r>
    </w:p>
    <w:p w14:paraId="06151AAB"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Обрання секторів кінцевих споживачів енергоресурсів до включення у БКВ</w:t>
      </w:r>
    </w:p>
    <w:tbl>
      <w:tblPr>
        <w:tblStyle w:val="afffff5"/>
        <w:tblW w:w="9640" w:type="dxa"/>
        <w:tblInd w:w="-149" w:type="dxa"/>
        <w:tblLayout w:type="fixed"/>
        <w:tblLook w:val="0400" w:firstRow="0" w:lastRow="0" w:firstColumn="0" w:lastColumn="0" w:noHBand="0" w:noVBand="1"/>
      </w:tblPr>
      <w:tblGrid>
        <w:gridCol w:w="3097"/>
        <w:gridCol w:w="1140"/>
        <w:gridCol w:w="2493"/>
        <w:gridCol w:w="2910"/>
      </w:tblGrid>
      <w:tr w:rsidR="00C82386" w14:paraId="6885FB74" w14:textId="77777777" w:rsidTr="0033187F">
        <w:trPr>
          <w:trHeight w:val="955"/>
        </w:trPr>
        <w:tc>
          <w:tcPr>
            <w:tcW w:w="30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2ACCDE9"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Сектора кінцевих споживачів енергоресурсів</w:t>
            </w:r>
          </w:p>
        </w:tc>
        <w:tc>
          <w:tcPr>
            <w:tcW w:w="1140" w:type="dxa"/>
            <w:tcBorders>
              <w:top w:val="single" w:sz="8" w:space="0" w:color="000000"/>
              <w:left w:val="single" w:sz="8" w:space="0" w:color="000000"/>
              <w:bottom w:val="nil"/>
              <w:right w:val="single" w:sz="8" w:space="0" w:color="000000"/>
            </w:tcBorders>
            <w:shd w:val="clear" w:color="auto" w:fill="auto"/>
            <w:vAlign w:val="center"/>
          </w:tcPr>
          <w:p w14:paraId="6A6461E5"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Ключові сектори</w:t>
            </w:r>
          </w:p>
        </w:tc>
        <w:tc>
          <w:tcPr>
            <w:tcW w:w="2493" w:type="dxa"/>
            <w:tcBorders>
              <w:top w:val="single" w:sz="8" w:space="0" w:color="000000"/>
              <w:left w:val="single" w:sz="8" w:space="0" w:color="000000"/>
              <w:bottom w:val="single" w:sz="4" w:space="0" w:color="000000"/>
              <w:right w:val="single" w:sz="8" w:space="0" w:color="000000"/>
            </w:tcBorders>
            <w:vAlign w:val="center"/>
          </w:tcPr>
          <w:p w14:paraId="280C90F1"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Обґрунтування обрання сектору</w:t>
            </w:r>
          </w:p>
        </w:tc>
        <w:tc>
          <w:tcPr>
            <w:tcW w:w="29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2145F8"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Обрані Сектори кінцевих споживачів</w:t>
            </w:r>
          </w:p>
        </w:tc>
      </w:tr>
      <w:tr w:rsidR="00C82386" w14:paraId="48C467F8"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14:paraId="770C9277"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Муніципальні будівлі, обладнання/об’єкти</w:t>
            </w:r>
          </w:p>
        </w:tc>
        <w:tc>
          <w:tcPr>
            <w:tcW w:w="1140" w:type="dxa"/>
            <w:tcBorders>
              <w:top w:val="single" w:sz="8" w:space="0" w:color="000000"/>
              <w:left w:val="nil"/>
              <w:bottom w:val="single" w:sz="8" w:space="0" w:color="000000"/>
              <w:right w:val="single" w:sz="4" w:space="0" w:color="000000"/>
            </w:tcBorders>
            <w:shd w:val="clear" w:color="auto" w:fill="F2F2F2"/>
            <w:vAlign w:val="center"/>
          </w:tcPr>
          <w:p w14:paraId="385BCCB4"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4C8D767" w14:textId="77777777" w:rsidR="00C82386" w:rsidRDefault="00C82386">
            <w:pPr>
              <w:spacing w:after="0" w:line="240" w:lineRule="auto"/>
              <w:jc w:val="center"/>
              <w:rPr>
                <w:rFonts w:ascii="Times New Roman" w:eastAsia="Times New Roman" w:hAnsi="Times New Roman" w:cs="Times New Roman"/>
                <w:b/>
              </w:rPr>
            </w:pPr>
          </w:p>
        </w:tc>
        <w:tc>
          <w:tcPr>
            <w:tcW w:w="2910" w:type="dxa"/>
            <w:tcBorders>
              <w:top w:val="nil"/>
              <w:left w:val="single" w:sz="4" w:space="0" w:color="000000"/>
              <w:bottom w:val="single" w:sz="8" w:space="0" w:color="000000"/>
              <w:right w:val="single" w:sz="8" w:space="0" w:color="000000"/>
            </w:tcBorders>
            <w:shd w:val="clear" w:color="auto" w:fill="F2F2F2"/>
            <w:vAlign w:val="center"/>
          </w:tcPr>
          <w:p w14:paraId="17FC653C"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Муніципальні будівлі, обладнання/об’єкти</w:t>
            </w:r>
          </w:p>
        </w:tc>
      </w:tr>
      <w:tr w:rsidR="00C82386" w14:paraId="034634C7" w14:textId="77777777" w:rsidTr="0033187F">
        <w:trPr>
          <w:trHeight w:val="645"/>
        </w:trPr>
        <w:tc>
          <w:tcPr>
            <w:tcW w:w="3097" w:type="dxa"/>
            <w:tcBorders>
              <w:top w:val="nil"/>
              <w:left w:val="single" w:sz="8" w:space="0" w:color="000000"/>
              <w:bottom w:val="single" w:sz="8" w:space="0" w:color="000000"/>
              <w:right w:val="single" w:sz="8" w:space="0" w:color="000000"/>
            </w:tcBorders>
            <w:shd w:val="clear" w:color="auto" w:fill="auto"/>
            <w:vAlign w:val="center"/>
          </w:tcPr>
          <w:p w14:paraId="31D55F46"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Муніципальні будівлі, обладнання/об’єкти</w:t>
            </w:r>
          </w:p>
        </w:tc>
        <w:tc>
          <w:tcPr>
            <w:tcW w:w="1140" w:type="dxa"/>
            <w:tcBorders>
              <w:top w:val="nil"/>
              <w:left w:val="nil"/>
              <w:bottom w:val="single" w:sz="4" w:space="0" w:color="000000"/>
              <w:right w:val="single" w:sz="4" w:space="0" w:color="000000"/>
            </w:tcBorders>
            <w:shd w:val="clear" w:color="auto" w:fill="auto"/>
            <w:vAlign w:val="center"/>
          </w:tcPr>
          <w:p w14:paraId="61B4D386"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7123A660"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8" w:space="0" w:color="000000"/>
              <w:right w:val="single" w:sz="8" w:space="0" w:color="000000"/>
            </w:tcBorders>
            <w:shd w:val="clear" w:color="auto" w:fill="FFFF99"/>
            <w:vAlign w:val="center"/>
          </w:tcPr>
          <w:p w14:paraId="7FB2A3E3"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Муніципальні будівлі, обладнання/об’єкти</w:t>
            </w:r>
          </w:p>
        </w:tc>
      </w:tr>
      <w:tr w:rsidR="00C82386" w14:paraId="32BE8EB9"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14:paraId="37636CC4"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Муніципальне освітлення</w:t>
            </w:r>
          </w:p>
        </w:tc>
        <w:tc>
          <w:tcPr>
            <w:tcW w:w="1140" w:type="dxa"/>
            <w:tcBorders>
              <w:top w:val="nil"/>
              <w:left w:val="nil"/>
              <w:bottom w:val="single" w:sz="4" w:space="0" w:color="000000"/>
              <w:right w:val="single" w:sz="4" w:space="0" w:color="000000"/>
            </w:tcBorders>
            <w:shd w:val="clear" w:color="auto" w:fill="auto"/>
            <w:vAlign w:val="center"/>
          </w:tcPr>
          <w:p w14:paraId="7C507710"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35F4AC2E"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8" w:space="0" w:color="000000"/>
              <w:right w:val="single" w:sz="8" w:space="0" w:color="000000"/>
            </w:tcBorders>
            <w:shd w:val="clear" w:color="auto" w:fill="FFFF99"/>
            <w:vAlign w:val="center"/>
          </w:tcPr>
          <w:p w14:paraId="067E34DC"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Муніципальне освітлення</w:t>
            </w:r>
          </w:p>
        </w:tc>
      </w:tr>
      <w:tr w:rsidR="00C82386" w14:paraId="1AD42426"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14:paraId="53762EE4"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Третинні (не муніципальні) будівлі, обладнання/об’єкти</w:t>
            </w:r>
          </w:p>
        </w:tc>
        <w:tc>
          <w:tcPr>
            <w:tcW w:w="1140" w:type="dxa"/>
            <w:tcBorders>
              <w:top w:val="nil"/>
              <w:left w:val="nil"/>
              <w:bottom w:val="single" w:sz="4" w:space="0" w:color="000000"/>
              <w:right w:val="single" w:sz="4" w:space="0" w:color="000000"/>
            </w:tcBorders>
            <w:shd w:val="clear" w:color="auto" w:fill="F2F2F2"/>
            <w:vAlign w:val="center"/>
          </w:tcPr>
          <w:p w14:paraId="77F1B8F1" w14:textId="77777777" w:rsidR="00C82386" w:rsidRDefault="00C82386">
            <w:pPr>
              <w:spacing w:after="0" w:line="240" w:lineRule="auto"/>
              <w:jc w:val="center"/>
              <w:rPr>
                <w:rFonts w:ascii="Times New Roman" w:eastAsia="Times New Roman" w:hAnsi="Times New Roman" w:cs="Times New Roman"/>
                <w:color w:val="000000"/>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F50E6C5" w14:textId="77777777" w:rsidR="00C82386" w:rsidRDefault="00C82386">
            <w:pPr>
              <w:spacing w:after="0" w:line="240" w:lineRule="auto"/>
              <w:jc w:val="center"/>
              <w:rPr>
                <w:rFonts w:ascii="Times New Roman" w:eastAsia="Times New Roman" w:hAnsi="Times New Roman" w:cs="Times New Roman"/>
                <w:b/>
              </w:rPr>
            </w:pPr>
          </w:p>
        </w:tc>
        <w:tc>
          <w:tcPr>
            <w:tcW w:w="2910" w:type="dxa"/>
            <w:tcBorders>
              <w:top w:val="nil"/>
              <w:left w:val="single" w:sz="4" w:space="0" w:color="000000"/>
              <w:bottom w:val="single" w:sz="8" w:space="0" w:color="000000"/>
              <w:right w:val="single" w:sz="8" w:space="0" w:color="000000"/>
            </w:tcBorders>
            <w:shd w:val="clear" w:color="auto" w:fill="F2F2F2"/>
            <w:vAlign w:val="center"/>
          </w:tcPr>
          <w:p w14:paraId="2DB1D8BA"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Третинні (не муніципальні) будівлі, обладнання/об’єкти</w:t>
            </w:r>
          </w:p>
        </w:tc>
      </w:tr>
      <w:tr w:rsidR="00C82386" w14:paraId="37C08CC6"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14:paraId="577B91B5"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Житлові будинки</w:t>
            </w:r>
          </w:p>
        </w:tc>
        <w:tc>
          <w:tcPr>
            <w:tcW w:w="1140" w:type="dxa"/>
            <w:tcBorders>
              <w:top w:val="nil"/>
              <w:left w:val="nil"/>
              <w:bottom w:val="single" w:sz="4" w:space="0" w:color="000000"/>
              <w:right w:val="single" w:sz="4" w:space="0" w:color="000000"/>
            </w:tcBorders>
            <w:shd w:val="clear" w:color="auto" w:fill="auto"/>
            <w:vAlign w:val="center"/>
          </w:tcPr>
          <w:p w14:paraId="3A91A6AB"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00B3C6C4"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8" w:space="0" w:color="000000"/>
              <w:right w:val="single" w:sz="8" w:space="0" w:color="000000"/>
            </w:tcBorders>
            <w:shd w:val="clear" w:color="auto" w:fill="FFFF99"/>
            <w:vAlign w:val="center"/>
          </w:tcPr>
          <w:p w14:paraId="0BDCFC1D"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Житлові будинки</w:t>
            </w:r>
          </w:p>
        </w:tc>
      </w:tr>
      <w:tr w:rsidR="00C82386" w14:paraId="27C17EA4"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14:paraId="70E55BA9"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Третинні будівлі, обладнання/об’єкти</w:t>
            </w:r>
          </w:p>
        </w:tc>
        <w:tc>
          <w:tcPr>
            <w:tcW w:w="1140" w:type="dxa"/>
            <w:tcBorders>
              <w:top w:val="nil"/>
              <w:left w:val="nil"/>
              <w:bottom w:val="single" w:sz="4" w:space="0" w:color="000000"/>
              <w:right w:val="single" w:sz="4" w:space="0" w:color="000000"/>
            </w:tcBorders>
            <w:shd w:val="clear" w:color="auto" w:fill="auto"/>
            <w:vAlign w:val="center"/>
          </w:tcPr>
          <w:p w14:paraId="29FA4EBE"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02AB9BAE"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8" w:space="0" w:color="000000"/>
              <w:right w:val="single" w:sz="8" w:space="0" w:color="000000"/>
            </w:tcBorders>
            <w:shd w:val="clear" w:color="auto" w:fill="FFFF99"/>
            <w:vAlign w:val="center"/>
          </w:tcPr>
          <w:p w14:paraId="0C800EB9"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Третинні будівлі, обладнання/об’єкти</w:t>
            </w:r>
          </w:p>
        </w:tc>
      </w:tr>
      <w:tr w:rsidR="00C82386" w14:paraId="5D754266" w14:textId="77777777" w:rsidTr="0033187F">
        <w:trPr>
          <w:trHeight w:val="330"/>
        </w:trPr>
        <w:tc>
          <w:tcPr>
            <w:tcW w:w="3097" w:type="dxa"/>
            <w:tcBorders>
              <w:top w:val="nil"/>
              <w:left w:val="single" w:sz="8" w:space="0" w:color="000000"/>
              <w:bottom w:val="single" w:sz="4" w:space="0" w:color="000000"/>
              <w:right w:val="single" w:sz="8" w:space="0" w:color="000000"/>
            </w:tcBorders>
            <w:shd w:val="clear" w:color="auto" w:fill="F2F2F2"/>
            <w:vAlign w:val="center"/>
          </w:tcPr>
          <w:p w14:paraId="45242339"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Промисловість</w:t>
            </w:r>
          </w:p>
        </w:tc>
        <w:tc>
          <w:tcPr>
            <w:tcW w:w="1140" w:type="dxa"/>
            <w:tcBorders>
              <w:top w:val="nil"/>
              <w:left w:val="nil"/>
              <w:bottom w:val="single" w:sz="4" w:space="0" w:color="000000"/>
              <w:right w:val="single" w:sz="4" w:space="0" w:color="000000"/>
            </w:tcBorders>
            <w:shd w:val="clear" w:color="auto" w:fill="F2F2F2"/>
            <w:vAlign w:val="center"/>
          </w:tcPr>
          <w:p w14:paraId="16682181" w14:textId="77777777" w:rsidR="00C82386" w:rsidRDefault="00C82386">
            <w:pPr>
              <w:spacing w:after="0" w:line="240" w:lineRule="auto"/>
              <w:jc w:val="center"/>
              <w:rPr>
                <w:rFonts w:ascii="Times New Roman" w:eastAsia="Times New Roman" w:hAnsi="Times New Roman" w:cs="Times New Roman"/>
                <w:color w:val="000000"/>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3DA214A" w14:textId="77777777" w:rsidR="00C82386" w:rsidRDefault="00C82386">
            <w:pPr>
              <w:spacing w:after="0" w:line="240" w:lineRule="auto"/>
              <w:jc w:val="center"/>
              <w:rPr>
                <w:rFonts w:ascii="Times New Roman" w:eastAsia="Times New Roman" w:hAnsi="Times New Roman" w:cs="Times New Roman"/>
                <w:color w:val="000000"/>
              </w:rPr>
            </w:pPr>
          </w:p>
        </w:tc>
        <w:tc>
          <w:tcPr>
            <w:tcW w:w="2910" w:type="dxa"/>
            <w:tcBorders>
              <w:top w:val="nil"/>
              <w:left w:val="single" w:sz="4" w:space="0" w:color="000000"/>
              <w:bottom w:val="single" w:sz="4" w:space="0" w:color="000000"/>
              <w:right w:val="single" w:sz="8" w:space="0" w:color="000000"/>
            </w:tcBorders>
            <w:shd w:val="clear" w:color="auto" w:fill="F2F2F2"/>
            <w:vAlign w:val="center"/>
          </w:tcPr>
          <w:p w14:paraId="523BDC0A" w14:textId="77777777" w:rsidR="00C82386" w:rsidRDefault="00C82386">
            <w:pPr>
              <w:spacing w:after="0" w:line="240" w:lineRule="auto"/>
              <w:jc w:val="center"/>
              <w:rPr>
                <w:rFonts w:ascii="Times New Roman" w:eastAsia="Times New Roman" w:hAnsi="Times New Roman" w:cs="Times New Roman"/>
                <w:color w:val="000000"/>
              </w:rPr>
            </w:pPr>
          </w:p>
        </w:tc>
      </w:tr>
      <w:tr w:rsidR="00C82386" w14:paraId="5ACF6ADC" w14:textId="77777777" w:rsidTr="0033187F">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14:paraId="768129EE"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Промисловість (не СТВ)</w:t>
            </w:r>
          </w:p>
        </w:tc>
        <w:tc>
          <w:tcPr>
            <w:tcW w:w="1140" w:type="dxa"/>
            <w:tcBorders>
              <w:top w:val="single" w:sz="4" w:space="0" w:color="000000"/>
              <w:left w:val="nil"/>
              <w:bottom w:val="nil"/>
              <w:right w:val="single" w:sz="4" w:space="0" w:color="000000"/>
            </w:tcBorders>
            <w:shd w:val="clear" w:color="auto" w:fill="auto"/>
            <w:vAlign w:val="center"/>
          </w:tcPr>
          <w:p w14:paraId="5432785C"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vAlign w:val="center"/>
          </w:tcPr>
          <w:p w14:paraId="2F4046A7"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Відсутній вплив муніципалітету на сектор, немає запланованих проектів</w:t>
            </w:r>
          </w:p>
        </w:tc>
        <w:tc>
          <w:tcPr>
            <w:tcW w:w="2910"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FE3375A"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7A4D6336" w14:textId="77777777" w:rsidTr="0033187F">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14:paraId="62435ABA"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Промисловість СТВ</w:t>
            </w:r>
          </w:p>
        </w:tc>
        <w:tc>
          <w:tcPr>
            <w:tcW w:w="1140" w:type="dxa"/>
            <w:tcBorders>
              <w:top w:val="single" w:sz="4" w:space="0" w:color="000000"/>
              <w:left w:val="nil"/>
              <w:bottom w:val="nil"/>
              <w:right w:val="single" w:sz="4" w:space="0" w:color="000000"/>
            </w:tcBorders>
            <w:shd w:val="clear" w:color="auto" w:fill="auto"/>
            <w:vAlign w:val="center"/>
          </w:tcPr>
          <w:p w14:paraId="4CFC857C" w14:textId="77777777" w:rsidR="00C82386" w:rsidRDefault="00C82386">
            <w:pPr>
              <w:spacing w:after="0" w:line="240" w:lineRule="auto"/>
              <w:rPr>
                <w:rFonts w:ascii="Times New Roman" w:eastAsia="Times New Roman" w:hAnsi="Times New Roman" w:cs="Times New Roman"/>
                <w:color w:val="000000"/>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0E99BFD0"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Відсутній вплив муніципалітету на сектор, немає запланованих проектів</w:t>
            </w:r>
          </w:p>
        </w:tc>
        <w:tc>
          <w:tcPr>
            <w:tcW w:w="2910" w:type="dxa"/>
            <w:tcBorders>
              <w:top w:val="single" w:sz="4" w:space="0" w:color="000000"/>
              <w:left w:val="single" w:sz="4" w:space="0" w:color="000000"/>
              <w:bottom w:val="single" w:sz="8" w:space="0" w:color="000000"/>
              <w:right w:val="single" w:sz="8" w:space="0" w:color="000000"/>
            </w:tcBorders>
            <w:shd w:val="clear" w:color="auto" w:fill="auto"/>
            <w:vAlign w:val="center"/>
          </w:tcPr>
          <w:p w14:paraId="3B605944"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03809B50"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14:paraId="05E402D6"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Транспорт</w:t>
            </w:r>
          </w:p>
        </w:tc>
        <w:tc>
          <w:tcPr>
            <w:tcW w:w="1140" w:type="dxa"/>
            <w:tcBorders>
              <w:top w:val="single" w:sz="8" w:space="0" w:color="000000"/>
              <w:left w:val="nil"/>
              <w:bottom w:val="single" w:sz="8" w:space="0" w:color="000000"/>
              <w:right w:val="single" w:sz="4" w:space="0" w:color="000000"/>
            </w:tcBorders>
            <w:shd w:val="clear" w:color="auto" w:fill="F2F2F2"/>
            <w:vAlign w:val="center"/>
          </w:tcPr>
          <w:p w14:paraId="174D74BB"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83EB20"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8" w:space="0" w:color="000000"/>
              <w:right w:val="single" w:sz="8" w:space="0" w:color="000000"/>
            </w:tcBorders>
            <w:shd w:val="clear" w:color="auto" w:fill="F2F2F2"/>
            <w:vAlign w:val="center"/>
          </w:tcPr>
          <w:p w14:paraId="0CDFDF27"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Транспорт</w:t>
            </w:r>
          </w:p>
        </w:tc>
      </w:tr>
      <w:tr w:rsidR="00C82386" w14:paraId="05590E9A" w14:textId="77777777" w:rsidTr="0033187F">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14:paraId="77D2EBC1"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Залізничний транспорт</w:t>
            </w:r>
          </w:p>
        </w:tc>
        <w:tc>
          <w:tcPr>
            <w:tcW w:w="1140" w:type="dxa"/>
            <w:vMerge w:val="restart"/>
            <w:tcBorders>
              <w:top w:val="nil"/>
              <w:left w:val="nil"/>
              <w:right w:val="single" w:sz="4" w:space="0" w:color="000000"/>
            </w:tcBorders>
            <w:shd w:val="clear" w:color="auto" w:fill="auto"/>
            <w:vAlign w:val="center"/>
          </w:tcPr>
          <w:p w14:paraId="71AB44F2"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5280DF3D"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рекомендовано, якщо немає запланованих проектів</w:t>
            </w:r>
          </w:p>
        </w:tc>
        <w:tc>
          <w:tcPr>
            <w:tcW w:w="2910" w:type="dxa"/>
            <w:tcBorders>
              <w:top w:val="nil"/>
              <w:left w:val="single" w:sz="4" w:space="0" w:color="000000"/>
              <w:bottom w:val="single" w:sz="8" w:space="0" w:color="000000"/>
              <w:right w:val="single" w:sz="8" w:space="0" w:color="000000"/>
            </w:tcBorders>
            <w:shd w:val="clear" w:color="auto" w:fill="auto"/>
            <w:vAlign w:val="center"/>
          </w:tcPr>
          <w:p w14:paraId="35011395"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6AD6478C" w14:textId="77777777" w:rsidTr="0033187F">
        <w:trPr>
          <w:trHeight w:val="330"/>
        </w:trPr>
        <w:tc>
          <w:tcPr>
            <w:tcW w:w="3097" w:type="dxa"/>
            <w:tcBorders>
              <w:top w:val="nil"/>
              <w:left w:val="single" w:sz="8" w:space="0" w:color="000000"/>
              <w:bottom w:val="single" w:sz="4" w:space="0" w:color="000000"/>
              <w:right w:val="single" w:sz="8" w:space="0" w:color="000000"/>
            </w:tcBorders>
            <w:shd w:val="clear" w:color="auto" w:fill="auto"/>
            <w:vAlign w:val="center"/>
          </w:tcPr>
          <w:p w14:paraId="4491EAC2"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Муніципальний автотранспорт</w:t>
            </w:r>
          </w:p>
        </w:tc>
        <w:tc>
          <w:tcPr>
            <w:tcW w:w="1140" w:type="dxa"/>
            <w:vMerge/>
            <w:tcBorders>
              <w:top w:val="nil"/>
              <w:left w:val="nil"/>
              <w:right w:val="single" w:sz="4" w:space="0" w:color="000000"/>
            </w:tcBorders>
            <w:shd w:val="clear" w:color="auto" w:fill="auto"/>
            <w:vAlign w:val="center"/>
          </w:tcPr>
          <w:p w14:paraId="2CE7F2E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493" w:type="dxa"/>
            <w:vMerge w:val="restart"/>
            <w:tcBorders>
              <w:top w:val="single" w:sz="4" w:space="0" w:color="000000"/>
              <w:left w:val="single" w:sz="4" w:space="0" w:color="000000"/>
              <w:bottom w:val="single" w:sz="4" w:space="0" w:color="000000"/>
              <w:right w:val="single" w:sz="4" w:space="0" w:color="000000"/>
            </w:tcBorders>
            <w:vAlign w:val="center"/>
          </w:tcPr>
          <w:p w14:paraId="595DC335"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Ключовий сектор</w:t>
            </w:r>
          </w:p>
        </w:tc>
        <w:tc>
          <w:tcPr>
            <w:tcW w:w="2910" w:type="dxa"/>
            <w:tcBorders>
              <w:top w:val="nil"/>
              <w:left w:val="single" w:sz="4" w:space="0" w:color="000000"/>
              <w:bottom w:val="single" w:sz="4" w:space="0" w:color="000000"/>
              <w:right w:val="single" w:sz="8" w:space="0" w:color="000000"/>
            </w:tcBorders>
            <w:shd w:val="clear" w:color="auto" w:fill="FFFF99"/>
            <w:vAlign w:val="center"/>
          </w:tcPr>
          <w:p w14:paraId="7D16B2CC"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Муніципальний транспорт</w:t>
            </w:r>
          </w:p>
        </w:tc>
      </w:tr>
      <w:tr w:rsidR="00C82386" w14:paraId="5E34E69A" w14:textId="77777777" w:rsidTr="0033187F">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3C769"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Громадський автотранспорт</w:t>
            </w:r>
          </w:p>
        </w:tc>
        <w:tc>
          <w:tcPr>
            <w:tcW w:w="1140" w:type="dxa"/>
            <w:vMerge/>
            <w:tcBorders>
              <w:top w:val="nil"/>
              <w:left w:val="nil"/>
              <w:right w:val="single" w:sz="4" w:space="0" w:color="000000"/>
            </w:tcBorders>
            <w:shd w:val="clear" w:color="auto" w:fill="auto"/>
            <w:vAlign w:val="center"/>
          </w:tcPr>
          <w:p w14:paraId="0F85E33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493" w:type="dxa"/>
            <w:vMerge/>
            <w:tcBorders>
              <w:top w:val="single" w:sz="4" w:space="0" w:color="000000"/>
              <w:left w:val="single" w:sz="4" w:space="0" w:color="000000"/>
              <w:bottom w:val="single" w:sz="4" w:space="0" w:color="000000"/>
              <w:right w:val="single" w:sz="4" w:space="0" w:color="000000"/>
            </w:tcBorders>
            <w:vAlign w:val="center"/>
          </w:tcPr>
          <w:p w14:paraId="1E6B315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91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1150A775"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Громадський транспорт</w:t>
            </w:r>
          </w:p>
        </w:tc>
      </w:tr>
      <w:tr w:rsidR="00C82386" w14:paraId="3D93B0B7" w14:textId="77777777" w:rsidTr="0033187F">
        <w:trPr>
          <w:trHeight w:val="330"/>
        </w:trPr>
        <w:tc>
          <w:tcPr>
            <w:tcW w:w="3097" w:type="dxa"/>
            <w:tcBorders>
              <w:top w:val="single" w:sz="4" w:space="0" w:color="000000"/>
              <w:left w:val="single" w:sz="8" w:space="0" w:color="000000"/>
              <w:bottom w:val="nil"/>
              <w:right w:val="single" w:sz="8" w:space="0" w:color="000000"/>
            </w:tcBorders>
            <w:shd w:val="clear" w:color="auto" w:fill="auto"/>
            <w:vAlign w:val="center"/>
          </w:tcPr>
          <w:p w14:paraId="2E7F9D81"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lastRenderedPageBreak/>
              <w:t>Приватний та комерційний автотранспорт</w:t>
            </w:r>
          </w:p>
        </w:tc>
        <w:tc>
          <w:tcPr>
            <w:tcW w:w="1140" w:type="dxa"/>
            <w:vMerge/>
            <w:tcBorders>
              <w:top w:val="nil"/>
              <w:left w:val="nil"/>
              <w:right w:val="single" w:sz="4" w:space="0" w:color="000000"/>
            </w:tcBorders>
            <w:shd w:val="clear" w:color="auto" w:fill="auto"/>
            <w:vAlign w:val="center"/>
          </w:tcPr>
          <w:p w14:paraId="70CA257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493" w:type="dxa"/>
            <w:vMerge/>
            <w:tcBorders>
              <w:top w:val="single" w:sz="4" w:space="0" w:color="000000"/>
              <w:left w:val="single" w:sz="4" w:space="0" w:color="000000"/>
              <w:bottom w:val="single" w:sz="4" w:space="0" w:color="000000"/>
              <w:right w:val="single" w:sz="4" w:space="0" w:color="000000"/>
            </w:tcBorders>
            <w:vAlign w:val="center"/>
          </w:tcPr>
          <w:p w14:paraId="160D457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910" w:type="dxa"/>
            <w:tcBorders>
              <w:top w:val="single" w:sz="4" w:space="0" w:color="000000"/>
              <w:left w:val="single" w:sz="4" w:space="0" w:color="000000"/>
              <w:bottom w:val="single" w:sz="8" w:space="0" w:color="000000"/>
              <w:right w:val="single" w:sz="8" w:space="0" w:color="000000"/>
            </w:tcBorders>
            <w:shd w:val="clear" w:color="auto" w:fill="FFFF99"/>
            <w:vAlign w:val="center"/>
          </w:tcPr>
          <w:p w14:paraId="162FA9D9"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Приватний та комерційний</w:t>
            </w:r>
          </w:p>
        </w:tc>
      </w:tr>
      <w:tr w:rsidR="00C82386" w14:paraId="00B24BEA" w14:textId="77777777" w:rsidTr="0033187F">
        <w:trPr>
          <w:trHeight w:val="330"/>
        </w:trPr>
        <w:tc>
          <w:tcPr>
            <w:tcW w:w="3097" w:type="dxa"/>
            <w:tcBorders>
              <w:top w:val="single" w:sz="8" w:space="0" w:color="000000"/>
              <w:left w:val="single" w:sz="8" w:space="0" w:color="000000"/>
              <w:bottom w:val="single" w:sz="4" w:space="0" w:color="000000"/>
              <w:right w:val="single" w:sz="8" w:space="0" w:color="000000"/>
            </w:tcBorders>
            <w:shd w:val="clear" w:color="auto" w:fill="F2F2F2"/>
            <w:vAlign w:val="center"/>
          </w:tcPr>
          <w:p w14:paraId="65EF2FE0"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Інше</w:t>
            </w:r>
          </w:p>
        </w:tc>
        <w:tc>
          <w:tcPr>
            <w:tcW w:w="1140" w:type="dxa"/>
            <w:tcBorders>
              <w:top w:val="nil"/>
              <w:left w:val="nil"/>
              <w:bottom w:val="single" w:sz="4" w:space="0" w:color="000000"/>
              <w:right w:val="single" w:sz="4" w:space="0" w:color="000000"/>
            </w:tcBorders>
            <w:shd w:val="clear" w:color="auto" w:fill="F2F2F2"/>
            <w:vAlign w:val="center"/>
          </w:tcPr>
          <w:p w14:paraId="240C8496"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F472AAA" w14:textId="77777777" w:rsidR="00C82386" w:rsidRDefault="00C82386">
            <w:pPr>
              <w:spacing w:after="0" w:line="240" w:lineRule="auto"/>
              <w:jc w:val="center"/>
              <w:rPr>
                <w:rFonts w:ascii="Times New Roman" w:eastAsia="Times New Roman" w:hAnsi="Times New Roman" w:cs="Times New Roman"/>
                <w:b/>
              </w:rPr>
            </w:pPr>
          </w:p>
        </w:tc>
        <w:tc>
          <w:tcPr>
            <w:tcW w:w="2910" w:type="dxa"/>
            <w:tcBorders>
              <w:top w:val="nil"/>
              <w:left w:val="single" w:sz="4" w:space="0" w:color="000000"/>
              <w:bottom w:val="single" w:sz="4" w:space="0" w:color="000000"/>
              <w:right w:val="single" w:sz="8" w:space="0" w:color="000000"/>
            </w:tcBorders>
            <w:shd w:val="clear" w:color="auto" w:fill="F2F2F2"/>
            <w:vAlign w:val="center"/>
          </w:tcPr>
          <w:p w14:paraId="383C69C4"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Інше</w:t>
            </w:r>
          </w:p>
        </w:tc>
      </w:tr>
      <w:tr w:rsidR="00C82386" w14:paraId="2D71231A" w14:textId="77777777" w:rsidTr="0033187F">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14:paraId="5316FCF7"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Сільське, лісове, рибне господарство</w:t>
            </w:r>
          </w:p>
        </w:tc>
        <w:tc>
          <w:tcPr>
            <w:tcW w:w="1140" w:type="dxa"/>
            <w:tcBorders>
              <w:top w:val="single" w:sz="4" w:space="0" w:color="000000"/>
              <w:left w:val="nil"/>
              <w:bottom w:val="single" w:sz="4" w:space="0" w:color="000000"/>
              <w:right w:val="single" w:sz="4" w:space="0" w:color="000000"/>
            </w:tcBorders>
            <w:shd w:val="clear" w:color="auto" w:fill="auto"/>
            <w:vAlign w:val="center"/>
          </w:tcPr>
          <w:p w14:paraId="33F368F9"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vAlign w:val="center"/>
          </w:tcPr>
          <w:p w14:paraId="1C0EE436"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rPr>
              <w:t>Проекти не передбачені</w:t>
            </w:r>
          </w:p>
        </w:tc>
        <w:tc>
          <w:tcPr>
            <w:tcW w:w="2910" w:type="dxa"/>
            <w:tcBorders>
              <w:top w:val="single" w:sz="4" w:space="0" w:color="000000"/>
              <w:left w:val="single" w:sz="4" w:space="0" w:color="000000"/>
              <w:bottom w:val="single" w:sz="8" w:space="0" w:color="000000"/>
              <w:right w:val="single" w:sz="8" w:space="0" w:color="000000"/>
            </w:tcBorders>
            <w:shd w:val="clear" w:color="auto" w:fill="auto"/>
            <w:vAlign w:val="center"/>
          </w:tcPr>
          <w:p w14:paraId="0255B799"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6AF0B258" w14:textId="77777777" w:rsidTr="0033187F">
        <w:trPr>
          <w:trHeight w:val="330"/>
        </w:trPr>
        <w:tc>
          <w:tcPr>
            <w:tcW w:w="3097" w:type="dxa"/>
            <w:tcBorders>
              <w:top w:val="nil"/>
              <w:left w:val="single" w:sz="8" w:space="0" w:color="000000"/>
              <w:bottom w:val="single" w:sz="4" w:space="0" w:color="000000"/>
              <w:right w:val="single" w:sz="8" w:space="0" w:color="000000"/>
            </w:tcBorders>
            <w:shd w:val="clear" w:color="auto" w:fill="auto"/>
            <w:vAlign w:val="center"/>
          </w:tcPr>
          <w:p w14:paraId="685C70F7"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Інше</w:t>
            </w:r>
          </w:p>
        </w:tc>
        <w:tc>
          <w:tcPr>
            <w:tcW w:w="1140" w:type="dxa"/>
            <w:tcBorders>
              <w:top w:val="single" w:sz="4" w:space="0" w:color="000000"/>
              <w:left w:val="nil"/>
              <w:bottom w:val="single" w:sz="4" w:space="0" w:color="000000"/>
              <w:right w:val="single" w:sz="4" w:space="0" w:color="000000"/>
            </w:tcBorders>
            <w:shd w:val="clear" w:color="auto" w:fill="auto"/>
            <w:vAlign w:val="center"/>
          </w:tcPr>
          <w:p w14:paraId="3D66A061" w14:textId="77777777" w:rsidR="00C82386" w:rsidRDefault="00C82386">
            <w:pPr>
              <w:spacing w:after="0" w:line="240" w:lineRule="auto"/>
              <w:rPr>
                <w:rFonts w:ascii="Times New Roman" w:eastAsia="Times New Roman" w:hAnsi="Times New Roman" w:cs="Times New Roman"/>
                <w:color w:val="000000"/>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25236B41"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відсутні</w:t>
            </w:r>
          </w:p>
        </w:tc>
        <w:tc>
          <w:tcPr>
            <w:tcW w:w="2910" w:type="dxa"/>
            <w:tcBorders>
              <w:top w:val="nil"/>
              <w:left w:val="single" w:sz="4" w:space="0" w:color="000000"/>
              <w:bottom w:val="single" w:sz="4" w:space="0" w:color="000000"/>
              <w:right w:val="single" w:sz="8" w:space="0" w:color="000000"/>
            </w:tcBorders>
            <w:shd w:val="clear" w:color="auto" w:fill="auto"/>
            <w:vAlign w:val="center"/>
          </w:tcPr>
          <w:p w14:paraId="5AD65110" w14:textId="77777777" w:rsidR="00C82386" w:rsidRDefault="00E66F6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C82386" w14:paraId="626CECE7" w14:textId="77777777" w:rsidTr="0033187F">
        <w:trPr>
          <w:trHeight w:val="645"/>
        </w:trPr>
        <w:tc>
          <w:tcPr>
            <w:tcW w:w="3097" w:type="dxa"/>
            <w:tcBorders>
              <w:top w:val="single" w:sz="4" w:space="0" w:color="000000"/>
              <w:left w:val="single" w:sz="8" w:space="0" w:color="000000"/>
              <w:bottom w:val="single" w:sz="8" w:space="0" w:color="000000"/>
              <w:right w:val="nil"/>
            </w:tcBorders>
            <w:shd w:val="clear" w:color="auto" w:fill="F2F2F2"/>
            <w:vAlign w:val="center"/>
          </w:tcPr>
          <w:p w14:paraId="2EF6CA83"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Сектори, що не пов’язані з енергетикою</w:t>
            </w:r>
          </w:p>
        </w:tc>
        <w:tc>
          <w:tcPr>
            <w:tcW w:w="1140" w:type="dxa"/>
            <w:tcBorders>
              <w:top w:val="single" w:sz="4" w:space="0" w:color="000000"/>
              <w:left w:val="single" w:sz="8" w:space="0" w:color="000000"/>
              <w:bottom w:val="single" w:sz="8" w:space="0" w:color="000000"/>
              <w:right w:val="single" w:sz="4" w:space="0" w:color="000000"/>
            </w:tcBorders>
            <w:shd w:val="clear" w:color="auto" w:fill="F2F2F2"/>
            <w:vAlign w:val="center"/>
          </w:tcPr>
          <w:p w14:paraId="4CC3D6D6"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15A204" w14:textId="77777777" w:rsidR="00C82386" w:rsidRDefault="00C82386">
            <w:pPr>
              <w:spacing w:after="0" w:line="240" w:lineRule="auto"/>
              <w:jc w:val="center"/>
              <w:rPr>
                <w:rFonts w:ascii="Times New Roman" w:eastAsia="Times New Roman" w:hAnsi="Times New Roman" w:cs="Times New Roman"/>
                <w:b/>
              </w:rPr>
            </w:pPr>
          </w:p>
        </w:tc>
        <w:tc>
          <w:tcPr>
            <w:tcW w:w="2910" w:type="dxa"/>
            <w:tcBorders>
              <w:top w:val="single" w:sz="4" w:space="0" w:color="000000"/>
              <w:left w:val="single" w:sz="4" w:space="0" w:color="000000"/>
              <w:bottom w:val="single" w:sz="8" w:space="0" w:color="000000"/>
              <w:right w:val="single" w:sz="8" w:space="0" w:color="000000"/>
            </w:tcBorders>
            <w:shd w:val="clear" w:color="auto" w:fill="F2F2F2"/>
            <w:vAlign w:val="center"/>
          </w:tcPr>
          <w:p w14:paraId="28F537DD" w14:textId="77777777" w:rsidR="00C82386" w:rsidRDefault="00E66F64">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Сектори, що не пов’язані з енергетикою</w:t>
            </w:r>
          </w:p>
        </w:tc>
      </w:tr>
      <w:tr w:rsidR="00C82386" w14:paraId="655CD865" w14:textId="77777777" w:rsidTr="0033187F">
        <w:trPr>
          <w:trHeight w:val="330"/>
        </w:trPr>
        <w:tc>
          <w:tcPr>
            <w:tcW w:w="3097" w:type="dxa"/>
            <w:tcBorders>
              <w:top w:val="nil"/>
              <w:left w:val="single" w:sz="8" w:space="0" w:color="000000"/>
              <w:bottom w:val="single" w:sz="8" w:space="0" w:color="000000"/>
              <w:right w:val="nil"/>
            </w:tcBorders>
            <w:shd w:val="clear" w:color="auto" w:fill="auto"/>
            <w:vAlign w:val="center"/>
          </w:tcPr>
          <w:p w14:paraId="07C94F09"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Управління відходами</w:t>
            </w:r>
          </w:p>
        </w:tc>
        <w:tc>
          <w:tcPr>
            <w:tcW w:w="1140" w:type="dxa"/>
            <w:tcBorders>
              <w:top w:val="nil"/>
              <w:left w:val="single" w:sz="8" w:space="0" w:color="000000"/>
              <w:bottom w:val="single" w:sz="4" w:space="0" w:color="000000"/>
              <w:right w:val="single" w:sz="4" w:space="0" w:color="000000"/>
            </w:tcBorders>
            <w:shd w:val="clear" w:color="auto" w:fill="auto"/>
            <w:vAlign w:val="center"/>
          </w:tcPr>
          <w:p w14:paraId="50E9BC13"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vAlign w:val="center"/>
          </w:tcPr>
          <w:p w14:paraId="31E0FA66" w14:textId="77777777" w:rsidR="00C82386" w:rsidRDefault="00E66F6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Є проекти</w:t>
            </w:r>
          </w:p>
        </w:tc>
        <w:tc>
          <w:tcPr>
            <w:tcW w:w="2910" w:type="dxa"/>
            <w:tcBorders>
              <w:top w:val="nil"/>
              <w:left w:val="single" w:sz="4" w:space="0" w:color="000000"/>
              <w:bottom w:val="single" w:sz="8" w:space="0" w:color="000000"/>
              <w:right w:val="single" w:sz="8" w:space="0" w:color="000000"/>
            </w:tcBorders>
            <w:shd w:val="clear" w:color="auto" w:fill="FFFF99"/>
            <w:vAlign w:val="center"/>
          </w:tcPr>
          <w:p w14:paraId="1EF2D833"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Управління відходами</w:t>
            </w:r>
          </w:p>
        </w:tc>
      </w:tr>
      <w:tr w:rsidR="00C82386" w14:paraId="2B748774" w14:textId="77777777" w:rsidTr="0033187F">
        <w:trPr>
          <w:trHeight w:val="330"/>
        </w:trPr>
        <w:tc>
          <w:tcPr>
            <w:tcW w:w="3097" w:type="dxa"/>
            <w:tcBorders>
              <w:top w:val="nil"/>
              <w:left w:val="single" w:sz="8" w:space="0" w:color="000000"/>
              <w:bottom w:val="single" w:sz="8" w:space="0" w:color="000000"/>
              <w:right w:val="nil"/>
            </w:tcBorders>
            <w:shd w:val="clear" w:color="auto" w:fill="auto"/>
            <w:vAlign w:val="center"/>
          </w:tcPr>
          <w:p w14:paraId="35E6798D"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Управління стічними водами</w:t>
            </w:r>
          </w:p>
        </w:tc>
        <w:tc>
          <w:tcPr>
            <w:tcW w:w="1140" w:type="dxa"/>
            <w:tcBorders>
              <w:top w:val="nil"/>
              <w:left w:val="single" w:sz="8" w:space="0" w:color="000000"/>
              <w:bottom w:val="single" w:sz="4" w:space="0" w:color="000000"/>
              <w:right w:val="single" w:sz="4" w:space="0" w:color="000000"/>
            </w:tcBorders>
            <w:shd w:val="clear" w:color="auto" w:fill="auto"/>
            <w:vAlign w:val="center"/>
          </w:tcPr>
          <w:p w14:paraId="65D1EE69"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vAlign w:val="center"/>
          </w:tcPr>
          <w:p w14:paraId="41B42A54" w14:textId="77777777" w:rsidR="00C82386" w:rsidRDefault="00E66F6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Проекти не передбачені</w:t>
            </w:r>
          </w:p>
        </w:tc>
        <w:tc>
          <w:tcPr>
            <w:tcW w:w="2910" w:type="dxa"/>
            <w:tcBorders>
              <w:top w:val="nil"/>
              <w:left w:val="single" w:sz="4" w:space="0" w:color="000000"/>
              <w:bottom w:val="single" w:sz="8" w:space="0" w:color="000000"/>
              <w:right w:val="single" w:sz="8" w:space="0" w:color="000000"/>
            </w:tcBorders>
            <w:shd w:val="clear" w:color="auto" w:fill="auto"/>
            <w:vAlign w:val="center"/>
          </w:tcPr>
          <w:p w14:paraId="37C8BFD8" w14:textId="77777777" w:rsidR="00C82386" w:rsidRDefault="00E66F6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w:t>
            </w:r>
          </w:p>
        </w:tc>
      </w:tr>
      <w:tr w:rsidR="00C82386" w14:paraId="67347EEF" w14:textId="77777777" w:rsidTr="0033187F">
        <w:trPr>
          <w:trHeight w:val="330"/>
        </w:trPr>
        <w:tc>
          <w:tcPr>
            <w:tcW w:w="3097" w:type="dxa"/>
            <w:tcBorders>
              <w:top w:val="nil"/>
              <w:left w:val="single" w:sz="8" w:space="0" w:color="000000"/>
              <w:bottom w:val="single" w:sz="8" w:space="0" w:color="000000"/>
              <w:right w:val="nil"/>
            </w:tcBorders>
            <w:shd w:val="clear" w:color="auto" w:fill="auto"/>
            <w:vAlign w:val="center"/>
          </w:tcPr>
          <w:p w14:paraId="307D39A5" w14:textId="77777777" w:rsidR="00C82386" w:rsidRDefault="00E66F64">
            <w:pPr>
              <w:spacing w:after="0" w:line="240" w:lineRule="auto"/>
              <w:rPr>
                <w:rFonts w:ascii="Times New Roman" w:eastAsia="Times New Roman" w:hAnsi="Times New Roman" w:cs="Times New Roman"/>
              </w:rPr>
            </w:pPr>
            <w:r>
              <w:rPr>
                <w:rFonts w:ascii="Times New Roman" w:eastAsia="Times New Roman" w:hAnsi="Times New Roman" w:cs="Times New Roman"/>
              </w:rPr>
              <w:t>Інші неенергетичні джерела</w:t>
            </w:r>
          </w:p>
        </w:tc>
        <w:tc>
          <w:tcPr>
            <w:tcW w:w="1140" w:type="dxa"/>
            <w:tcBorders>
              <w:top w:val="nil"/>
              <w:left w:val="single" w:sz="8" w:space="0" w:color="000000"/>
              <w:bottom w:val="single" w:sz="8" w:space="0" w:color="000000"/>
              <w:right w:val="single" w:sz="4" w:space="0" w:color="000000"/>
            </w:tcBorders>
            <w:shd w:val="clear" w:color="auto" w:fill="auto"/>
            <w:vAlign w:val="center"/>
          </w:tcPr>
          <w:p w14:paraId="4F1933E0" w14:textId="77777777" w:rsidR="00C82386" w:rsidRDefault="00E66F6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493" w:type="dxa"/>
            <w:tcBorders>
              <w:top w:val="single" w:sz="4" w:space="0" w:color="000000"/>
              <w:left w:val="single" w:sz="4" w:space="0" w:color="000000"/>
              <w:bottom w:val="single" w:sz="4" w:space="0" w:color="000000"/>
              <w:right w:val="single" w:sz="4" w:space="0" w:color="000000"/>
            </w:tcBorders>
            <w:vAlign w:val="center"/>
          </w:tcPr>
          <w:p w14:paraId="14E7F66A" w14:textId="77777777" w:rsidR="00C82386" w:rsidRDefault="00E66F6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Проекти не передбачені</w:t>
            </w:r>
          </w:p>
        </w:tc>
        <w:tc>
          <w:tcPr>
            <w:tcW w:w="2910" w:type="dxa"/>
            <w:tcBorders>
              <w:top w:val="nil"/>
              <w:left w:val="single" w:sz="4" w:space="0" w:color="000000"/>
              <w:bottom w:val="single" w:sz="8" w:space="0" w:color="000000"/>
              <w:right w:val="single" w:sz="8" w:space="0" w:color="000000"/>
            </w:tcBorders>
            <w:shd w:val="clear" w:color="auto" w:fill="auto"/>
            <w:vAlign w:val="center"/>
          </w:tcPr>
          <w:p w14:paraId="21E4F26A" w14:textId="77777777" w:rsidR="00C82386" w:rsidRDefault="00E66F6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w:t>
            </w:r>
          </w:p>
        </w:tc>
      </w:tr>
    </w:tbl>
    <w:p w14:paraId="63F67A07" w14:textId="77777777" w:rsidR="00C82386" w:rsidRDefault="00E66F64">
      <w:pPr>
        <w:pBdr>
          <w:top w:val="nil"/>
          <w:left w:val="nil"/>
          <w:bottom w:val="nil"/>
          <w:right w:val="nil"/>
          <w:between w:val="nil"/>
        </w:pBdr>
        <w:spacing w:before="24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всіх обраних секторів до розрахунку Базового кадастру викидів виконуються перелічені вище критерії соціальної важливості для громади та наявності впливу міської влади, наявності значного впливу на бюджет міста, передбачені дії та заходи для зменшення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w:t>
      </w:r>
    </w:p>
    <w:p w14:paraId="01B44B45" w14:textId="77777777" w:rsidR="00C82386" w:rsidRDefault="00E66F64">
      <w:pPr>
        <w:keepNext/>
        <w:keepLines/>
        <w:numPr>
          <w:ilvl w:val="1"/>
          <w:numId w:val="23"/>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44" w:name="_heading=h.19c6y18" w:colFirst="0" w:colLast="0"/>
      <w:bookmarkEnd w:id="44"/>
      <w:r>
        <w:rPr>
          <w:rFonts w:ascii="Times New Roman" w:eastAsia="Times New Roman" w:hAnsi="Times New Roman" w:cs="Times New Roman"/>
          <w:b/>
          <w:color w:val="000000"/>
          <w:sz w:val="24"/>
          <w:szCs w:val="24"/>
        </w:rPr>
        <w:t>Обрання системи вимірювання викидів парникових газів</w:t>
      </w:r>
    </w:p>
    <w:p w14:paraId="7CB838AE"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Всі стандартні коефіцієнти викидів засновані на змісті вуглецю в кожному виді палива. У цьому підході найважливішим парниковим газом є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За рекомендаціями методики «</w:t>
      </w:r>
      <w:r w:rsidR="00421EC5" w:rsidRPr="00421EC5">
        <w:rPr>
          <w:rFonts w:ascii="Times New Roman" w:eastAsia="Times New Roman" w:hAnsi="Times New Roman" w:cs="Times New Roman"/>
          <w:sz w:val="24"/>
          <w:szCs w:val="24"/>
          <w:lang w:val="en-GB"/>
        </w:rPr>
        <w:t>How</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to</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develop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Sustainable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Energy</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and</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Climate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Action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Plan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in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the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Eastern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Partnership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Countries</w:t>
      </w:r>
      <w:r>
        <w:rPr>
          <w:rFonts w:ascii="Times New Roman" w:eastAsia="Times New Roman" w:hAnsi="Times New Roman" w:cs="Times New Roman"/>
          <w:sz w:val="24"/>
          <w:szCs w:val="24"/>
        </w:rPr>
        <w:t>» (2018) для розрахунку викидів можна використовувати два підходи:</w:t>
      </w:r>
    </w:p>
    <w:p w14:paraId="42636845" w14:textId="77777777" w:rsidR="00C82386" w:rsidRDefault="00E66F64">
      <w:pPr>
        <w:numPr>
          <w:ilvl w:val="0"/>
          <w:numId w:val="16"/>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підхід, що базується на енергоспоживанні під час виконання діяльності (МГЕЗК),</w:t>
      </w:r>
    </w:p>
    <w:p w14:paraId="7AA3EF9C" w14:textId="77777777" w:rsidR="00C82386" w:rsidRDefault="00E66F64">
      <w:pPr>
        <w:numPr>
          <w:ilvl w:val="0"/>
          <w:numId w:val="16"/>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підхід «оцінки життєвого циклу» (ОЖЦ).</w:t>
      </w:r>
    </w:p>
    <w:p w14:paraId="7E2C3DF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Підхід, що базується на діяльності, включає викиди від спалювання палива і базується на використанні коефіцієнтів викидів (МГЕЗК), які легко отримати. Підхід</w:t>
      </w:r>
      <w:r>
        <w:rPr>
          <w:rFonts w:ascii="Times New Roman" w:eastAsia="Times New Roman" w:hAnsi="Times New Roman" w:cs="Times New Roman"/>
          <w:sz w:val="24"/>
          <w:szCs w:val="24"/>
        </w:rPr>
        <w:br/>
        <w:t xml:space="preserve">ОЖЦ включає і викиди від спалювання палива, і інші викиди, що з’являються в внаслідок виробництва  від ланцюжка поставок, які дуже складно підтвердити. Виходячи з відсутності інформації для розрахунку ОЖЦ, обираємо для використання систему коефіцієнтів, що запропонована </w:t>
      </w:r>
      <w:r>
        <w:rPr>
          <w:rFonts w:ascii="Times New Roman" w:eastAsia="Times New Roman" w:hAnsi="Times New Roman" w:cs="Times New Roman"/>
          <w:b/>
          <w:sz w:val="24"/>
          <w:szCs w:val="24"/>
        </w:rPr>
        <w:t>Міжурядовою групою експертів з питань змін клімату (МГЕЗК)</w:t>
      </w:r>
      <w:r>
        <w:rPr>
          <w:rFonts w:ascii="Times New Roman" w:eastAsia="Times New Roman" w:hAnsi="Times New Roman" w:cs="Times New Roman"/>
          <w:sz w:val="24"/>
          <w:szCs w:val="24"/>
        </w:rPr>
        <w:t>.</w:t>
      </w:r>
    </w:p>
    <w:p w14:paraId="0252F8B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Більшість викидів парникових газів  – це викиди CO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в той час як викиди CH</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і N</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O є менш важливими для житлового сектора та транспортного сектора. Оскільки в рамках Плану заходів будуть впроваджуватися заходи, які стосуються скорочення викидів метану (CH</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на сміттєзвалищах громади, обираємо для подальших розрахунків систему оцінювання викидів в тоннах еквіваленту вуглецевого газу (СО</w:t>
      </w:r>
      <w:r>
        <w:rPr>
          <w:rFonts w:ascii="Times New Roman" w:eastAsia="Times New Roman" w:hAnsi="Times New Roman" w:cs="Times New Roman"/>
          <w:sz w:val="24"/>
          <w:szCs w:val="24"/>
          <w:vertAlign w:val="subscript"/>
        </w:rPr>
        <w:t>2 екв.</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Оцінка викидів буде виконуватися в одиницях «тонни СО</w:t>
      </w:r>
      <w:r>
        <w:rPr>
          <w:rFonts w:ascii="Times New Roman" w:eastAsia="Times New Roman" w:hAnsi="Times New Roman" w:cs="Times New Roman"/>
          <w:b/>
          <w:sz w:val="24"/>
          <w:szCs w:val="24"/>
          <w:vertAlign w:val="subscript"/>
        </w:rPr>
        <w:t>2 екв.</w:t>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w:t>
      </w:r>
    </w:p>
    <w:p w14:paraId="441D3EC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Таким чином, обсяг викидів СО</w:t>
      </w:r>
      <w:r>
        <w:rPr>
          <w:rFonts w:ascii="Times New Roman" w:eastAsia="Times New Roman" w:hAnsi="Times New Roman" w:cs="Times New Roman"/>
          <w:sz w:val="24"/>
          <w:szCs w:val="24"/>
          <w:vertAlign w:val="subscript"/>
        </w:rPr>
        <w:t>2 екв.</w:t>
      </w:r>
      <w:r>
        <w:rPr>
          <w:rFonts w:ascii="Times New Roman" w:eastAsia="Times New Roman" w:hAnsi="Times New Roman" w:cs="Times New Roman"/>
          <w:sz w:val="24"/>
          <w:szCs w:val="24"/>
        </w:rPr>
        <w:t xml:space="preserve"> визначається шляхом перемноження обсягів спожитих енергоресурсів, що переведені в </w:t>
      </w:r>
      <w:r>
        <w:rPr>
          <w:rFonts w:ascii="Times New Roman" w:eastAsia="Times New Roman" w:hAnsi="Times New Roman" w:cs="Times New Roman"/>
          <w:color w:val="000000"/>
          <w:sz w:val="24"/>
          <w:szCs w:val="24"/>
        </w:rPr>
        <w:t>МВт·год</w:t>
      </w:r>
      <w:r>
        <w:rPr>
          <w:rFonts w:ascii="Times New Roman" w:eastAsia="Times New Roman" w:hAnsi="Times New Roman" w:cs="Times New Roman"/>
          <w:sz w:val="24"/>
          <w:szCs w:val="24"/>
        </w:rPr>
        <w:t>, на визначений для кожного виду енергоресурсу коефіцієнт викидів СО</w:t>
      </w:r>
      <w:r>
        <w:rPr>
          <w:rFonts w:ascii="Times New Roman" w:eastAsia="Times New Roman" w:hAnsi="Times New Roman" w:cs="Times New Roman"/>
          <w:sz w:val="24"/>
          <w:szCs w:val="24"/>
          <w:vertAlign w:val="subscript"/>
        </w:rPr>
        <w:t>2 екв.</w:t>
      </w:r>
      <w:r>
        <w:rPr>
          <w:rFonts w:ascii="Times New Roman" w:eastAsia="Times New Roman" w:hAnsi="Times New Roman" w:cs="Times New Roman"/>
          <w:sz w:val="24"/>
          <w:szCs w:val="24"/>
        </w:rPr>
        <w:t xml:space="preserve">. </w:t>
      </w:r>
    </w:p>
    <w:p w14:paraId="30FF3E0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Таблиці, що використовуються далі для розрахунку обсягів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наведені нижче:</w:t>
      </w:r>
    </w:p>
    <w:p w14:paraId="4AFA7CB0"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4.3.</w:t>
      </w:r>
    </w:p>
    <w:p w14:paraId="068E3AFE" w14:textId="77777777" w:rsidR="00C82386" w:rsidRDefault="00E66F64">
      <w:pPr>
        <w:spacing w:after="0"/>
        <w:ind w:firstLine="70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Таблиця переведення з натуральних одиниць в </w:t>
      </w:r>
      <w:r>
        <w:rPr>
          <w:rFonts w:ascii="Times New Roman" w:eastAsia="Times New Roman" w:hAnsi="Times New Roman" w:cs="Times New Roman"/>
          <w:b/>
          <w:color w:val="000000"/>
          <w:sz w:val="24"/>
          <w:szCs w:val="24"/>
        </w:rPr>
        <w:t>МВт·год</w:t>
      </w:r>
    </w:p>
    <w:tbl>
      <w:tblPr>
        <w:tblStyle w:val="afffff6"/>
        <w:tblW w:w="766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7"/>
        <w:gridCol w:w="1562"/>
        <w:gridCol w:w="1685"/>
      </w:tblGrid>
      <w:tr w:rsidR="00C82386" w14:paraId="42753207" w14:textId="77777777" w:rsidTr="0033187F">
        <w:trPr>
          <w:trHeight w:val="624"/>
          <w:jc w:val="center"/>
        </w:trPr>
        <w:tc>
          <w:tcPr>
            <w:tcW w:w="4417" w:type="dxa"/>
            <w:shd w:val="clear" w:color="auto" w:fill="auto"/>
            <w:vAlign w:val="center"/>
          </w:tcPr>
          <w:p w14:paraId="1979C79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Енергоресурс</w:t>
            </w:r>
          </w:p>
        </w:tc>
        <w:tc>
          <w:tcPr>
            <w:tcW w:w="1562" w:type="dxa"/>
            <w:shd w:val="clear" w:color="auto" w:fill="auto"/>
            <w:vAlign w:val="center"/>
          </w:tcPr>
          <w:p w14:paraId="6FEAB0D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Натуральний показник</w:t>
            </w:r>
          </w:p>
        </w:tc>
        <w:tc>
          <w:tcPr>
            <w:tcW w:w="1685" w:type="dxa"/>
            <w:shd w:val="clear" w:color="auto" w:fill="auto"/>
            <w:vAlign w:val="center"/>
          </w:tcPr>
          <w:p w14:paraId="198FF34B"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Значення в МВт·год</w:t>
            </w:r>
          </w:p>
        </w:tc>
      </w:tr>
      <w:tr w:rsidR="00C82386" w14:paraId="3F524BB1" w14:textId="77777777" w:rsidTr="0033187F">
        <w:trPr>
          <w:trHeight w:val="373"/>
          <w:jc w:val="center"/>
        </w:trPr>
        <w:tc>
          <w:tcPr>
            <w:tcW w:w="4417" w:type="dxa"/>
            <w:shd w:val="clear" w:color="auto" w:fill="auto"/>
            <w:vAlign w:val="center"/>
          </w:tcPr>
          <w:p w14:paraId="250D0FB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Теплова енергія</w:t>
            </w:r>
          </w:p>
        </w:tc>
        <w:tc>
          <w:tcPr>
            <w:tcW w:w="1562" w:type="dxa"/>
            <w:shd w:val="clear" w:color="auto" w:fill="auto"/>
            <w:vAlign w:val="center"/>
          </w:tcPr>
          <w:p w14:paraId="01207271"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 Гкал</w:t>
            </w:r>
          </w:p>
        </w:tc>
        <w:tc>
          <w:tcPr>
            <w:tcW w:w="1685" w:type="dxa"/>
            <w:shd w:val="clear" w:color="auto" w:fill="auto"/>
            <w:vAlign w:val="center"/>
          </w:tcPr>
          <w:p w14:paraId="54D30ACD"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1,163</w:t>
            </w:r>
          </w:p>
        </w:tc>
      </w:tr>
      <w:tr w:rsidR="00C82386" w14:paraId="241F9E2A" w14:textId="77777777" w:rsidTr="0033187F">
        <w:trPr>
          <w:trHeight w:val="373"/>
          <w:jc w:val="center"/>
        </w:trPr>
        <w:tc>
          <w:tcPr>
            <w:tcW w:w="4417" w:type="dxa"/>
            <w:shd w:val="clear" w:color="auto" w:fill="auto"/>
            <w:vAlign w:val="center"/>
          </w:tcPr>
          <w:p w14:paraId="532E95D9"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Природний газ</w:t>
            </w:r>
          </w:p>
        </w:tc>
        <w:tc>
          <w:tcPr>
            <w:tcW w:w="1562" w:type="dxa"/>
            <w:shd w:val="clear" w:color="auto" w:fill="auto"/>
            <w:vAlign w:val="center"/>
          </w:tcPr>
          <w:p w14:paraId="3D3789C9"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1000 м</w:t>
            </w:r>
            <w:r w:rsidRPr="0055767F">
              <w:rPr>
                <w:rFonts w:ascii="Times New Roman" w:eastAsia="Times New Roman" w:hAnsi="Times New Roman" w:cs="Times New Roman"/>
                <w:color w:val="000000"/>
                <w:sz w:val="24"/>
                <w:szCs w:val="24"/>
                <w:vertAlign w:val="superscript"/>
              </w:rPr>
              <w:t>3</w:t>
            </w:r>
          </w:p>
        </w:tc>
        <w:tc>
          <w:tcPr>
            <w:tcW w:w="1685" w:type="dxa"/>
            <w:shd w:val="clear" w:color="auto" w:fill="auto"/>
            <w:vAlign w:val="center"/>
          </w:tcPr>
          <w:p w14:paraId="16ADC9B3" w14:textId="77777777" w:rsidR="00C82386" w:rsidRPr="0055767F" w:rsidRDefault="00135887">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9,39</w:t>
            </w:r>
          </w:p>
        </w:tc>
      </w:tr>
      <w:tr w:rsidR="00C82386" w14:paraId="0A4D54A4" w14:textId="77777777" w:rsidTr="0033187F">
        <w:trPr>
          <w:trHeight w:val="373"/>
          <w:jc w:val="center"/>
        </w:trPr>
        <w:tc>
          <w:tcPr>
            <w:tcW w:w="4417" w:type="dxa"/>
            <w:shd w:val="clear" w:color="auto" w:fill="auto"/>
            <w:vAlign w:val="center"/>
          </w:tcPr>
          <w:p w14:paraId="6C036555"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Природний газ (стиснений)</w:t>
            </w:r>
          </w:p>
        </w:tc>
        <w:tc>
          <w:tcPr>
            <w:tcW w:w="1562" w:type="dxa"/>
            <w:shd w:val="clear" w:color="auto" w:fill="auto"/>
            <w:vAlign w:val="center"/>
          </w:tcPr>
          <w:p w14:paraId="595350EF"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1000 м</w:t>
            </w:r>
            <w:r w:rsidRPr="0055767F">
              <w:rPr>
                <w:rFonts w:ascii="Times New Roman" w:eastAsia="Times New Roman" w:hAnsi="Times New Roman" w:cs="Times New Roman"/>
                <w:color w:val="000000"/>
                <w:sz w:val="24"/>
                <w:szCs w:val="24"/>
                <w:vertAlign w:val="superscript"/>
              </w:rPr>
              <w:t>3</w:t>
            </w:r>
          </w:p>
        </w:tc>
        <w:tc>
          <w:tcPr>
            <w:tcW w:w="1685" w:type="dxa"/>
            <w:shd w:val="clear" w:color="auto" w:fill="auto"/>
            <w:vAlign w:val="center"/>
          </w:tcPr>
          <w:p w14:paraId="6C54BFC2"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8,628</w:t>
            </w:r>
          </w:p>
        </w:tc>
      </w:tr>
      <w:tr w:rsidR="00C82386" w14:paraId="2C30026F" w14:textId="77777777" w:rsidTr="0033187F">
        <w:trPr>
          <w:trHeight w:val="373"/>
          <w:jc w:val="center"/>
        </w:trPr>
        <w:tc>
          <w:tcPr>
            <w:tcW w:w="4417" w:type="dxa"/>
            <w:shd w:val="clear" w:color="auto" w:fill="auto"/>
            <w:vAlign w:val="center"/>
          </w:tcPr>
          <w:p w14:paraId="53B4BF11"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Газ (скраплений) Пропан-бутан – LPG</w:t>
            </w:r>
          </w:p>
        </w:tc>
        <w:tc>
          <w:tcPr>
            <w:tcW w:w="1562" w:type="dxa"/>
            <w:shd w:val="clear" w:color="auto" w:fill="auto"/>
            <w:vAlign w:val="center"/>
          </w:tcPr>
          <w:p w14:paraId="5812BE73"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м</w:t>
            </w:r>
            <w:r w:rsidRPr="0055767F">
              <w:rPr>
                <w:rFonts w:ascii="Times New Roman" w:eastAsia="Times New Roman" w:hAnsi="Times New Roman" w:cs="Times New Roman"/>
                <w:color w:val="000000"/>
                <w:sz w:val="24"/>
                <w:szCs w:val="24"/>
                <w:vertAlign w:val="superscript"/>
              </w:rPr>
              <w:t>3</w:t>
            </w:r>
          </w:p>
        </w:tc>
        <w:tc>
          <w:tcPr>
            <w:tcW w:w="1685" w:type="dxa"/>
            <w:shd w:val="clear" w:color="auto" w:fill="auto"/>
            <w:vAlign w:val="center"/>
          </w:tcPr>
          <w:p w14:paraId="6221225C"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7,415</w:t>
            </w:r>
          </w:p>
        </w:tc>
      </w:tr>
      <w:tr w:rsidR="00C82386" w14:paraId="5DA213EE" w14:textId="77777777" w:rsidTr="0033187F">
        <w:trPr>
          <w:trHeight w:val="373"/>
          <w:jc w:val="center"/>
        </w:trPr>
        <w:tc>
          <w:tcPr>
            <w:tcW w:w="4417" w:type="dxa"/>
            <w:shd w:val="clear" w:color="auto" w:fill="auto"/>
            <w:vAlign w:val="center"/>
          </w:tcPr>
          <w:p w14:paraId="48DA1C1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Бензин</w:t>
            </w:r>
          </w:p>
        </w:tc>
        <w:tc>
          <w:tcPr>
            <w:tcW w:w="1562" w:type="dxa"/>
            <w:shd w:val="clear" w:color="auto" w:fill="auto"/>
            <w:vAlign w:val="center"/>
          </w:tcPr>
          <w:p w14:paraId="727467EF"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76C423E6"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12,3</w:t>
            </w:r>
          </w:p>
        </w:tc>
      </w:tr>
      <w:tr w:rsidR="00C82386" w14:paraId="7A2BAB2E" w14:textId="77777777" w:rsidTr="0033187F">
        <w:trPr>
          <w:trHeight w:val="373"/>
          <w:jc w:val="center"/>
        </w:trPr>
        <w:tc>
          <w:tcPr>
            <w:tcW w:w="4417" w:type="dxa"/>
            <w:shd w:val="clear" w:color="auto" w:fill="auto"/>
            <w:vAlign w:val="center"/>
          </w:tcPr>
          <w:p w14:paraId="2DE3888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Дизель</w:t>
            </w:r>
          </w:p>
        </w:tc>
        <w:tc>
          <w:tcPr>
            <w:tcW w:w="1562" w:type="dxa"/>
            <w:shd w:val="clear" w:color="auto" w:fill="auto"/>
            <w:vAlign w:val="center"/>
          </w:tcPr>
          <w:p w14:paraId="0CF94836"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5253F6B0"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11,9</w:t>
            </w:r>
          </w:p>
        </w:tc>
      </w:tr>
      <w:tr w:rsidR="00C82386" w14:paraId="0F5F777F" w14:textId="77777777" w:rsidTr="0033187F">
        <w:trPr>
          <w:trHeight w:val="373"/>
          <w:jc w:val="center"/>
        </w:trPr>
        <w:tc>
          <w:tcPr>
            <w:tcW w:w="4417" w:type="dxa"/>
            <w:shd w:val="clear" w:color="auto" w:fill="auto"/>
            <w:vAlign w:val="center"/>
          </w:tcPr>
          <w:p w14:paraId="7852FD7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Мазут</w:t>
            </w:r>
          </w:p>
        </w:tc>
        <w:tc>
          <w:tcPr>
            <w:tcW w:w="1562" w:type="dxa"/>
            <w:shd w:val="clear" w:color="auto" w:fill="auto"/>
            <w:vAlign w:val="center"/>
          </w:tcPr>
          <w:p w14:paraId="22D2C4E1"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0AD7AEF4"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11,2</w:t>
            </w:r>
          </w:p>
        </w:tc>
      </w:tr>
      <w:tr w:rsidR="00C82386" w14:paraId="522BA146" w14:textId="77777777" w:rsidTr="0033187F">
        <w:trPr>
          <w:trHeight w:val="373"/>
          <w:jc w:val="center"/>
        </w:trPr>
        <w:tc>
          <w:tcPr>
            <w:tcW w:w="4417" w:type="dxa"/>
            <w:shd w:val="clear" w:color="auto" w:fill="auto"/>
            <w:vAlign w:val="center"/>
          </w:tcPr>
          <w:p w14:paraId="5C780718" w14:textId="77777777" w:rsidR="00C82386" w:rsidRDefault="00BF5DA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Вугілля кам’яне (суббітумінозне)</w:t>
            </w:r>
          </w:p>
        </w:tc>
        <w:tc>
          <w:tcPr>
            <w:tcW w:w="1562" w:type="dxa"/>
            <w:shd w:val="clear" w:color="auto" w:fill="auto"/>
            <w:vAlign w:val="center"/>
          </w:tcPr>
          <w:p w14:paraId="03B51A42"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55BD1717"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5,8</w:t>
            </w:r>
          </w:p>
        </w:tc>
      </w:tr>
      <w:tr w:rsidR="00C82386" w14:paraId="69E0361B" w14:textId="77777777" w:rsidTr="0033187F">
        <w:trPr>
          <w:trHeight w:val="373"/>
          <w:jc w:val="center"/>
        </w:trPr>
        <w:tc>
          <w:tcPr>
            <w:tcW w:w="4417" w:type="dxa"/>
            <w:shd w:val="clear" w:color="auto" w:fill="auto"/>
            <w:vAlign w:val="center"/>
          </w:tcPr>
          <w:p w14:paraId="6ED6E50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Торф</w:t>
            </w:r>
          </w:p>
        </w:tc>
        <w:tc>
          <w:tcPr>
            <w:tcW w:w="1562" w:type="dxa"/>
            <w:shd w:val="clear" w:color="auto" w:fill="auto"/>
            <w:vAlign w:val="center"/>
          </w:tcPr>
          <w:p w14:paraId="451E0FC5"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2D4FCFB6"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2,7</w:t>
            </w:r>
          </w:p>
        </w:tc>
      </w:tr>
      <w:tr w:rsidR="00C82386" w14:paraId="2B14B6A8" w14:textId="77777777" w:rsidTr="0033187F">
        <w:trPr>
          <w:trHeight w:val="373"/>
          <w:jc w:val="center"/>
        </w:trPr>
        <w:tc>
          <w:tcPr>
            <w:tcW w:w="4417" w:type="dxa"/>
            <w:shd w:val="clear" w:color="auto" w:fill="auto"/>
            <w:vAlign w:val="center"/>
          </w:tcPr>
          <w:p w14:paraId="5988A47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Деревина (дрова, пелети)</w:t>
            </w:r>
          </w:p>
        </w:tc>
        <w:tc>
          <w:tcPr>
            <w:tcW w:w="1562" w:type="dxa"/>
            <w:shd w:val="clear" w:color="auto" w:fill="auto"/>
            <w:vAlign w:val="center"/>
          </w:tcPr>
          <w:p w14:paraId="6A1A5054"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1т</w:t>
            </w:r>
          </w:p>
        </w:tc>
        <w:tc>
          <w:tcPr>
            <w:tcW w:w="1685" w:type="dxa"/>
            <w:shd w:val="clear" w:color="auto" w:fill="auto"/>
            <w:vAlign w:val="center"/>
          </w:tcPr>
          <w:p w14:paraId="0E88A453"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4,123</w:t>
            </w:r>
          </w:p>
        </w:tc>
      </w:tr>
    </w:tbl>
    <w:p w14:paraId="54B00ED7" w14:textId="77777777" w:rsidR="00C82386" w:rsidRDefault="00E66F64">
      <w:pPr>
        <w:spacing w:before="120" w:after="0"/>
        <w:ind w:left="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4.4.</w:t>
      </w:r>
    </w:p>
    <w:p w14:paraId="013636B6" w14:textId="77777777" w:rsidR="00C82386" w:rsidRDefault="00E66F64">
      <w:pPr>
        <w:spacing w:after="0"/>
        <w:ind w:left="70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Таблиця коефіцієнтів СО</w:t>
      </w:r>
      <w:r>
        <w:rPr>
          <w:rFonts w:ascii="Times New Roman" w:eastAsia="Times New Roman" w:hAnsi="Times New Roman" w:cs="Times New Roman"/>
          <w:b/>
          <w:sz w:val="24"/>
          <w:szCs w:val="24"/>
          <w:vertAlign w:val="subscript"/>
        </w:rPr>
        <w:t>2 екв.</w:t>
      </w:r>
      <w:r>
        <w:rPr>
          <w:rFonts w:ascii="Times New Roman" w:eastAsia="Times New Roman" w:hAnsi="Times New Roman" w:cs="Times New Roman"/>
          <w:b/>
          <w:sz w:val="24"/>
          <w:szCs w:val="24"/>
        </w:rPr>
        <w:t xml:space="preserve"> (МГЕЗК).</w:t>
      </w:r>
    </w:p>
    <w:tbl>
      <w:tblPr>
        <w:tblStyle w:val="afffff7"/>
        <w:tblW w:w="73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60"/>
        <w:gridCol w:w="2168"/>
      </w:tblGrid>
      <w:tr w:rsidR="00C82386" w14:paraId="79A0D6C5" w14:textId="77777777" w:rsidTr="0033187F">
        <w:trPr>
          <w:trHeight w:val="690"/>
          <w:jc w:val="center"/>
        </w:trPr>
        <w:tc>
          <w:tcPr>
            <w:tcW w:w="5160" w:type="dxa"/>
            <w:shd w:val="clear" w:color="auto" w:fill="auto"/>
            <w:vAlign w:val="center"/>
          </w:tcPr>
          <w:p w14:paraId="17DD871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Енергоресурс</w:t>
            </w:r>
          </w:p>
        </w:tc>
        <w:tc>
          <w:tcPr>
            <w:tcW w:w="2168" w:type="dxa"/>
            <w:shd w:val="clear" w:color="auto" w:fill="auto"/>
            <w:vAlign w:val="center"/>
          </w:tcPr>
          <w:p w14:paraId="28951058"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Коефіцієнт викидів СО</w:t>
            </w:r>
            <w:r>
              <w:rPr>
                <w:rFonts w:ascii="Times New Roman" w:eastAsia="Times New Roman" w:hAnsi="Times New Roman" w:cs="Times New Roman"/>
                <w:color w:val="000000"/>
                <w:sz w:val="24"/>
                <w:szCs w:val="24"/>
                <w:vertAlign w:val="subscript"/>
              </w:rPr>
              <w:t>2 екв.</w:t>
            </w:r>
            <w:r>
              <w:rPr>
                <w:rFonts w:ascii="Times New Roman" w:eastAsia="Times New Roman" w:hAnsi="Times New Roman" w:cs="Times New Roman"/>
                <w:color w:val="000000"/>
                <w:sz w:val="24"/>
                <w:szCs w:val="24"/>
              </w:rPr>
              <w:t>, тонн/ МВт·год</w:t>
            </w:r>
          </w:p>
        </w:tc>
      </w:tr>
      <w:tr w:rsidR="00C82386" w14:paraId="5486F45E" w14:textId="77777777" w:rsidTr="0033187F">
        <w:trPr>
          <w:trHeight w:val="330"/>
          <w:jc w:val="center"/>
        </w:trPr>
        <w:tc>
          <w:tcPr>
            <w:tcW w:w="5160" w:type="dxa"/>
            <w:shd w:val="clear" w:color="auto" w:fill="auto"/>
            <w:vAlign w:val="center"/>
          </w:tcPr>
          <w:p w14:paraId="2A5C411C" w14:textId="77777777" w:rsidR="00C82386" w:rsidRPr="008A4033" w:rsidRDefault="00E66F64">
            <w:pPr>
              <w:spacing w:after="0" w:line="240" w:lineRule="auto"/>
              <w:jc w:val="center"/>
              <w:rPr>
                <w:rFonts w:ascii="Times New Roman" w:eastAsia="Times New Roman" w:hAnsi="Times New Roman" w:cs="Times New Roman"/>
                <w:color w:val="000000"/>
                <w:sz w:val="24"/>
                <w:szCs w:val="24"/>
              </w:rPr>
            </w:pPr>
            <w:r w:rsidRPr="008A4033">
              <w:rPr>
                <w:rFonts w:ascii="Times New Roman" w:eastAsia="Times New Roman" w:hAnsi="Times New Roman" w:cs="Times New Roman"/>
                <w:color w:val="000000"/>
                <w:sz w:val="24"/>
                <w:szCs w:val="24"/>
              </w:rPr>
              <w:t>Електроенергія (2010р.)</w:t>
            </w:r>
          </w:p>
        </w:tc>
        <w:tc>
          <w:tcPr>
            <w:tcW w:w="2168" w:type="dxa"/>
            <w:shd w:val="clear" w:color="auto" w:fill="auto"/>
            <w:vAlign w:val="center"/>
          </w:tcPr>
          <w:p w14:paraId="303AA2DE" w14:textId="77777777" w:rsidR="00C82386" w:rsidRPr="0055767F" w:rsidRDefault="008A4033">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0,586</w:t>
            </w:r>
          </w:p>
        </w:tc>
      </w:tr>
      <w:tr w:rsidR="00C82386" w14:paraId="649382E3" w14:textId="77777777" w:rsidTr="0033187F">
        <w:trPr>
          <w:trHeight w:val="330"/>
          <w:jc w:val="center"/>
        </w:trPr>
        <w:tc>
          <w:tcPr>
            <w:tcW w:w="5160" w:type="dxa"/>
            <w:shd w:val="clear" w:color="auto" w:fill="auto"/>
            <w:vAlign w:val="center"/>
          </w:tcPr>
          <w:p w14:paraId="58598C32" w14:textId="77777777" w:rsidR="00C82386" w:rsidRPr="008A4033" w:rsidRDefault="00E66F64">
            <w:pPr>
              <w:spacing w:after="0" w:line="240" w:lineRule="auto"/>
              <w:jc w:val="center"/>
              <w:rPr>
                <w:rFonts w:ascii="Times New Roman" w:eastAsia="Times New Roman" w:hAnsi="Times New Roman" w:cs="Times New Roman"/>
                <w:color w:val="000000"/>
                <w:sz w:val="24"/>
                <w:szCs w:val="24"/>
              </w:rPr>
            </w:pPr>
            <w:r w:rsidRPr="008A4033">
              <w:rPr>
                <w:rFonts w:ascii="Times New Roman" w:eastAsia="Times New Roman" w:hAnsi="Times New Roman" w:cs="Times New Roman"/>
                <w:color w:val="000000"/>
                <w:sz w:val="24"/>
                <w:szCs w:val="24"/>
              </w:rPr>
              <w:t>Теплова енергія (2010 р.)</w:t>
            </w:r>
          </w:p>
        </w:tc>
        <w:tc>
          <w:tcPr>
            <w:tcW w:w="2168" w:type="dxa"/>
            <w:shd w:val="clear" w:color="auto" w:fill="auto"/>
            <w:vAlign w:val="center"/>
          </w:tcPr>
          <w:p w14:paraId="7E643007" w14:textId="77777777" w:rsidR="00C82386" w:rsidRPr="0055767F" w:rsidRDefault="00CC7FE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0,286</w:t>
            </w:r>
          </w:p>
        </w:tc>
      </w:tr>
      <w:tr w:rsidR="00C82386" w14:paraId="48A8FDD9" w14:textId="77777777" w:rsidTr="0033187F">
        <w:trPr>
          <w:trHeight w:val="330"/>
          <w:jc w:val="center"/>
        </w:trPr>
        <w:tc>
          <w:tcPr>
            <w:tcW w:w="5160" w:type="dxa"/>
            <w:shd w:val="clear" w:color="auto" w:fill="auto"/>
            <w:vAlign w:val="center"/>
          </w:tcPr>
          <w:p w14:paraId="0A113288" w14:textId="77777777" w:rsidR="00C82386" w:rsidRPr="008A4033" w:rsidRDefault="00E66F64">
            <w:pPr>
              <w:spacing w:after="0" w:line="240" w:lineRule="auto"/>
              <w:jc w:val="center"/>
              <w:rPr>
                <w:rFonts w:ascii="Times New Roman" w:eastAsia="Times New Roman" w:hAnsi="Times New Roman" w:cs="Times New Roman"/>
                <w:color w:val="000000"/>
                <w:sz w:val="24"/>
                <w:szCs w:val="24"/>
              </w:rPr>
            </w:pPr>
            <w:r w:rsidRPr="008A4033">
              <w:rPr>
                <w:rFonts w:ascii="Times New Roman" w:eastAsia="Times New Roman" w:hAnsi="Times New Roman" w:cs="Times New Roman"/>
                <w:color w:val="000000"/>
                <w:sz w:val="24"/>
                <w:szCs w:val="24"/>
              </w:rPr>
              <w:t>Теплова енергія (2020 р.)</w:t>
            </w:r>
          </w:p>
        </w:tc>
        <w:tc>
          <w:tcPr>
            <w:tcW w:w="2168" w:type="dxa"/>
            <w:shd w:val="clear" w:color="auto" w:fill="auto"/>
            <w:vAlign w:val="center"/>
          </w:tcPr>
          <w:p w14:paraId="50CC4CBE" w14:textId="77777777" w:rsidR="00C82386" w:rsidRPr="0055767F" w:rsidRDefault="008A4033">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0,266</w:t>
            </w:r>
          </w:p>
        </w:tc>
      </w:tr>
      <w:tr w:rsidR="00C82386" w14:paraId="0BDC3679" w14:textId="77777777" w:rsidTr="0033187F">
        <w:trPr>
          <w:trHeight w:val="330"/>
          <w:jc w:val="center"/>
        </w:trPr>
        <w:tc>
          <w:tcPr>
            <w:tcW w:w="5160" w:type="dxa"/>
            <w:shd w:val="clear" w:color="auto" w:fill="auto"/>
            <w:vAlign w:val="center"/>
          </w:tcPr>
          <w:p w14:paraId="161F4C18"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Природний газ</w:t>
            </w:r>
          </w:p>
        </w:tc>
        <w:tc>
          <w:tcPr>
            <w:tcW w:w="2168" w:type="dxa"/>
            <w:shd w:val="clear" w:color="auto" w:fill="auto"/>
            <w:vAlign w:val="center"/>
          </w:tcPr>
          <w:p w14:paraId="49B6FB87"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45" w:name="bookmark=id.3tbugp1" w:colFirst="0" w:colLast="0"/>
            <w:bookmarkEnd w:id="45"/>
            <w:r w:rsidRPr="0055767F">
              <w:rPr>
                <w:rFonts w:ascii="Times New Roman" w:eastAsia="Times New Roman" w:hAnsi="Times New Roman" w:cs="Times New Roman"/>
                <w:color w:val="000000"/>
                <w:sz w:val="24"/>
                <w:szCs w:val="24"/>
              </w:rPr>
              <w:t>0,</w:t>
            </w:r>
            <w:r w:rsidRPr="0055767F">
              <w:rPr>
                <w:rFonts w:ascii="Times New Roman" w:eastAsia="Times New Roman" w:hAnsi="Times New Roman" w:cs="Times New Roman"/>
                <w:sz w:val="24"/>
                <w:szCs w:val="24"/>
              </w:rPr>
              <w:t>202</w:t>
            </w:r>
          </w:p>
        </w:tc>
      </w:tr>
      <w:tr w:rsidR="00C82386" w14:paraId="636D0AB8" w14:textId="77777777" w:rsidTr="0033187F">
        <w:trPr>
          <w:trHeight w:val="330"/>
          <w:jc w:val="center"/>
        </w:trPr>
        <w:tc>
          <w:tcPr>
            <w:tcW w:w="5160" w:type="dxa"/>
            <w:shd w:val="clear" w:color="auto" w:fill="auto"/>
            <w:vAlign w:val="center"/>
          </w:tcPr>
          <w:p w14:paraId="1A227DED"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Газ (стиснений) – CNG</w:t>
            </w:r>
          </w:p>
        </w:tc>
        <w:tc>
          <w:tcPr>
            <w:tcW w:w="2168" w:type="dxa"/>
            <w:shd w:val="clear" w:color="auto" w:fill="auto"/>
            <w:vAlign w:val="center"/>
          </w:tcPr>
          <w:p w14:paraId="3845A8E4"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46" w:name="bookmark=id.28h4qwu" w:colFirst="0" w:colLast="0"/>
            <w:bookmarkEnd w:id="46"/>
            <w:r w:rsidRPr="0055767F">
              <w:rPr>
                <w:rFonts w:ascii="Times New Roman" w:eastAsia="Times New Roman" w:hAnsi="Times New Roman" w:cs="Times New Roman"/>
                <w:color w:val="000000"/>
                <w:sz w:val="24"/>
                <w:szCs w:val="24"/>
              </w:rPr>
              <w:t>0,231</w:t>
            </w:r>
          </w:p>
        </w:tc>
      </w:tr>
      <w:tr w:rsidR="00C82386" w14:paraId="1864EDAC" w14:textId="77777777" w:rsidTr="0033187F">
        <w:trPr>
          <w:trHeight w:val="330"/>
          <w:jc w:val="center"/>
        </w:trPr>
        <w:tc>
          <w:tcPr>
            <w:tcW w:w="5160" w:type="dxa"/>
            <w:shd w:val="clear" w:color="auto" w:fill="auto"/>
            <w:vAlign w:val="center"/>
          </w:tcPr>
          <w:p w14:paraId="69411127"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Газ (скраплений) Пропан-бутан – LPG</w:t>
            </w:r>
          </w:p>
        </w:tc>
        <w:tc>
          <w:tcPr>
            <w:tcW w:w="2168" w:type="dxa"/>
            <w:shd w:val="clear" w:color="auto" w:fill="auto"/>
            <w:vAlign w:val="center"/>
          </w:tcPr>
          <w:p w14:paraId="003BFCFC"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47" w:name="bookmark=id.nmf14n" w:colFirst="0" w:colLast="0"/>
            <w:bookmarkEnd w:id="47"/>
            <w:r w:rsidRPr="0055767F">
              <w:rPr>
                <w:rFonts w:ascii="Times New Roman" w:eastAsia="Times New Roman" w:hAnsi="Times New Roman" w:cs="Times New Roman"/>
                <w:color w:val="000000"/>
                <w:sz w:val="24"/>
                <w:szCs w:val="24"/>
              </w:rPr>
              <w:t>0,227</w:t>
            </w:r>
          </w:p>
        </w:tc>
      </w:tr>
      <w:tr w:rsidR="00C82386" w14:paraId="56A6E039" w14:textId="77777777" w:rsidTr="0033187F">
        <w:trPr>
          <w:trHeight w:val="330"/>
          <w:jc w:val="center"/>
        </w:trPr>
        <w:tc>
          <w:tcPr>
            <w:tcW w:w="5160" w:type="dxa"/>
            <w:shd w:val="clear" w:color="auto" w:fill="auto"/>
            <w:vAlign w:val="center"/>
          </w:tcPr>
          <w:p w14:paraId="72FE93B5"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Бензин</w:t>
            </w:r>
          </w:p>
        </w:tc>
        <w:tc>
          <w:tcPr>
            <w:tcW w:w="2168" w:type="dxa"/>
            <w:shd w:val="clear" w:color="auto" w:fill="auto"/>
            <w:vAlign w:val="center"/>
          </w:tcPr>
          <w:p w14:paraId="2B75861D"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48" w:name="bookmark=id.37m2jsg" w:colFirst="0" w:colLast="0"/>
            <w:bookmarkEnd w:id="48"/>
            <w:r w:rsidRPr="0055767F">
              <w:rPr>
                <w:rFonts w:ascii="Times New Roman" w:eastAsia="Times New Roman" w:hAnsi="Times New Roman" w:cs="Times New Roman"/>
                <w:color w:val="000000"/>
                <w:sz w:val="24"/>
                <w:szCs w:val="24"/>
              </w:rPr>
              <w:t>0,250</w:t>
            </w:r>
          </w:p>
        </w:tc>
      </w:tr>
      <w:tr w:rsidR="00C82386" w14:paraId="4F41FD12" w14:textId="77777777" w:rsidTr="0033187F">
        <w:trPr>
          <w:trHeight w:val="330"/>
          <w:jc w:val="center"/>
        </w:trPr>
        <w:tc>
          <w:tcPr>
            <w:tcW w:w="5160" w:type="dxa"/>
            <w:shd w:val="clear" w:color="auto" w:fill="auto"/>
            <w:vAlign w:val="center"/>
          </w:tcPr>
          <w:p w14:paraId="5AF4D4CE"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Дизель</w:t>
            </w:r>
          </w:p>
        </w:tc>
        <w:tc>
          <w:tcPr>
            <w:tcW w:w="2168" w:type="dxa"/>
            <w:shd w:val="clear" w:color="auto" w:fill="auto"/>
            <w:vAlign w:val="center"/>
          </w:tcPr>
          <w:p w14:paraId="7D94C477"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49" w:name="bookmark=id.1mrcu09" w:colFirst="0" w:colLast="0"/>
            <w:bookmarkEnd w:id="49"/>
            <w:r w:rsidRPr="0055767F">
              <w:rPr>
                <w:rFonts w:ascii="Times New Roman" w:eastAsia="Times New Roman" w:hAnsi="Times New Roman" w:cs="Times New Roman"/>
                <w:color w:val="000000"/>
                <w:sz w:val="24"/>
                <w:szCs w:val="24"/>
              </w:rPr>
              <w:t>0,268</w:t>
            </w:r>
          </w:p>
        </w:tc>
      </w:tr>
      <w:tr w:rsidR="00C82386" w14:paraId="30B04518" w14:textId="77777777" w:rsidTr="0033187F">
        <w:trPr>
          <w:trHeight w:val="330"/>
          <w:jc w:val="center"/>
        </w:trPr>
        <w:tc>
          <w:tcPr>
            <w:tcW w:w="5160" w:type="dxa"/>
            <w:shd w:val="clear" w:color="auto" w:fill="auto"/>
            <w:vAlign w:val="center"/>
          </w:tcPr>
          <w:p w14:paraId="31966E7C" w14:textId="77777777" w:rsidR="00C82386" w:rsidRDefault="00E66F64" w:rsidP="00BF0C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Вугілля </w:t>
            </w:r>
            <w:r w:rsidR="00BF0CCD">
              <w:rPr>
                <w:rFonts w:ascii="Times New Roman" w:eastAsia="Times New Roman" w:hAnsi="Times New Roman" w:cs="Times New Roman"/>
                <w:color w:val="000000"/>
                <w:sz w:val="24"/>
                <w:szCs w:val="24"/>
              </w:rPr>
              <w:t xml:space="preserve">кам’яне </w:t>
            </w:r>
            <w:r>
              <w:rPr>
                <w:rFonts w:ascii="Times New Roman" w:eastAsia="Times New Roman" w:hAnsi="Times New Roman" w:cs="Times New Roman"/>
                <w:color w:val="000000"/>
                <w:sz w:val="24"/>
                <w:szCs w:val="24"/>
              </w:rPr>
              <w:t>(</w:t>
            </w:r>
            <w:r w:rsidR="00BF0CCD">
              <w:rPr>
                <w:rFonts w:ascii="Times New Roman" w:eastAsia="Times New Roman" w:hAnsi="Times New Roman" w:cs="Times New Roman"/>
                <w:color w:val="000000"/>
                <w:sz w:val="24"/>
                <w:szCs w:val="24"/>
              </w:rPr>
              <w:t>суббітумінозне</w:t>
            </w:r>
            <w:r>
              <w:rPr>
                <w:rFonts w:ascii="Times New Roman" w:eastAsia="Times New Roman" w:hAnsi="Times New Roman" w:cs="Times New Roman"/>
                <w:color w:val="000000"/>
                <w:sz w:val="24"/>
                <w:szCs w:val="24"/>
              </w:rPr>
              <w:t>)</w:t>
            </w:r>
          </w:p>
        </w:tc>
        <w:tc>
          <w:tcPr>
            <w:tcW w:w="2168" w:type="dxa"/>
            <w:shd w:val="clear" w:color="auto" w:fill="auto"/>
            <w:vAlign w:val="center"/>
          </w:tcPr>
          <w:p w14:paraId="731967CE"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50" w:name="bookmark=id.46r0co2" w:colFirst="0" w:colLast="0"/>
            <w:bookmarkEnd w:id="50"/>
            <w:r w:rsidRPr="0055767F">
              <w:rPr>
                <w:rFonts w:ascii="Times New Roman" w:eastAsia="Times New Roman" w:hAnsi="Times New Roman" w:cs="Times New Roman"/>
                <w:color w:val="000000"/>
                <w:sz w:val="24"/>
                <w:szCs w:val="24"/>
              </w:rPr>
              <w:t>0</w:t>
            </w:r>
            <w:r w:rsidR="00BF0CCD" w:rsidRPr="0055767F">
              <w:rPr>
                <w:rFonts w:ascii="Times New Roman" w:eastAsia="Times New Roman" w:hAnsi="Times New Roman" w:cs="Times New Roman"/>
                <w:color w:val="000000"/>
                <w:sz w:val="24"/>
                <w:szCs w:val="24"/>
              </w:rPr>
              <w:t>,348</w:t>
            </w:r>
          </w:p>
        </w:tc>
      </w:tr>
      <w:tr w:rsidR="00C82386" w14:paraId="164E3A4E" w14:textId="77777777" w:rsidTr="0033187F">
        <w:trPr>
          <w:trHeight w:val="330"/>
          <w:jc w:val="center"/>
        </w:trPr>
        <w:tc>
          <w:tcPr>
            <w:tcW w:w="5160" w:type="dxa"/>
            <w:shd w:val="clear" w:color="auto" w:fill="auto"/>
            <w:vAlign w:val="center"/>
          </w:tcPr>
          <w:p w14:paraId="75577BEA"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Торф</w:t>
            </w:r>
          </w:p>
        </w:tc>
        <w:tc>
          <w:tcPr>
            <w:tcW w:w="2168" w:type="dxa"/>
            <w:shd w:val="clear" w:color="auto" w:fill="auto"/>
            <w:vAlign w:val="center"/>
          </w:tcPr>
          <w:p w14:paraId="3839A3D0"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r w:rsidRPr="0055767F">
              <w:rPr>
                <w:rFonts w:ascii="Times New Roman" w:eastAsia="Times New Roman" w:hAnsi="Times New Roman" w:cs="Times New Roman"/>
                <w:color w:val="000000"/>
                <w:sz w:val="24"/>
                <w:szCs w:val="24"/>
              </w:rPr>
              <w:t>0,383</w:t>
            </w:r>
          </w:p>
        </w:tc>
      </w:tr>
      <w:tr w:rsidR="00C82386" w14:paraId="25711BF0" w14:textId="77777777" w:rsidTr="0033187F">
        <w:trPr>
          <w:trHeight w:val="330"/>
          <w:jc w:val="center"/>
        </w:trPr>
        <w:tc>
          <w:tcPr>
            <w:tcW w:w="5160" w:type="dxa"/>
            <w:shd w:val="clear" w:color="auto" w:fill="auto"/>
            <w:vAlign w:val="center"/>
          </w:tcPr>
          <w:p w14:paraId="521F90B6" w14:textId="77777777" w:rsidR="00C82386" w:rsidRDefault="00E66F6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Деревина (відновлюване джерело)</w:t>
            </w:r>
          </w:p>
        </w:tc>
        <w:tc>
          <w:tcPr>
            <w:tcW w:w="2168" w:type="dxa"/>
            <w:shd w:val="clear" w:color="auto" w:fill="auto"/>
            <w:vAlign w:val="center"/>
          </w:tcPr>
          <w:p w14:paraId="1FFF6FCF" w14:textId="77777777" w:rsidR="00C82386" w:rsidRPr="0055767F" w:rsidRDefault="00E66F64">
            <w:pPr>
              <w:spacing w:after="0" w:line="240" w:lineRule="auto"/>
              <w:jc w:val="center"/>
              <w:rPr>
                <w:rFonts w:ascii="Times New Roman" w:eastAsia="Times New Roman" w:hAnsi="Times New Roman" w:cs="Times New Roman"/>
                <w:color w:val="000000"/>
                <w:sz w:val="24"/>
                <w:szCs w:val="24"/>
              </w:rPr>
            </w:pPr>
            <w:bookmarkStart w:id="51" w:name="bookmark=id.2lwamvv" w:colFirst="0" w:colLast="0"/>
            <w:bookmarkEnd w:id="51"/>
            <w:r w:rsidRPr="0055767F">
              <w:rPr>
                <w:rFonts w:ascii="Times New Roman" w:eastAsia="Times New Roman" w:hAnsi="Times New Roman" w:cs="Times New Roman"/>
                <w:color w:val="000000"/>
                <w:sz w:val="24"/>
                <w:szCs w:val="24"/>
              </w:rPr>
              <w:t>0,007</w:t>
            </w:r>
          </w:p>
        </w:tc>
      </w:tr>
    </w:tbl>
    <w:p w14:paraId="7F498174" w14:textId="77777777" w:rsidR="00C82386" w:rsidRDefault="00E66F64">
      <w:pPr>
        <w:spacing w:before="120" w:after="0"/>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Підтвердження відновлюваності деревини.</w:t>
      </w:r>
    </w:p>
    <w:p w14:paraId="41F832FB" w14:textId="77777777" w:rsidR="00C82386" w:rsidRDefault="00E66F64">
      <w:pPr>
        <w:spacing w:after="0"/>
        <w:ind w:firstLine="708"/>
        <w:jc w:val="both"/>
        <w:rPr>
          <w:rFonts w:ascii="Times New Roman" w:eastAsia="Times New Roman" w:hAnsi="Times New Roman" w:cs="Times New Roman"/>
          <w:sz w:val="24"/>
          <w:szCs w:val="24"/>
        </w:rPr>
      </w:pPr>
      <w:r w:rsidRPr="00BF12BA">
        <w:rPr>
          <w:rFonts w:ascii="Times New Roman" w:eastAsia="Times New Roman" w:hAnsi="Times New Roman" w:cs="Times New Roman"/>
          <w:sz w:val="24"/>
          <w:szCs w:val="24"/>
        </w:rPr>
        <w:t>Територія Житомирської міської ТГ знаходиться на межі Поліської та лісостепової зон та входить до Коростишівського природного району Житомирського Полісся, який має характерний рівнинний рельєф. Майже з усіх сторін забудова міста Житомир та село Вереси оточені лісовими масивами. Оскільки приріст деревини значно перевищує обсяги деревини, що використовується для опалення в Житомирській міській ТГ, деревина як енергетичний ресурс приймається відновлюваною.</w:t>
      </w:r>
    </w:p>
    <w:p w14:paraId="69C89A21" w14:textId="77777777" w:rsidR="00C82386" w:rsidRPr="00CC7FE4" w:rsidRDefault="00E66F64" w:rsidP="0033187F">
      <w:pPr>
        <w:spacing w:before="240" w:after="0"/>
        <w:ind w:firstLine="708"/>
        <w:jc w:val="center"/>
        <w:rPr>
          <w:rFonts w:ascii="Times New Roman" w:eastAsia="Times New Roman" w:hAnsi="Times New Roman" w:cs="Times New Roman"/>
          <w:b/>
          <w:sz w:val="24"/>
          <w:szCs w:val="24"/>
        </w:rPr>
      </w:pPr>
      <w:r w:rsidRPr="00CC7FE4">
        <w:rPr>
          <w:rFonts w:ascii="Times New Roman" w:eastAsia="Times New Roman" w:hAnsi="Times New Roman" w:cs="Times New Roman"/>
          <w:b/>
          <w:sz w:val="24"/>
          <w:szCs w:val="24"/>
        </w:rPr>
        <w:t>Коефіці</w:t>
      </w:r>
      <w:r w:rsidR="0055767F">
        <w:rPr>
          <w:rFonts w:ascii="Times New Roman" w:eastAsia="Times New Roman" w:hAnsi="Times New Roman" w:cs="Times New Roman"/>
          <w:b/>
          <w:sz w:val="24"/>
          <w:szCs w:val="24"/>
        </w:rPr>
        <w:t>є</w:t>
      </w:r>
      <w:r w:rsidRPr="00CC7FE4">
        <w:rPr>
          <w:rFonts w:ascii="Times New Roman" w:eastAsia="Times New Roman" w:hAnsi="Times New Roman" w:cs="Times New Roman"/>
          <w:b/>
          <w:sz w:val="24"/>
          <w:szCs w:val="24"/>
        </w:rPr>
        <w:t>нт СО</w:t>
      </w:r>
      <w:r w:rsidRPr="00CC7FE4">
        <w:rPr>
          <w:rFonts w:ascii="Times New Roman" w:eastAsia="Times New Roman" w:hAnsi="Times New Roman" w:cs="Times New Roman"/>
          <w:b/>
          <w:sz w:val="24"/>
          <w:szCs w:val="24"/>
          <w:vertAlign w:val="subscript"/>
        </w:rPr>
        <w:t>2 екв.</w:t>
      </w:r>
      <w:r w:rsidRPr="00CC7FE4">
        <w:rPr>
          <w:rFonts w:ascii="Times New Roman" w:eastAsia="Times New Roman" w:hAnsi="Times New Roman" w:cs="Times New Roman"/>
          <w:b/>
          <w:sz w:val="24"/>
          <w:szCs w:val="24"/>
        </w:rPr>
        <w:t xml:space="preserve"> для тепла.</w:t>
      </w:r>
    </w:p>
    <w:p w14:paraId="4FCDC0C0" w14:textId="77777777" w:rsidR="00C82386" w:rsidRPr="00CC7FE4" w:rsidRDefault="00E66F64">
      <w:pPr>
        <w:spacing w:after="0"/>
        <w:ind w:firstLine="708"/>
        <w:jc w:val="both"/>
        <w:rPr>
          <w:rFonts w:ascii="Times New Roman" w:eastAsia="Times New Roman" w:hAnsi="Times New Roman" w:cs="Times New Roman"/>
          <w:sz w:val="24"/>
          <w:szCs w:val="24"/>
        </w:rPr>
      </w:pPr>
      <w:r w:rsidRPr="00CC7FE4">
        <w:rPr>
          <w:rFonts w:ascii="Times New Roman" w:eastAsia="Times New Roman" w:hAnsi="Times New Roman" w:cs="Times New Roman"/>
          <w:sz w:val="24"/>
          <w:szCs w:val="24"/>
        </w:rPr>
        <w:t>Під час розробки БКВ також окремо розраховується один з основних показників – коефіцієнт викидів СО</w:t>
      </w:r>
      <w:r w:rsidRPr="00CC7FE4">
        <w:rPr>
          <w:rFonts w:ascii="Times New Roman" w:eastAsia="Times New Roman" w:hAnsi="Times New Roman" w:cs="Times New Roman"/>
          <w:sz w:val="24"/>
          <w:szCs w:val="24"/>
          <w:vertAlign w:val="subscript"/>
        </w:rPr>
        <w:t>2</w:t>
      </w:r>
      <w:r w:rsidRPr="00CC7FE4">
        <w:rPr>
          <w:rFonts w:ascii="Times New Roman" w:eastAsia="Times New Roman" w:hAnsi="Times New Roman" w:cs="Times New Roman"/>
          <w:sz w:val="24"/>
          <w:szCs w:val="24"/>
        </w:rPr>
        <w:t xml:space="preserve"> тепла, що вироблено теплогенеруючими потужнос</w:t>
      </w:r>
      <w:r w:rsidR="00E32992">
        <w:rPr>
          <w:rFonts w:ascii="Times New Roman" w:eastAsia="Times New Roman" w:hAnsi="Times New Roman" w:cs="Times New Roman"/>
          <w:sz w:val="24"/>
          <w:szCs w:val="24"/>
        </w:rPr>
        <w:t>тями централізованого опалення.</w:t>
      </w:r>
    </w:p>
    <w:p w14:paraId="23685AA5" w14:textId="77777777" w:rsidR="00C82386" w:rsidRPr="00CC7FE4" w:rsidRDefault="00E66F64">
      <w:pPr>
        <w:spacing w:after="0"/>
        <w:ind w:firstLine="708"/>
        <w:jc w:val="right"/>
        <w:rPr>
          <w:rFonts w:ascii="Times New Roman" w:eastAsia="Times New Roman" w:hAnsi="Times New Roman" w:cs="Times New Roman"/>
          <w:sz w:val="24"/>
          <w:szCs w:val="24"/>
        </w:rPr>
      </w:pPr>
      <w:r w:rsidRPr="00CC7FE4">
        <w:rPr>
          <w:rFonts w:ascii="Times New Roman" w:eastAsia="Times New Roman" w:hAnsi="Times New Roman" w:cs="Times New Roman"/>
          <w:sz w:val="24"/>
          <w:szCs w:val="24"/>
        </w:rPr>
        <w:t>Таблиця 4.5.</w:t>
      </w:r>
    </w:p>
    <w:p w14:paraId="756A3E0F" w14:textId="77777777" w:rsidR="00C82386" w:rsidRPr="00CC7FE4" w:rsidRDefault="00E66F64" w:rsidP="00451B9D">
      <w:pPr>
        <w:spacing w:after="0"/>
        <w:ind w:firstLine="708"/>
        <w:jc w:val="center"/>
        <w:rPr>
          <w:rFonts w:ascii="Times New Roman" w:eastAsia="Times New Roman" w:hAnsi="Times New Roman" w:cs="Times New Roman"/>
          <w:sz w:val="24"/>
          <w:szCs w:val="24"/>
        </w:rPr>
      </w:pPr>
      <w:r w:rsidRPr="00CC7FE4">
        <w:rPr>
          <w:rFonts w:ascii="Times New Roman" w:eastAsia="Times New Roman" w:hAnsi="Times New Roman" w:cs="Times New Roman"/>
          <w:sz w:val="24"/>
          <w:szCs w:val="24"/>
        </w:rPr>
        <w:t>Розрахунок коефіцієнта СО</w:t>
      </w:r>
      <w:r w:rsidRPr="00CC7FE4">
        <w:rPr>
          <w:rFonts w:ascii="Times New Roman" w:eastAsia="Times New Roman" w:hAnsi="Times New Roman" w:cs="Times New Roman"/>
          <w:sz w:val="24"/>
          <w:szCs w:val="24"/>
          <w:vertAlign w:val="subscript"/>
        </w:rPr>
        <w:t>2 екв.</w:t>
      </w:r>
      <w:r w:rsidRPr="00CC7FE4">
        <w:rPr>
          <w:rFonts w:ascii="Times New Roman" w:eastAsia="Times New Roman" w:hAnsi="Times New Roman" w:cs="Times New Roman"/>
          <w:sz w:val="24"/>
          <w:szCs w:val="24"/>
        </w:rPr>
        <w:t xml:space="preserve"> для тепла для базового 2010 року</w:t>
      </w:r>
    </w:p>
    <w:tbl>
      <w:tblPr>
        <w:tblStyle w:val="afffff8"/>
        <w:tblW w:w="10286"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91"/>
        <w:gridCol w:w="1276"/>
        <w:gridCol w:w="1276"/>
        <w:gridCol w:w="1559"/>
        <w:gridCol w:w="1418"/>
        <w:gridCol w:w="992"/>
        <w:gridCol w:w="850"/>
        <w:gridCol w:w="789"/>
        <w:gridCol w:w="935"/>
      </w:tblGrid>
      <w:tr w:rsidR="00C82386" w:rsidRPr="00CC7FE4" w14:paraId="57A98F49" w14:textId="77777777" w:rsidTr="0033187F">
        <w:trPr>
          <w:trHeight w:val="630"/>
        </w:trPr>
        <w:tc>
          <w:tcPr>
            <w:tcW w:w="1191" w:type="dxa"/>
            <w:vMerge w:val="restart"/>
            <w:shd w:val="clear" w:color="auto" w:fill="auto"/>
            <w:tcMar>
              <w:left w:w="51" w:type="dxa"/>
              <w:right w:w="51" w:type="dxa"/>
            </w:tcMar>
            <w:vAlign w:val="center"/>
          </w:tcPr>
          <w:p w14:paraId="07DBC8A7"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 xml:space="preserve">Тепло, що надано </w:t>
            </w:r>
            <w:r w:rsidRPr="00CC7FE4">
              <w:rPr>
                <w:rFonts w:ascii="Times New Roman" w:eastAsia="Times New Roman" w:hAnsi="Times New Roman" w:cs="Times New Roman"/>
                <w:b/>
                <w:color w:val="000000"/>
                <w:sz w:val="20"/>
                <w:szCs w:val="20"/>
              </w:rPr>
              <w:lastRenderedPageBreak/>
              <w:t>кінцевому споживачу, Гкал</w:t>
            </w:r>
          </w:p>
        </w:tc>
        <w:tc>
          <w:tcPr>
            <w:tcW w:w="2552" w:type="dxa"/>
            <w:gridSpan w:val="2"/>
            <w:shd w:val="clear" w:color="auto" w:fill="auto"/>
            <w:tcMar>
              <w:left w:w="51" w:type="dxa"/>
              <w:right w:w="51" w:type="dxa"/>
            </w:tcMar>
            <w:vAlign w:val="center"/>
          </w:tcPr>
          <w:p w14:paraId="15AD643F"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lastRenderedPageBreak/>
              <w:t>Енергетичне паливо</w:t>
            </w:r>
          </w:p>
        </w:tc>
        <w:tc>
          <w:tcPr>
            <w:tcW w:w="1559" w:type="dxa"/>
            <w:vMerge w:val="restart"/>
            <w:shd w:val="clear" w:color="auto" w:fill="auto"/>
            <w:tcMar>
              <w:left w:w="51" w:type="dxa"/>
              <w:right w:w="51" w:type="dxa"/>
            </w:tcMar>
            <w:vAlign w:val="center"/>
          </w:tcPr>
          <w:p w14:paraId="37EB737E"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 xml:space="preserve">Витрати енергетичних </w:t>
            </w:r>
            <w:r w:rsidRPr="00CC7FE4">
              <w:rPr>
                <w:rFonts w:ascii="Times New Roman" w:eastAsia="Times New Roman" w:hAnsi="Times New Roman" w:cs="Times New Roman"/>
                <w:b/>
                <w:color w:val="000000"/>
                <w:sz w:val="20"/>
                <w:szCs w:val="20"/>
              </w:rPr>
              <w:lastRenderedPageBreak/>
              <w:t>ресурсів на 1 Гкал, що надана споживачу, в натуральних одиницях</w:t>
            </w:r>
          </w:p>
        </w:tc>
        <w:tc>
          <w:tcPr>
            <w:tcW w:w="1418" w:type="dxa"/>
            <w:vMerge w:val="restart"/>
            <w:shd w:val="clear" w:color="auto" w:fill="auto"/>
            <w:tcMar>
              <w:left w:w="51" w:type="dxa"/>
              <w:right w:w="51" w:type="dxa"/>
            </w:tcMar>
            <w:vAlign w:val="center"/>
          </w:tcPr>
          <w:p w14:paraId="5EBA81DD" w14:textId="77777777" w:rsidR="00C82386" w:rsidRPr="00CC7FE4" w:rsidRDefault="004341E7">
            <w:pPr>
              <w:spacing w:after="0" w:line="240" w:lineRule="auto"/>
              <w:jc w:val="center"/>
              <w:rPr>
                <w:rFonts w:ascii="Times New Roman" w:eastAsia="Times New Roman" w:hAnsi="Times New Roman" w:cs="Times New Roman"/>
                <w:b/>
                <w:color w:val="000000"/>
                <w:sz w:val="20"/>
                <w:szCs w:val="20"/>
              </w:rPr>
            </w:pPr>
            <w:sdt>
              <w:sdtPr>
                <w:tag w:val="goog_rdk_61"/>
                <w:id w:val="1145703562"/>
              </w:sdtPr>
              <w:sdtEndPr/>
              <w:sdtContent>
                <w:r w:rsidR="00E66F64" w:rsidRPr="00CC7FE4">
                  <w:rPr>
                    <w:rFonts w:ascii="Gungsuh" w:eastAsia="Gungsuh" w:hAnsi="Gungsuh" w:cs="Gungsuh"/>
                    <w:b/>
                    <w:color w:val="000000"/>
                    <w:sz w:val="20"/>
                    <w:szCs w:val="20"/>
                  </w:rPr>
                  <w:t>Витрати енергетичн</w:t>
                </w:r>
                <w:r w:rsidR="00E66F64" w:rsidRPr="00CC7FE4">
                  <w:rPr>
                    <w:rFonts w:ascii="Gungsuh" w:eastAsia="Gungsuh" w:hAnsi="Gungsuh" w:cs="Gungsuh"/>
                    <w:b/>
                    <w:color w:val="000000"/>
                    <w:sz w:val="20"/>
                    <w:szCs w:val="20"/>
                  </w:rPr>
                  <w:lastRenderedPageBreak/>
                  <w:t>их ресурсів на 1 Гкал, що надана споживачу, в МВт∙год</w:t>
                </w:r>
              </w:sdtContent>
            </w:sdt>
          </w:p>
        </w:tc>
        <w:tc>
          <w:tcPr>
            <w:tcW w:w="992" w:type="dxa"/>
            <w:vMerge w:val="restart"/>
            <w:shd w:val="clear" w:color="auto" w:fill="auto"/>
            <w:tcMar>
              <w:left w:w="51" w:type="dxa"/>
              <w:right w:w="51" w:type="dxa"/>
            </w:tcMar>
            <w:vAlign w:val="center"/>
          </w:tcPr>
          <w:p w14:paraId="3414D400"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lastRenderedPageBreak/>
              <w:t xml:space="preserve">Коефіцієнт </w:t>
            </w:r>
            <w:r w:rsidRPr="00CC7FE4">
              <w:rPr>
                <w:rFonts w:ascii="Times New Roman" w:eastAsia="Times New Roman" w:hAnsi="Times New Roman" w:cs="Times New Roman"/>
                <w:b/>
                <w:color w:val="000000"/>
                <w:sz w:val="20"/>
                <w:szCs w:val="20"/>
              </w:rPr>
              <w:lastRenderedPageBreak/>
              <w:t>викидів СО</w:t>
            </w:r>
            <w:r w:rsidRPr="00CC7FE4">
              <w:rPr>
                <w:rFonts w:ascii="Times New Roman" w:eastAsia="Times New Roman" w:hAnsi="Times New Roman" w:cs="Times New Roman"/>
                <w:b/>
                <w:color w:val="000000"/>
                <w:sz w:val="20"/>
                <w:szCs w:val="20"/>
                <w:vertAlign w:val="subscript"/>
              </w:rPr>
              <w:t>2 екв.</w:t>
            </w:r>
            <w:r w:rsidRPr="00CC7FE4">
              <w:rPr>
                <w:rFonts w:ascii="Times New Roman" w:eastAsia="Times New Roman" w:hAnsi="Times New Roman" w:cs="Times New Roman"/>
                <w:b/>
                <w:color w:val="000000"/>
                <w:sz w:val="20"/>
                <w:szCs w:val="20"/>
              </w:rPr>
              <w:t>, тонн</w:t>
            </w:r>
          </w:p>
        </w:tc>
        <w:tc>
          <w:tcPr>
            <w:tcW w:w="850" w:type="dxa"/>
            <w:vMerge w:val="restart"/>
            <w:shd w:val="clear" w:color="auto" w:fill="auto"/>
            <w:tcMar>
              <w:left w:w="51" w:type="dxa"/>
              <w:right w:w="51" w:type="dxa"/>
            </w:tcMar>
            <w:vAlign w:val="center"/>
          </w:tcPr>
          <w:p w14:paraId="1E15E03D"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lastRenderedPageBreak/>
              <w:t>Викиди СО</w:t>
            </w:r>
            <w:r w:rsidRPr="00CC7FE4">
              <w:rPr>
                <w:rFonts w:ascii="Times New Roman" w:eastAsia="Times New Roman" w:hAnsi="Times New Roman" w:cs="Times New Roman"/>
                <w:b/>
                <w:color w:val="000000"/>
                <w:sz w:val="20"/>
                <w:szCs w:val="20"/>
                <w:vertAlign w:val="subscript"/>
              </w:rPr>
              <w:t>2 екв.</w:t>
            </w:r>
            <w:r w:rsidRPr="00CC7FE4">
              <w:rPr>
                <w:rFonts w:ascii="Times New Roman" w:eastAsia="Times New Roman" w:hAnsi="Times New Roman" w:cs="Times New Roman"/>
                <w:b/>
                <w:color w:val="000000"/>
                <w:sz w:val="20"/>
                <w:szCs w:val="20"/>
              </w:rPr>
              <w:t>, тон</w:t>
            </w:r>
          </w:p>
        </w:tc>
        <w:tc>
          <w:tcPr>
            <w:tcW w:w="789" w:type="dxa"/>
            <w:vMerge w:val="restart"/>
            <w:shd w:val="clear" w:color="auto" w:fill="auto"/>
            <w:tcMar>
              <w:left w:w="51" w:type="dxa"/>
              <w:right w:w="51" w:type="dxa"/>
            </w:tcMar>
            <w:vAlign w:val="center"/>
          </w:tcPr>
          <w:p w14:paraId="48484EA4"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Сума викиді</w:t>
            </w:r>
            <w:r w:rsidRPr="00CC7FE4">
              <w:rPr>
                <w:rFonts w:ascii="Times New Roman" w:eastAsia="Times New Roman" w:hAnsi="Times New Roman" w:cs="Times New Roman"/>
                <w:b/>
                <w:color w:val="000000"/>
                <w:sz w:val="20"/>
                <w:szCs w:val="20"/>
              </w:rPr>
              <w:lastRenderedPageBreak/>
              <w:t>в на 1 Гкал, тонн</w:t>
            </w:r>
          </w:p>
        </w:tc>
        <w:tc>
          <w:tcPr>
            <w:tcW w:w="935" w:type="dxa"/>
            <w:vMerge w:val="restart"/>
            <w:shd w:val="clear" w:color="auto" w:fill="auto"/>
            <w:tcMar>
              <w:left w:w="51" w:type="dxa"/>
              <w:right w:w="51" w:type="dxa"/>
            </w:tcMar>
            <w:vAlign w:val="center"/>
          </w:tcPr>
          <w:p w14:paraId="18FDB230"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lastRenderedPageBreak/>
              <w:t xml:space="preserve">Сума викидів </w:t>
            </w:r>
            <w:r w:rsidRPr="00CC7FE4">
              <w:rPr>
                <w:rFonts w:ascii="Times New Roman" w:eastAsia="Times New Roman" w:hAnsi="Times New Roman" w:cs="Times New Roman"/>
                <w:b/>
                <w:color w:val="000000"/>
                <w:sz w:val="20"/>
                <w:szCs w:val="20"/>
              </w:rPr>
              <w:lastRenderedPageBreak/>
              <w:t>на 1 МВт·год тепла, тонн</w:t>
            </w:r>
          </w:p>
        </w:tc>
      </w:tr>
      <w:tr w:rsidR="00C82386" w:rsidRPr="00CC7FE4" w14:paraId="47FED220" w14:textId="77777777" w:rsidTr="0033187F">
        <w:trPr>
          <w:trHeight w:val="1290"/>
        </w:trPr>
        <w:tc>
          <w:tcPr>
            <w:tcW w:w="1191" w:type="dxa"/>
            <w:vMerge/>
            <w:shd w:val="clear" w:color="auto" w:fill="auto"/>
            <w:tcMar>
              <w:left w:w="51" w:type="dxa"/>
              <w:right w:w="51" w:type="dxa"/>
            </w:tcMar>
            <w:vAlign w:val="center"/>
          </w:tcPr>
          <w:p w14:paraId="1EEAD809"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1276" w:type="dxa"/>
            <w:shd w:val="clear" w:color="auto" w:fill="auto"/>
            <w:vAlign w:val="center"/>
          </w:tcPr>
          <w:p w14:paraId="326E960E"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Назва енергетичного палива</w:t>
            </w:r>
          </w:p>
        </w:tc>
        <w:tc>
          <w:tcPr>
            <w:tcW w:w="1276" w:type="dxa"/>
            <w:shd w:val="clear" w:color="auto" w:fill="auto"/>
            <w:vAlign w:val="center"/>
          </w:tcPr>
          <w:p w14:paraId="577F672F" w14:textId="77777777" w:rsidR="00C82386" w:rsidRPr="00CC7FE4" w:rsidRDefault="00E66F64">
            <w:pPr>
              <w:spacing w:after="0" w:line="240" w:lineRule="auto"/>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Кількість спожитого палива</w:t>
            </w:r>
          </w:p>
        </w:tc>
        <w:tc>
          <w:tcPr>
            <w:tcW w:w="1559" w:type="dxa"/>
            <w:vMerge/>
            <w:shd w:val="clear" w:color="auto" w:fill="auto"/>
            <w:tcMar>
              <w:left w:w="51" w:type="dxa"/>
              <w:right w:w="51" w:type="dxa"/>
            </w:tcMar>
            <w:vAlign w:val="center"/>
          </w:tcPr>
          <w:p w14:paraId="4DA65695"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1418" w:type="dxa"/>
            <w:vMerge/>
            <w:shd w:val="clear" w:color="auto" w:fill="auto"/>
            <w:tcMar>
              <w:left w:w="51" w:type="dxa"/>
              <w:right w:w="51" w:type="dxa"/>
            </w:tcMar>
            <w:vAlign w:val="center"/>
          </w:tcPr>
          <w:p w14:paraId="01546A2C"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992" w:type="dxa"/>
            <w:vMerge/>
            <w:shd w:val="clear" w:color="auto" w:fill="auto"/>
            <w:tcMar>
              <w:left w:w="51" w:type="dxa"/>
              <w:right w:w="51" w:type="dxa"/>
            </w:tcMar>
            <w:vAlign w:val="center"/>
          </w:tcPr>
          <w:p w14:paraId="1E79DDDF"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850" w:type="dxa"/>
            <w:vMerge/>
            <w:shd w:val="clear" w:color="auto" w:fill="auto"/>
            <w:tcMar>
              <w:left w:w="51" w:type="dxa"/>
              <w:right w:w="51" w:type="dxa"/>
            </w:tcMar>
            <w:vAlign w:val="center"/>
          </w:tcPr>
          <w:p w14:paraId="44417D38"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789" w:type="dxa"/>
            <w:vMerge/>
            <w:shd w:val="clear" w:color="auto" w:fill="auto"/>
            <w:tcMar>
              <w:left w:w="51" w:type="dxa"/>
              <w:right w:w="51" w:type="dxa"/>
            </w:tcMar>
            <w:vAlign w:val="center"/>
          </w:tcPr>
          <w:p w14:paraId="1F6D9E15"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935" w:type="dxa"/>
            <w:vMerge/>
            <w:shd w:val="clear" w:color="auto" w:fill="auto"/>
            <w:tcMar>
              <w:left w:w="51" w:type="dxa"/>
              <w:right w:w="51" w:type="dxa"/>
            </w:tcMar>
            <w:vAlign w:val="center"/>
          </w:tcPr>
          <w:p w14:paraId="4B56476C" w14:textId="77777777" w:rsidR="00C82386" w:rsidRPr="00CC7FE4"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r>
      <w:tr w:rsidR="00C82386" w:rsidRPr="00CF59FF" w14:paraId="4C874578" w14:textId="77777777" w:rsidTr="0033187F">
        <w:trPr>
          <w:trHeight w:val="330"/>
        </w:trPr>
        <w:tc>
          <w:tcPr>
            <w:tcW w:w="1191" w:type="dxa"/>
            <w:vMerge w:val="restart"/>
            <w:shd w:val="clear" w:color="auto" w:fill="auto"/>
            <w:vAlign w:val="center"/>
          </w:tcPr>
          <w:p w14:paraId="15CFF1F1"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586635,0</w:t>
            </w:r>
          </w:p>
        </w:tc>
        <w:tc>
          <w:tcPr>
            <w:tcW w:w="1276" w:type="dxa"/>
            <w:shd w:val="clear" w:color="auto" w:fill="auto"/>
            <w:vAlign w:val="center"/>
          </w:tcPr>
          <w:p w14:paraId="658155A2"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газ, тис. м</w:t>
            </w:r>
            <w:r w:rsidRPr="00CC7FE4">
              <w:rPr>
                <w:rFonts w:ascii="Times New Roman" w:eastAsia="Times New Roman" w:hAnsi="Times New Roman" w:cs="Times New Roman"/>
                <w:color w:val="000000"/>
                <w:sz w:val="20"/>
                <w:szCs w:val="20"/>
                <w:vertAlign w:val="superscript"/>
              </w:rPr>
              <w:t>3</w:t>
            </w:r>
          </w:p>
        </w:tc>
        <w:tc>
          <w:tcPr>
            <w:tcW w:w="1276" w:type="dxa"/>
            <w:shd w:val="clear" w:color="auto" w:fill="auto"/>
            <w:vAlign w:val="center"/>
          </w:tcPr>
          <w:p w14:paraId="2DBF12B3"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96800,0</w:t>
            </w:r>
          </w:p>
        </w:tc>
        <w:tc>
          <w:tcPr>
            <w:tcW w:w="1559" w:type="dxa"/>
            <w:shd w:val="clear" w:color="auto" w:fill="auto"/>
            <w:vAlign w:val="center"/>
          </w:tcPr>
          <w:p w14:paraId="163D379E"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0,165</w:t>
            </w:r>
          </w:p>
        </w:tc>
        <w:tc>
          <w:tcPr>
            <w:tcW w:w="1418" w:type="dxa"/>
            <w:shd w:val="clear" w:color="auto" w:fill="auto"/>
            <w:vAlign w:val="center"/>
          </w:tcPr>
          <w:p w14:paraId="458B7307" w14:textId="77777777" w:rsidR="00C82386" w:rsidRPr="00CC7FE4" w:rsidRDefault="00CC7FE4">
            <w:pPr>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1,54</w:t>
            </w:r>
          </w:p>
        </w:tc>
        <w:tc>
          <w:tcPr>
            <w:tcW w:w="992" w:type="dxa"/>
            <w:shd w:val="clear" w:color="auto" w:fill="auto"/>
            <w:vAlign w:val="center"/>
          </w:tcPr>
          <w:p w14:paraId="11C8AA17"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0,202</w:t>
            </w:r>
          </w:p>
        </w:tc>
        <w:tc>
          <w:tcPr>
            <w:tcW w:w="850" w:type="dxa"/>
            <w:shd w:val="clear" w:color="auto" w:fill="auto"/>
            <w:vAlign w:val="center"/>
          </w:tcPr>
          <w:p w14:paraId="5A31DFF6" w14:textId="77777777" w:rsidR="00C82386" w:rsidRPr="00CC7FE4" w:rsidRDefault="00CC7FE4">
            <w:pPr>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0,311</w:t>
            </w:r>
          </w:p>
        </w:tc>
        <w:tc>
          <w:tcPr>
            <w:tcW w:w="789" w:type="dxa"/>
            <w:vMerge w:val="restart"/>
            <w:shd w:val="clear" w:color="auto" w:fill="auto"/>
            <w:vAlign w:val="center"/>
          </w:tcPr>
          <w:p w14:paraId="4669D5A1" w14:textId="77777777" w:rsidR="00C82386" w:rsidRPr="00CC7FE4" w:rsidRDefault="00CC7FE4">
            <w:pPr>
              <w:spacing w:after="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0,332</w:t>
            </w:r>
          </w:p>
        </w:tc>
        <w:tc>
          <w:tcPr>
            <w:tcW w:w="935" w:type="dxa"/>
            <w:vMerge w:val="restart"/>
            <w:shd w:val="clear" w:color="auto" w:fill="auto"/>
            <w:vAlign w:val="center"/>
          </w:tcPr>
          <w:p w14:paraId="65356597" w14:textId="77777777" w:rsidR="00C82386" w:rsidRPr="00CC7FE4" w:rsidRDefault="00CC7FE4">
            <w:pPr>
              <w:spacing w:after="0"/>
              <w:jc w:val="center"/>
              <w:rPr>
                <w:rFonts w:ascii="Times New Roman" w:eastAsia="Times New Roman" w:hAnsi="Times New Roman" w:cs="Times New Roman"/>
                <w:b/>
                <w:color w:val="000000"/>
                <w:sz w:val="20"/>
                <w:szCs w:val="20"/>
              </w:rPr>
            </w:pPr>
            <w:r w:rsidRPr="00CC7FE4">
              <w:rPr>
                <w:rFonts w:ascii="Times New Roman" w:eastAsia="Times New Roman" w:hAnsi="Times New Roman" w:cs="Times New Roman"/>
                <w:b/>
                <w:color w:val="000000"/>
                <w:sz w:val="20"/>
                <w:szCs w:val="20"/>
              </w:rPr>
              <w:t>0,286</w:t>
            </w:r>
          </w:p>
        </w:tc>
      </w:tr>
      <w:tr w:rsidR="00C82386" w:rsidRPr="00CF59FF" w14:paraId="31623409" w14:textId="77777777" w:rsidTr="0033187F">
        <w:trPr>
          <w:trHeight w:val="615"/>
        </w:trPr>
        <w:tc>
          <w:tcPr>
            <w:tcW w:w="1191" w:type="dxa"/>
            <w:vMerge/>
            <w:shd w:val="clear" w:color="auto" w:fill="auto"/>
            <w:vAlign w:val="center"/>
          </w:tcPr>
          <w:p w14:paraId="7C80F0D8"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1276" w:type="dxa"/>
            <w:shd w:val="clear" w:color="auto" w:fill="auto"/>
            <w:vAlign w:val="center"/>
          </w:tcPr>
          <w:p w14:paraId="79A49004" w14:textId="77777777" w:rsidR="00C82386" w:rsidRPr="00CC7FE4" w:rsidRDefault="004341E7">
            <w:pPr>
              <w:spacing w:after="0"/>
              <w:jc w:val="center"/>
              <w:rPr>
                <w:rFonts w:ascii="Times New Roman" w:eastAsia="Times New Roman" w:hAnsi="Times New Roman" w:cs="Times New Roman"/>
                <w:color w:val="000000"/>
                <w:sz w:val="20"/>
                <w:szCs w:val="20"/>
              </w:rPr>
            </w:pPr>
            <w:sdt>
              <w:sdtPr>
                <w:tag w:val="goog_rdk_62"/>
                <w:id w:val="939255345"/>
              </w:sdtPr>
              <w:sdtEndPr/>
              <w:sdtContent>
                <w:r w:rsidR="00E66F64" w:rsidRPr="00CC7FE4">
                  <w:rPr>
                    <w:rFonts w:ascii="Gungsuh" w:eastAsia="Gungsuh" w:hAnsi="Gungsuh" w:cs="Gungsuh"/>
                    <w:color w:val="000000"/>
                    <w:sz w:val="20"/>
                    <w:szCs w:val="20"/>
                  </w:rPr>
                  <w:t>електроенергія, МВт∙год</w:t>
                </w:r>
              </w:sdtContent>
            </w:sdt>
          </w:p>
        </w:tc>
        <w:tc>
          <w:tcPr>
            <w:tcW w:w="1276" w:type="dxa"/>
            <w:shd w:val="clear" w:color="auto" w:fill="auto"/>
            <w:vAlign w:val="center"/>
          </w:tcPr>
          <w:p w14:paraId="3935EBE7"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21808,5</w:t>
            </w:r>
          </w:p>
        </w:tc>
        <w:tc>
          <w:tcPr>
            <w:tcW w:w="1559" w:type="dxa"/>
            <w:shd w:val="clear" w:color="auto" w:fill="auto"/>
            <w:vAlign w:val="center"/>
          </w:tcPr>
          <w:p w14:paraId="64A7DFE5"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0,037</w:t>
            </w:r>
          </w:p>
        </w:tc>
        <w:tc>
          <w:tcPr>
            <w:tcW w:w="1418" w:type="dxa"/>
            <w:shd w:val="clear" w:color="auto" w:fill="auto"/>
            <w:vAlign w:val="center"/>
          </w:tcPr>
          <w:p w14:paraId="17455260"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0,037</w:t>
            </w:r>
          </w:p>
        </w:tc>
        <w:tc>
          <w:tcPr>
            <w:tcW w:w="992" w:type="dxa"/>
            <w:shd w:val="clear" w:color="auto" w:fill="auto"/>
            <w:vAlign w:val="center"/>
          </w:tcPr>
          <w:p w14:paraId="5975DBDB" w14:textId="77777777" w:rsidR="00C82386" w:rsidRPr="00CC7FE4" w:rsidRDefault="00CC7FE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0,586</w:t>
            </w:r>
          </w:p>
        </w:tc>
        <w:tc>
          <w:tcPr>
            <w:tcW w:w="850" w:type="dxa"/>
            <w:shd w:val="clear" w:color="auto" w:fill="auto"/>
            <w:vAlign w:val="center"/>
          </w:tcPr>
          <w:p w14:paraId="19803621" w14:textId="77777777" w:rsidR="00C82386" w:rsidRPr="00CC7FE4" w:rsidRDefault="00E66F64">
            <w:pPr>
              <w:spacing w:after="0"/>
              <w:jc w:val="center"/>
              <w:rPr>
                <w:rFonts w:ascii="Times New Roman" w:eastAsia="Times New Roman" w:hAnsi="Times New Roman" w:cs="Times New Roman"/>
                <w:color w:val="000000"/>
                <w:sz w:val="20"/>
                <w:szCs w:val="20"/>
              </w:rPr>
            </w:pPr>
            <w:r w:rsidRPr="00CC7FE4">
              <w:rPr>
                <w:rFonts w:ascii="Times New Roman" w:eastAsia="Times New Roman" w:hAnsi="Times New Roman" w:cs="Times New Roman"/>
                <w:color w:val="000000"/>
                <w:sz w:val="20"/>
                <w:szCs w:val="20"/>
              </w:rPr>
              <w:t>0,022</w:t>
            </w:r>
          </w:p>
        </w:tc>
        <w:tc>
          <w:tcPr>
            <w:tcW w:w="789" w:type="dxa"/>
            <w:vMerge/>
            <w:shd w:val="clear" w:color="auto" w:fill="auto"/>
            <w:vAlign w:val="center"/>
          </w:tcPr>
          <w:p w14:paraId="66A95419"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color w:val="000000"/>
                <w:sz w:val="20"/>
                <w:szCs w:val="20"/>
                <w:highlight w:val="yellow"/>
              </w:rPr>
            </w:pPr>
          </w:p>
        </w:tc>
        <w:tc>
          <w:tcPr>
            <w:tcW w:w="935" w:type="dxa"/>
            <w:vMerge/>
            <w:shd w:val="clear" w:color="auto" w:fill="auto"/>
            <w:vAlign w:val="center"/>
          </w:tcPr>
          <w:p w14:paraId="090C2132"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color w:val="000000"/>
                <w:sz w:val="20"/>
                <w:szCs w:val="20"/>
                <w:highlight w:val="yellow"/>
              </w:rPr>
            </w:pPr>
          </w:p>
        </w:tc>
      </w:tr>
    </w:tbl>
    <w:p w14:paraId="1F7311F1" w14:textId="77777777" w:rsidR="00C82386" w:rsidRPr="00603E3B" w:rsidRDefault="00E66F64">
      <w:pPr>
        <w:spacing w:before="240" w:after="0"/>
        <w:ind w:firstLine="708"/>
        <w:jc w:val="both"/>
        <w:rPr>
          <w:rFonts w:ascii="Times New Roman" w:eastAsia="Times New Roman" w:hAnsi="Times New Roman" w:cs="Times New Roman"/>
          <w:b/>
        </w:rPr>
      </w:pPr>
      <w:r w:rsidRPr="00603E3B">
        <w:rPr>
          <w:rFonts w:ascii="Times New Roman" w:eastAsia="Times New Roman" w:hAnsi="Times New Roman" w:cs="Times New Roman"/>
        </w:rPr>
        <w:t>Таким чином коефіцієнт СО</w:t>
      </w:r>
      <w:r w:rsidRPr="00603E3B">
        <w:rPr>
          <w:rFonts w:ascii="Times New Roman" w:eastAsia="Times New Roman" w:hAnsi="Times New Roman" w:cs="Times New Roman"/>
          <w:vertAlign w:val="subscript"/>
        </w:rPr>
        <w:t>2 екв.</w:t>
      </w:r>
      <w:r w:rsidRPr="00603E3B">
        <w:rPr>
          <w:rFonts w:ascii="Times New Roman" w:eastAsia="Times New Roman" w:hAnsi="Times New Roman" w:cs="Times New Roman"/>
        </w:rPr>
        <w:t xml:space="preserve"> для тепла у Житомирській МТГ, станом на 2010 рік дорівнює </w:t>
      </w:r>
      <w:sdt>
        <w:sdtPr>
          <w:tag w:val="goog_rdk_63"/>
          <w:id w:val="-1916070283"/>
        </w:sdtPr>
        <w:sdtEndPr/>
        <w:sdtContent>
          <w:r w:rsidRPr="00603E3B">
            <w:rPr>
              <w:rFonts w:ascii="Gungsuh" w:eastAsia="Gungsuh" w:hAnsi="Gungsuh" w:cs="Gungsuh"/>
              <w:b/>
            </w:rPr>
            <w:t>0,28</w:t>
          </w:r>
          <w:r w:rsidR="00603E3B" w:rsidRPr="00603E3B">
            <w:rPr>
              <w:rFonts w:ascii="Gungsuh" w:eastAsia="Gungsuh" w:hAnsi="Gungsuh" w:cs="Gungsuh"/>
              <w:b/>
            </w:rPr>
            <w:t>6</w:t>
          </w:r>
          <w:r w:rsidRPr="00603E3B">
            <w:rPr>
              <w:rFonts w:ascii="Gungsuh" w:eastAsia="Gungsuh" w:hAnsi="Gungsuh" w:cs="Gungsuh"/>
              <w:b/>
            </w:rPr>
            <w:t xml:space="preserve"> тонн/МВт∙год.</w:t>
          </w:r>
        </w:sdtContent>
      </w:sdt>
    </w:p>
    <w:p w14:paraId="1C8407C5" w14:textId="77777777" w:rsidR="00C82386" w:rsidRPr="00603E3B" w:rsidRDefault="00E66F64">
      <w:pPr>
        <w:spacing w:after="0"/>
        <w:ind w:firstLine="708"/>
        <w:jc w:val="right"/>
        <w:rPr>
          <w:rFonts w:ascii="Times New Roman" w:eastAsia="Times New Roman" w:hAnsi="Times New Roman" w:cs="Times New Roman"/>
          <w:sz w:val="24"/>
          <w:szCs w:val="24"/>
        </w:rPr>
      </w:pPr>
      <w:r w:rsidRPr="00603E3B">
        <w:rPr>
          <w:rFonts w:ascii="Times New Roman" w:eastAsia="Times New Roman" w:hAnsi="Times New Roman" w:cs="Times New Roman"/>
          <w:sz w:val="24"/>
          <w:szCs w:val="24"/>
        </w:rPr>
        <w:t>Таблиця 4.6.</w:t>
      </w:r>
    </w:p>
    <w:p w14:paraId="102AD368" w14:textId="77777777" w:rsidR="00C82386" w:rsidRPr="00603E3B" w:rsidRDefault="00E66F64">
      <w:pPr>
        <w:spacing w:after="0"/>
        <w:ind w:firstLine="708"/>
        <w:jc w:val="both"/>
        <w:rPr>
          <w:rFonts w:ascii="Times New Roman" w:eastAsia="Times New Roman" w:hAnsi="Times New Roman" w:cs="Times New Roman"/>
          <w:sz w:val="24"/>
          <w:szCs w:val="24"/>
        </w:rPr>
      </w:pPr>
      <w:r w:rsidRPr="00603E3B">
        <w:rPr>
          <w:rFonts w:ascii="Times New Roman" w:eastAsia="Times New Roman" w:hAnsi="Times New Roman" w:cs="Times New Roman"/>
          <w:sz w:val="24"/>
          <w:szCs w:val="24"/>
        </w:rPr>
        <w:t>Розрахунок коефіцієнта СО</w:t>
      </w:r>
      <w:r w:rsidRPr="00603E3B">
        <w:rPr>
          <w:rFonts w:ascii="Times New Roman" w:eastAsia="Times New Roman" w:hAnsi="Times New Roman" w:cs="Times New Roman"/>
          <w:sz w:val="24"/>
          <w:szCs w:val="24"/>
          <w:vertAlign w:val="subscript"/>
        </w:rPr>
        <w:t>2 екв.</w:t>
      </w:r>
      <w:r w:rsidRPr="00603E3B">
        <w:rPr>
          <w:rFonts w:ascii="Times New Roman" w:eastAsia="Times New Roman" w:hAnsi="Times New Roman" w:cs="Times New Roman"/>
          <w:sz w:val="24"/>
          <w:szCs w:val="24"/>
        </w:rPr>
        <w:t xml:space="preserve"> для тепла для проміжного звіту 2020 року</w:t>
      </w:r>
    </w:p>
    <w:tbl>
      <w:tblPr>
        <w:tblStyle w:val="afffff9"/>
        <w:tblW w:w="10286"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91"/>
        <w:gridCol w:w="1276"/>
        <w:gridCol w:w="1276"/>
        <w:gridCol w:w="1559"/>
        <w:gridCol w:w="1418"/>
        <w:gridCol w:w="992"/>
        <w:gridCol w:w="850"/>
        <w:gridCol w:w="789"/>
        <w:gridCol w:w="935"/>
      </w:tblGrid>
      <w:tr w:rsidR="00C82386" w:rsidRPr="00CF59FF" w14:paraId="16225382" w14:textId="77777777" w:rsidTr="0033187F">
        <w:trPr>
          <w:trHeight w:val="630"/>
        </w:trPr>
        <w:tc>
          <w:tcPr>
            <w:tcW w:w="1191" w:type="dxa"/>
            <w:vMerge w:val="restart"/>
            <w:shd w:val="clear" w:color="auto" w:fill="auto"/>
            <w:tcMar>
              <w:left w:w="51" w:type="dxa"/>
              <w:right w:w="51" w:type="dxa"/>
            </w:tcMar>
            <w:vAlign w:val="center"/>
          </w:tcPr>
          <w:p w14:paraId="55FCF128"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Тепло, що надано кінцевому споживачу, Гкал</w:t>
            </w:r>
          </w:p>
        </w:tc>
        <w:tc>
          <w:tcPr>
            <w:tcW w:w="2552" w:type="dxa"/>
            <w:gridSpan w:val="2"/>
            <w:shd w:val="clear" w:color="auto" w:fill="auto"/>
            <w:tcMar>
              <w:left w:w="51" w:type="dxa"/>
              <w:right w:w="51" w:type="dxa"/>
            </w:tcMar>
            <w:vAlign w:val="center"/>
          </w:tcPr>
          <w:p w14:paraId="63BC6418"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Енергетичне паливо</w:t>
            </w:r>
          </w:p>
        </w:tc>
        <w:tc>
          <w:tcPr>
            <w:tcW w:w="1559" w:type="dxa"/>
            <w:vMerge w:val="restart"/>
            <w:shd w:val="clear" w:color="auto" w:fill="auto"/>
            <w:tcMar>
              <w:left w:w="51" w:type="dxa"/>
              <w:right w:w="51" w:type="dxa"/>
            </w:tcMar>
            <w:vAlign w:val="center"/>
          </w:tcPr>
          <w:p w14:paraId="4D58E162"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Витрати енергетичних ресурсів на 1 Гкал, що надана споживачу, в натуральних одиницях</w:t>
            </w:r>
          </w:p>
        </w:tc>
        <w:tc>
          <w:tcPr>
            <w:tcW w:w="1418" w:type="dxa"/>
            <w:vMerge w:val="restart"/>
            <w:shd w:val="clear" w:color="auto" w:fill="auto"/>
            <w:tcMar>
              <w:left w:w="51" w:type="dxa"/>
              <w:right w:w="51" w:type="dxa"/>
            </w:tcMar>
            <w:vAlign w:val="center"/>
          </w:tcPr>
          <w:p w14:paraId="65CB3F52" w14:textId="77777777" w:rsidR="00C82386" w:rsidRPr="009945D7" w:rsidRDefault="004341E7">
            <w:pPr>
              <w:spacing w:after="0" w:line="240" w:lineRule="auto"/>
              <w:jc w:val="center"/>
              <w:rPr>
                <w:rFonts w:ascii="Times New Roman" w:eastAsia="Times New Roman" w:hAnsi="Times New Roman" w:cs="Times New Roman"/>
                <w:b/>
                <w:color w:val="000000"/>
                <w:sz w:val="20"/>
                <w:szCs w:val="20"/>
              </w:rPr>
            </w:pPr>
            <w:sdt>
              <w:sdtPr>
                <w:tag w:val="goog_rdk_64"/>
                <w:id w:val="-1073115648"/>
              </w:sdtPr>
              <w:sdtEndPr/>
              <w:sdtContent>
                <w:r w:rsidR="00E66F64" w:rsidRPr="009945D7">
                  <w:rPr>
                    <w:rFonts w:ascii="Gungsuh" w:eastAsia="Gungsuh" w:hAnsi="Gungsuh" w:cs="Gungsuh"/>
                    <w:b/>
                    <w:color w:val="000000"/>
                    <w:sz w:val="20"/>
                    <w:szCs w:val="20"/>
                  </w:rPr>
                  <w:t>Витрати енергетичних ресурсів на 1 Гкал, що надана споживачу, в МВт∙год</w:t>
                </w:r>
              </w:sdtContent>
            </w:sdt>
          </w:p>
        </w:tc>
        <w:tc>
          <w:tcPr>
            <w:tcW w:w="992" w:type="dxa"/>
            <w:vMerge w:val="restart"/>
            <w:shd w:val="clear" w:color="auto" w:fill="auto"/>
            <w:tcMar>
              <w:left w:w="51" w:type="dxa"/>
              <w:right w:w="51" w:type="dxa"/>
            </w:tcMar>
            <w:vAlign w:val="center"/>
          </w:tcPr>
          <w:p w14:paraId="41491B02"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Коефіцієнт викидів СО</w:t>
            </w:r>
            <w:r w:rsidRPr="009945D7">
              <w:rPr>
                <w:rFonts w:ascii="Times New Roman" w:eastAsia="Times New Roman" w:hAnsi="Times New Roman" w:cs="Times New Roman"/>
                <w:b/>
                <w:color w:val="000000"/>
                <w:sz w:val="20"/>
                <w:szCs w:val="20"/>
                <w:vertAlign w:val="subscript"/>
              </w:rPr>
              <w:t>2 екв.</w:t>
            </w:r>
            <w:r w:rsidRPr="009945D7">
              <w:rPr>
                <w:rFonts w:ascii="Times New Roman" w:eastAsia="Times New Roman" w:hAnsi="Times New Roman" w:cs="Times New Roman"/>
                <w:b/>
                <w:color w:val="000000"/>
                <w:sz w:val="20"/>
                <w:szCs w:val="20"/>
              </w:rPr>
              <w:t>, тонн</w:t>
            </w:r>
          </w:p>
        </w:tc>
        <w:tc>
          <w:tcPr>
            <w:tcW w:w="850" w:type="dxa"/>
            <w:vMerge w:val="restart"/>
            <w:shd w:val="clear" w:color="auto" w:fill="auto"/>
            <w:tcMar>
              <w:left w:w="51" w:type="dxa"/>
              <w:right w:w="51" w:type="dxa"/>
            </w:tcMar>
            <w:vAlign w:val="center"/>
          </w:tcPr>
          <w:p w14:paraId="2C9DFCFC"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Викиди СО</w:t>
            </w:r>
            <w:r w:rsidRPr="009945D7">
              <w:rPr>
                <w:rFonts w:ascii="Times New Roman" w:eastAsia="Times New Roman" w:hAnsi="Times New Roman" w:cs="Times New Roman"/>
                <w:b/>
                <w:color w:val="000000"/>
                <w:sz w:val="20"/>
                <w:szCs w:val="20"/>
                <w:vertAlign w:val="subscript"/>
              </w:rPr>
              <w:t>2 екв.</w:t>
            </w:r>
            <w:r w:rsidRPr="009945D7">
              <w:rPr>
                <w:rFonts w:ascii="Times New Roman" w:eastAsia="Times New Roman" w:hAnsi="Times New Roman" w:cs="Times New Roman"/>
                <w:b/>
                <w:color w:val="000000"/>
                <w:sz w:val="20"/>
                <w:szCs w:val="20"/>
              </w:rPr>
              <w:t>, тон</w:t>
            </w:r>
          </w:p>
        </w:tc>
        <w:tc>
          <w:tcPr>
            <w:tcW w:w="789" w:type="dxa"/>
            <w:vMerge w:val="restart"/>
            <w:shd w:val="clear" w:color="auto" w:fill="auto"/>
            <w:tcMar>
              <w:left w:w="51" w:type="dxa"/>
              <w:right w:w="51" w:type="dxa"/>
            </w:tcMar>
            <w:vAlign w:val="center"/>
          </w:tcPr>
          <w:p w14:paraId="43FF208B"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Сума викидів на 1 Гкал, тонн</w:t>
            </w:r>
          </w:p>
        </w:tc>
        <w:tc>
          <w:tcPr>
            <w:tcW w:w="935" w:type="dxa"/>
            <w:vMerge w:val="restart"/>
            <w:shd w:val="clear" w:color="auto" w:fill="auto"/>
            <w:tcMar>
              <w:left w:w="51" w:type="dxa"/>
              <w:right w:w="51" w:type="dxa"/>
            </w:tcMar>
            <w:vAlign w:val="center"/>
          </w:tcPr>
          <w:p w14:paraId="2D905BE6"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Сума викидів на 1 МВт·год тепла, тонн</w:t>
            </w:r>
          </w:p>
        </w:tc>
      </w:tr>
      <w:tr w:rsidR="00C82386" w:rsidRPr="00CF59FF" w14:paraId="2AB4E635" w14:textId="77777777" w:rsidTr="0033187F">
        <w:trPr>
          <w:trHeight w:val="1290"/>
        </w:trPr>
        <w:tc>
          <w:tcPr>
            <w:tcW w:w="1191" w:type="dxa"/>
            <w:vMerge/>
            <w:shd w:val="clear" w:color="auto" w:fill="auto"/>
            <w:tcMar>
              <w:left w:w="51" w:type="dxa"/>
              <w:right w:w="51" w:type="dxa"/>
            </w:tcMar>
            <w:vAlign w:val="center"/>
          </w:tcPr>
          <w:p w14:paraId="3DEA6A9C" w14:textId="77777777" w:rsidR="00C82386" w:rsidRPr="009945D7"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1276" w:type="dxa"/>
            <w:shd w:val="clear" w:color="auto" w:fill="auto"/>
            <w:vAlign w:val="center"/>
          </w:tcPr>
          <w:p w14:paraId="6508A7FB"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Назва енергетичного палива</w:t>
            </w:r>
          </w:p>
        </w:tc>
        <w:tc>
          <w:tcPr>
            <w:tcW w:w="1276" w:type="dxa"/>
            <w:shd w:val="clear" w:color="auto" w:fill="auto"/>
            <w:vAlign w:val="center"/>
          </w:tcPr>
          <w:p w14:paraId="182122B3" w14:textId="77777777" w:rsidR="00C82386" w:rsidRPr="009945D7" w:rsidRDefault="00E66F64">
            <w:pPr>
              <w:spacing w:after="0" w:line="240" w:lineRule="auto"/>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Кількість спожитого палива</w:t>
            </w:r>
          </w:p>
        </w:tc>
        <w:tc>
          <w:tcPr>
            <w:tcW w:w="1559" w:type="dxa"/>
            <w:vMerge/>
            <w:shd w:val="clear" w:color="auto" w:fill="auto"/>
            <w:tcMar>
              <w:left w:w="51" w:type="dxa"/>
              <w:right w:w="51" w:type="dxa"/>
            </w:tcMar>
            <w:vAlign w:val="center"/>
          </w:tcPr>
          <w:p w14:paraId="4A3CF0B0"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1418" w:type="dxa"/>
            <w:vMerge/>
            <w:shd w:val="clear" w:color="auto" w:fill="auto"/>
            <w:tcMar>
              <w:left w:w="51" w:type="dxa"/>
              <w:right w:w="51" w:type="dxa"/>
            </w:tcMar>
            <w:vAlign w:val="center"/>
          </w:tcPr>
          <w:p w14:paraId="1EEA6A9A"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992" w:type="dxa"/>
            <w:vMerge/>
            <w:shd w:val="clear" w:color="auto" w:fill="auto"/>
            <w:tcMar>
              <w:left w:w="51" w:type="dxa"/>
              <w:right w:w="51" w:type="dxa"/>
            </w:tcMar>
            <w:vAlign w:val="center"/>
          </w:tcPr>
          <w:p w14:paraId="2208678B"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850" w:type="dxa"/>
            <w:vMerge/>
            <w:shd w:val="clear" w:color="auto" w:fill="auto"/>
            <w:tcMar>
              <w:left w:w="51" w:type="dxa"/>
              <w:right w:w="51" w:type="dxa"/>
            </w:tcMar>
            <w:vAlign w:val="center"/>
          </w:tcPr>
          <w:p w14:paraId="377911EB"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789" w:type="dxa"/>
            <w:vMerge/>
            <w:shd w:val="clear" w:color="auto" w:fill="auto"/>
            <w:tcMar>
              <w:left w:w="51" w:type="dxa"/>
              <w:right w:w="51" w:type="dxa"/>
            </w:tcMar>
            <w:vAlign w:val="center"/>
          </w:tcPr>
          <w:p w14:paraId="3AB136B8"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c>
          <w:tcPr>
            <w:tcW w:w="935" w:type="dxa"/>
            <w:vMerge/>
            <w:shd w:val="clear" w:color="auto" w:fill="auto"/>
            <w:tcMar>
              <w:left w:w="51" w:type="dxa"/>
              <w:right w:w="51" w:type="dxa"/>
            </w:tcMar>
            <w:vAlign w:val="center"/>
          </w:tcPr>
          <w:p w14:paraId="3B8CFC39" w14:textId="77777777" w:rsidR="00C82386" w:rsidRPr="00CF59FF"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highlight w:val="yellow"/>
              </w:rPr>
            </w:pPr>
          </w:p>
        </w:tc>
      </w:tr>
      <w:tr w:rsidR="00C82386" w:rsidRPr="00CF59FF" w14:paraId="31B64A14" w14:textId="77777777" w:rsidTr="0033187F">
        <w:trPr>
          <w:trHeight w:val="330"/>
        </w:trPr>
        <w:tc>
          <w:tcPr>
            <w:tcW w:w="1191" w:type="dxa"/>
            <w:vMerge w:val="restart"/>
            <w:shd w:val="clear" w:color="auto" w:fill="auto"/>
            <w:vAlign w:val="center"/>
          </w:tcPr>
          <w:p w14:paraId="78F04E60"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385073,0</w:t>
            </w:r>
          </w:p>
        </w:tc>
        <w:tc>
          <w:tcPr>
            <w:tcW w:w="1276" w:type="dxa"/>
            <w:shd w:val="clear" w:color="auto" w:fill="auto"/>
            <w:vAlign w:val="center"/>
          </w:tcPr>
          <w:p w14:paraId="35FBB1E3"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газ, тис. м</w:t>
            </w:r>
            <w:r w:rsidRPr="009945D7">
              <w:rPr>
                <w:rFonts w:ascii="Times New Roman" w:eastAsia="Times New Roman" w:hAnsi="Times New Roman" w:cs="Times New Roman"/>
                <w:color w:val="000000"/>
                <w:sz w:val="20"/>
                <w:szCs w:val="20"/>
                <w:vertAlign w:val="superscript"/>
              </w:rPr>
              <w:t>3</w:t>
            </w:r>
          </w:p>
        </w:tc>
        <w:tc>
          <w:tcPr>
            <w:tcW w:w="1276" w:type="dxa"/>
            <w:shd w:val="clear" w:color="auto" w:fill="auto"/>
            <w:vAlign w:val="center"/>
          </w:tcPr>
          <w:p w14:paraId="13E4126E"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57967,8</w:t>
            </w:r>
          </w:p>
        </w:tc>
        <w:tc>
          <w:tcPr>
            <w:tcW w:w="1559" w:type="dxa"/>
            <w:shd w:val="clear" w:color="auto" w:fill="auto"/>
            <w:vAlign w:val="center"/>
          </w:tcPr>
          <w:p w14:paraId="2FA3CBF2"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0,151</w:t>
            </w:r>
          </w:p>
        </w:tc>
        <w:tc>
          <w:tcPr>
            <w:tcW w:w="1418" w:type="dxa"/>
            <w:shd w:val="clear" w:color="auto" w:fill="auto"/>
            <w:vAlign w:val="center"/>
          </w:tcPr>
          <w:p w14:paraId="39D3CF6B" w14:textId="77777777" w:rsidR="00C82386" w:rsidRPr="009945D7" w:rsidRDefault="009945D7">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1,40</w:t>
            </w:r>
          </w:p>
        </w:tc>
        <w:tc>
          <w:tcPr>
            <w:tcW w:w="992" w:type="dxa"/>
            <w:shd w:val="clear" w:color="auto" w:fill="auto"/>
            <w:vAlign w:val="center"/>
          </w:tcPr>
          <w:p w14:paraId="0DC900CF"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0,202</w:t>
            </w:r>
          </w:p>
        </w:tc>
        <w:tc>
          <w:tcPr>
            <w:tcW w:w="850" w:type="dxa"/>
            <w:shd w:val="clear" w:color="auto" w:fill="auto"/>
            <w:vAlign w:val="center"/>
          </w:tcPr>
          <w:p w14:paraId="7330BCDE" w14:textId="77777777" w:rsidR="00C82386" w:rsidRPr="009945D7" w:rsidRDefault="00E66F64" w:rsidP="009945D7">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0,28</w:t>
            </w:r>
            <w:r w:rsidR="009945D7" w:rsidRPr="009945D7">
              <w:rPr>
                <w:rFonts w:ascii="Times New Roman" w:eastAsia="Times New Roman" w:hAnsi="Times New Roman" w:cs="Times New Roman"/>
                <w:color w:val="000000"/>
                <w:sz w:val="20"/>
                <w:szCs w:val="20"/>
              </w:rPr>
              <w:t>3</w:t>
            </w:r>
          </w:p>
        </w:tc>
        <w:tc>
          <w:tcPr>
            <w:tcW w:w="789" w:type="dxa"/>
            <w:vMerge w:val="restart"/>
            <w:shd w:val="clear" w:color="auto" w:fill="auto"/>
            <w:vAlign w:val="center"/>
          </w:tcPr>
          <w:p w14:paraId="2FCA8F47" w14:textId="77777777" w:rsidR="00C82386" w:rsidRPr="009945D7" w:rsidRDefault="00E66F64" w:rsidP="009945D7">
            <w:pPr>
              <w:spacing w:after="0"/>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0,3</w:t>
            </w:r>
            <w:r w:rsidR="009945D7" w:rsidRPr="009945D7">
              <w:rPr>
                <w:rFonts w:ascii="Times New Roman" w:eastAsia="Times New Roman" w:hAnsi="Times New Roman" w:cs="Times New Roman"/>
                <w:b/>
                <w:color w:val="000000"/>
                <w:sz w:val="20"/>
                <w:szCs w:val="20"/>
              </w:rPr>
              <w:t>09</w:t>
            </w:r>
          </w:p>
        </w:tc>
        <w:tc>
          <w:tcPr>
            <w:tcW w:w="935" w:type="dxa"/>
            <w:vMerge w:val="restart"/>
            <w:shd w:val="clear" w:color="auto" w:fill="auto"/>
            <w:vAlign w:val="center"/>
          </w:tcPr>
          <w:p w14:paraId="08E76FBD" w14:textId="77777777" w:rsidR="00C82386" w:rsidRPr="009945D7" w:rsidRDefault="00E66F64">
            <w:pPr>
              <w:spacing w:after="0"/>
              <w:jc w:val="center"/>
              <w:rPr>
                <w:rFonts w:ascii="Times New Roman" w:eastAsia="Times New Roman" w:hAnsi="Times New Roman" w:cs="Times New Roman"/>
                <w:b/>
                <w:color w:val="000000"/>
                <w:sz w:val="20"/>
                <w:szCs w:val="20"/>
              </w:rPr>
            </w:pPr>
            <w:r w:rsidRPr="009945D7">
              <w:rPr>
                <w:rFonts w:ascii="Times New Roman" w:eastAsia="Times New Roman" w:hAnsi="Times New Roman" w:cs="Times New Roman"/>
                <w:b/>
                <w:color w:val="000000"/>
                <w:sz w:val="20"/>
                <w:szCs w:val="20"/>
              </w:rPr>
              <w:t>0</w:t>
            </w:r>
            <w:r w:rsidR="009945D7" w:rsidRPr="009945D7">
              <w:rPr>
                <w:rFonts w:ascii="Times New Roman" w:eastAsia="Times New Roman" w:hAnsi="Times New Roman" w:cs="Times New Roman"/>
                <w:b/>
                <w:color w:val="000000"/>
                <w:sz w:val="20"/>
                <w:szCs w:val="20"/>
              </w:rPr>
              <w:t>,266</w:t>
            </w:r>
          </w:p>
        </w:tc>
      </w:tr>
      <w:tr w:rsidR="00C82386" w:rsidRPr="009945D7" w14:paraId="0186F0B4" w14:textId="77777777" w:rsidTr="0033187F">
        <w:trPr>
          <w:trHeight w:val="615"/>
        </w:trPr>
        <w:tc>
          <w:tcPr>
            <w:tcW w:w="1191" w:type="dxa"/>
            <w:vMerge/>
            <w:shd w:val="clear" w:color="auto" w:fill="auto"/>
            <w:vAlign w:val="center"/>
          </w:tcPr>
          <w:p w14:paraId="39449F62" w14:textId="77777777" w:rsidR="00C82386" w:rsidRPr="009945D7" w:rsidRDefault="00C82386">
            <w:pPr>
              <w:widowControl w:val="0"/>
              <w:pBdr>
                <w:top w:val="nil"/>
                <w:left w:val="nil"/>
                <w:bottom w:val="nil"/>
                <w:right w:val="nil"/>
                <w:between w:val="nil"/>
              </w:pBdr>
              <w:spacing w:after="0"/>
              <w:rPr>
                <w:rFonts w:ascii="Times New Roman" w:eastAsia="Times New Roman" w:hAnsi="Times New Roman" w:cs="Times New Roman"/>
                <w:b/>
                <w:color w:val="000000"/>
                <w:sz w:val="20"/>
                <w:szCs w:val="20"/>
              </w:rPr>
            </w:pPr>
          </w:p>
        </w:tc>
        <w:tc>
          <w:tcPr>
            <w:tcW w:w="1276" w:type="dxa"/>
            <w:shd w:val="clear" w:color="auto" w:fill="auto"/>
            <w:vAlign w:val="center"/>
          </w:tcPr>
          <w:p w14:paraId="18A33C55" w14:textId="77777777" w:rsidR="00C82386" w:rsidRPr="009945D7" w:rsidRDefault="004341E7">
            <w:pPr>
              <w:spacing w:after="0"/>
              <w:jc w:val="center"/>
              <w:rPr>
                <w:rFonts w:ascii="Times New Roman" w:eastAsia="Times New Roman" w:hAnsi="Times New Roman" w:cs="Times New Roman"/>
                <w:color w:val="000000"/>
                <w:sz w:val="20"/>
                <w:szCs w:val="20"/>
              </w:rPr>
            </w:pPr>
            <w:sdt>
              <w:sdtPr>
                <w:tag w:val="goog_rdk_65"/>
                <w:id w:val="2025599146"/>
              </w:sdtPr>
              <w:sdtEndPr/>
              <w:sdtContent>
                <w:r w:rsidR="00E66F64" w:rsidRPr="009945D7">
                  <w:rPr>
                    <w:rFonts w:ascii="Gungsuh" w:eastAsia="Gungsuh" w:hAnsi="Gungsuh" w:cs="Gungsuh"/>
                    <w:color w:val="000000"/>
                    <w:sz w:val="20"/>
                    <w:szCs w:val="20"/>
                  </w:rPr>
                  <w:t>електроенергія, МВт∙год</w:t>
                </w:r>
              </w:sdtContent>
            </w:sdt>
          </w:p>
        </w:tc>
        <w:tc>
          <w:tcPr>
            <w:tcW w:w="1276" w:type="dxa"/>
            <w:shd w:val="clear" w:color="auto" w:fill="auto"/>
            <w:vAlign w:val="center"/>
          </w:tcPr>
          <w:p w14:paraId="494E5887" w14:textId="77777777" w:rsidR="00C82386" w:rsidRPr="009945D7" w:rsidRDefault="00E66F64" w:rsidP="009945D7">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16</w:t>
            </w:r>
            <w:r w:rsidR="009945D7" w:rsidRPr="009945D7">
              <w:rPr>
                <w:rFonts w:ascii="Times New Roman" w:eastAsia="Times New Roman" w:hAnsi="Times New Roman" w:cs="Times New Roman"/>
                <w:color w:val="000000"/>
                <w:sz w:val="20"/>
                <w:szCs w:val="20"/>
              </w:rPr>
              <w:t>742</w:t>
            </w:r>
            <w:r w:rsidRPr="009945D7">
              <w:rPr>
                <w:rFonts w:ascii="Times New Roman" w:eastAsia="Times New Roman" w:hAnsi="Times New Roman" w:cs="Times New Roman"/>
                <w:color w:val="000000"/>
                <w:sz w:val="20"/>
                <w:szCs w:val="20"/>
              </w:rPr>
              <w:t>,</w:t>
            </w:r>
            <w:r w:rsidR="009945D7" w:rsidRPr="009945D7">
              <w:rPr>
                <w:rFonts w:ascii="Times New Roman" w:eastAsia="Times New Roman" w:hAnsi="Times New Roman" w:cs="Times New Roman"/>
                <w:color w:val="000000"/>
                <w:sz w:val="20"/>
                <w:szCs w:val="20"/>
              </w:rPr>
              <w:t>6</w:t>
            </w:r>
          </w:p>
        </w:tc>
        <w:tc>
          <w:tcPr>
            <w:tcW w:w="1559" w:type="dxa"/>
            <w:shd w:val="clear" w:color="auto" w:fill="auto"/>
            <w:vAlign w:val="center"/>
          </w:tcPr>
          <w:p w14:paraId="5DA7101A"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0,043</w:t>
            </w:r>
          </w:p>
        </w:tc>
        <w:tc>
          <w:tcPr>
            <w:tcW w:w="1418" w:type="dxa"/>
            <w:shd w:val="clear" w:color="auto" w:fill="auto"/>
            <w:vAlign w:val="center"/>
          </w:tcPr>
          <w:p w14:paraId="6D21A636"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0,043</w:t>
            </w:r>
          </w:p>
        </w:tc>
        <w:tc>
          <w:tcPr>
            <w:tcW w:w="992" w:type="dxa"/>
            <w:shd w:val="clear" w:color="auto" w:fill="auto"/>
            <w:vAlign w:val="center"/>
          </w:tcPr>
          <w:p w14:paraId="3EF24D9E" w14:textId="77777777" w:rsidR="00C82386" w:rsidRPr="009945D7" w:rsidRDefault="009945D7">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0,586</w:t>
            </w:r>
          </w:p>
        </w:tc>
        <w:tc>
          <w:tcPr>
            <w:tcW w:w="850" w:type="dxa"/>
            <w:shd w:val="clear" w:color="auto" w:fill="auto"/>
            <w:vAlign w:val="center"/>
          </w:tcPr>
          <w:p w14:paraId="709884BB" w14:textId="77777777" w:rsidR="00C82386" w:rsidRPr="009945D7" w:rsidRDefault="00E66F64">
            <w:pPr>
              <w:spacing w:after="0"/>
              <w:jc w:val="center"/>
              <w:rPr>
                <w:rFonts w:ascii="Times New Roman" w:eastAsia="Times New Roman" w:hAnsi="Times New Roman" w:cs="Times New Roman"/>
                <w:color w:val="000000"/>
                <w:sz w:val="20"/>
                <w:szCs w:val="20"/>
              </w:rPr>
            </w:pPr>
            <w:r w:rsidRPr="009945D7">
              <w:rPr>
                <w:rFonts w:ascii="Times New Roman" w:eastAsia="Times New Roman" w:hAnsi="Times New Roman" w:cs="Times New Roman"/>
                <w:color w:val="000000"/>
                <w:sz w:val="20"/>
                <w:szCs w:val="20"/>
              </w:rPr>
              <w:t>0,025</w:t>
            </w:r>
          </w:p>
        </w:tc>
        <w:tc>
          <w:tcPr>
            <w:tcW w:w="789" w:type="dxa"/>
            <w:vMerge/>
            <w:shd w:val="clear" w:color="auto" w:fill="auto"/>
            <w:vAlign w:val="center"/>
          </w:tcPr>
          <w:p w14:paraId="2628EE13" w14:textId="77777777" w:rsidR="00C82386" w:rsidRPr="009945D7" w:rsidRDefault="00C82386">
            <w:pPr>
              <w:widowControl w:val="0"/>
              <w:pBdr>
                <w:top w:val="nil"/>
                <w:left w:val="nil"/>
                <w:bottom w:val="nil"/>
                <w:right w:val="nil"/>
                <w:between w:val="nil"/>
              </w:pBdr>
              <w:spacing w:after="0"/>
              <w:rPr>
                <w:rFonts w:ascii="Times New Roman" w:eastAsia="Times New Roman" w:hAnsi="Times New Roman" w:cs="Times New Roman"/>
                <w:color w:val="000000"/>
                <w:sz w:val="20"/>
                <w:szCs w:val="20"/>
              </w:rPr>
            </w:pPr>
          </w:p>
        </w:tc>
        <w:tc>
          <w:tcPr>
            <w:tcW w:w="935" w:type="dxa"/>
            <w:vMerge/>
            <w:shd w:val="clear" w:color="auto" w:fill="auto"/>
            <w:vAlign w:val="center"/>
          </w:tcPr>
          <w:p w14:paraId="0B42175D" w14:textId="77777777" w:rsidR="00C82386" w:rsidRPr="009945D7" w:rsidRDefault="00C82386">
            <w:pPr>
              <w:widowControl w:val="0"/>
              <w:pBdr>
                <w:top w:val="nil"/>
                <w:left w:val="nil"/>
                <w:bottom w:val="nil"/>
                <w:right w:val="nil"/>
                <w:between w:val="nil"/>
              </w:pBdr>
              <w:spacing w:after="0"/>
              <w:rPr>
                <w:rFonts w:ascii="Times New Roman" w:eastAsia="Times New Roman" w:hAnsi="Times New Roman" w:cs="Times New Roman"/>
                <w:color w:val="000000"/>
                <w:sz w:val="20"/>
                <w:szCs w:val="20"/>
              </w:rPr>
            </w:pPr>
          </w:p>
        </w:tc>
      </w:tr>
    </w:tbl>
    <w:p w14:paraId="30CCD96C" w14:textId="77777777" w:rsidR="00C82386" w:rsidRPr="0033187F" w:rsidRDefault="00E66F64">
      <w:pPr>
        <w:spacing w:before="240" w:after="0"/>
        <w:ind w:firstLine="708"/>
        <w:jc w:val="both"/>
        <w:rPr>
          <w:rFonts w:ascii="Times New Roman" w:eastAsia="Times New Roman" w:hAnsi="Times New Roman" w:cs="Times New Roman"/>
          <w:b/>
          <w:sz w:val="24"/>
        </w:rPr>
      </w:pPr>
      <w:r w:rsidRPr="0033187F">
        <w:rPr>
          <w:rFonts w:ascii="Times New Roman" w:eastAsia="Times New Roman" w:hAnsi="Times New Roman" w:cs="Times New Roman"/>
          <w:sz w:val="24"/>
        </w:rPr>
        <w:t>Таким чином коефіцієнт СО</w:t>
      </w:r>
      <w:r w:rsidRPr="0033187F">
        <w:rPr>
          <w:rFonts w:ascii="Times New Roman" w:eastAsia="Times New Roman" w:hAnsi="Times New Roman" w:cs="Times New Roman"/>
          <w:sz w:val="24"/>
          <w:vertAlign w:val="subscript"/>
        </w:rPr>
        <w:t>2 екв.</w:t>
      </w:r>
      <w:r w:rsidRPr="0033187F">
        <w:rPr>
          <w:rFonts w:ascii="Times New Roman" w:eastAsia="Times New Roman" w:hAnsi="Times New Roman" w:cs="Times New Roman"/>
          <w:sz w:val="24"/>
        </w:rPr>
        <w:t xml:space="preserve"> для тепла у Житомирській МТГ, станом на 2020 рік дорівнює </w:t>
      </w:r>
      <w:sdt>
        <w:sdtPr>
          <w:rPr>
            <w:sz w:val="24"/>
          </w:rPr>
          <w:tag w:val="goog_rdk_66"/>
          <w:id w:val="1612238469"/>
        </w:sdtPr>
        <w:sdtEndPr/>
        <w:sdtContent>
          <w:r w:rsidRPr="0033187F">
            <w:rPr>
              <w:rFonts w:ascii="Gungsuh" w:eastAsia="Gungsuh" w:hAnsi="Gungsuh" w:cs="Gungsuh"/>
              <w:b/>
              <w:sz w:val="24"/>
            </w:rPr>
            <w:t>0,26</w:t>
          </w:r>
          <w:r w:rsidR="009945D7" w:rsidRPr="0033187F">
            <w:rPr>
              <w:rFonts w:ascii="Gungsuh" w:eastAsia="Gungsuh" w:hAnsi="Gungsuh" w:cs="Gungsuh"/>
              <w:b/>
              <w:sz w:val="24"/>
            </w:rPr>
            <w:t>6</w:t>
          </w:r>
          <w:r w:rsidRPr="0033187F">
            <w:rPr>
              <w:rFonts w:ascii="Gungsuh" w:eastAsia="Gungsuh" w:hAnsi="Gungsuh" w:cs="Gungsuh"/>
              <w:b/>
              <w:sz w:val="24"/>
            </w:rPr>
            <w:t xml:space="preserve"> тонн/МВт∙год.</w:t>
          </w:r>
        </w:sdtContent>
      </w:sdt>
    </w:p>
    <w:p w14:paraId="3DBDC845" w14:textId="77777777" w:rsidR="00C82386" w:rsidRDefault="00C82386">
      <w:pPr>
        <w:spacing w:before="240" w:after="0"/>
        <w:ind w:firstLine="708"/>
        <w:jc w:val="both"/>
        <w:rPr>
          <w:rFonts w:ascii="Times New Roman" w:eastAsia="Times New Roman" w:hAnsi="Times New Roman" w:cs="Times New Roman"/>
          <w:b/>
        </w:rPr>
      </w:pPr>
    </w:p>
    <w:p w14:paraId="34B8E1B6" w14:textId="77777777" w:rsidR="00C82386" w:rsidRDefault="00C82386">
      <w:pPr>
        <w:spacing w:before="240" w:after="0"/>
        <w:ind w:firstLine="708"/>
        <w:jc w:val="both"/>
        <w:rPr>
          <w:rFonts w:ascii="Times New Roman" w:eastAsia="Times New Roman" w:hAnsi="Times New Roman" w:cs="Times New Roman"/>
          <w:b/>
        </w:rPr>
      </w:pPr>
    </w:p>
    <w:p w14:paraId="33B7CECC" w14:textId="77777777" w:rsidR="00C82386" w:rsidRDefault="00C82386">
      <w:pPr>
        <w:spacing w:before="240" w:after="0"/>
        <w:ind w:firstLine="708"/>
        <w:jc w:val="both"/>
        <w:rPr>
          <w:rFonts w:ascii="Times New Roman" w:eastAsia="Times New Roman" w:hAnsi="Times New Roman" w:cs="Times New Roman"/>
          <w:b/>
        </w:rPr>
        <w:sectPr w:rsidR="00C82386">
          <w:pgSz w:w="11906" w:h="16838"/>
          <w:pgMar w:top="993" w:right="851" w:bottom="993" w:left="1701" w:header="709" w:footer="286" w:gutter="0"/>
          <w:cols w:space="720"/>
        </w:sectPr>
      </w:pPr>
    </w:p>
    <w:p w14:paraId="2D852D1F" w14:textId="77777777" w:rsidR="00C82386" w:rsidRDefault="00E66F64">
      <w:pPr>
        <w:keepNext/>
        <w:keepLines/>
        <w:numPr>
          <w:ilvl w:val="1"/>
          <w:numId w:val="23"/>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52" w:name="_heading=h.111kx3o" w:colFirst="0" w:colLast="0"/>
      <w:bookmarkEnd w:id="52"/>
      <w:r>
        <w:rPr>
          <w:rFonts w:ascii="Times New Roman" w:eastAsia="Times New Roman" w:hAnsi="Times New Roman" w:cs="Times New Roman"/>
          <w:b/>
          <w:color w:val="000000"/>
          <w:sz w:val="24"/>
          <w:szCs w:val="24"/>
        </w:rPr>
        <w:lastRenderedPageBreak/>
        <w:t>Споживання енергоресурсів в натуральних одиницях за базовий 2010 р</w:t>
      </w:r>
      <w:r w:rsidR="002802C8">
        <w:rPr>
          <w:rFonts w:ascii="Times New Roman" w:eastAsia="Times New Roman" w:hAnsi="Times New Roman" w:cs="Times New Roman"/>
          <w:b/>
          <w:color w:val="000000"/>
          <w:sz w:val="24"/>
          <w:szCs w:val="24"/>
        </w:rPr>
        <w:t>ік.</w:t>
      </w:r>
    </w:p>
    <w:p w14:paraId="6920BCE6" w14:textId="77777777" w:rsidR="00C82386" w:rsidRDefault="00E66F64" w:rsidP="00284EAF">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Дані споживання енергоресурсів у визначених секторах БКВ зібрані під</w:t>
      </w:r>
      <w:r w:rsidR="007C7AE3">
        <w:t xml:space="preserve"> </w:t>
      </w:r>
      <w:r>
        <w:rPr>
          <w:rFonts w:ascii="Times New Roman" w:eastAsia="Times New Roman" w:hAnsi="Times New Roman" w:cs="Times New Roman"/>
          <w:color w:val="000000"/>
          <w:sz w:val="24"/>
          <w:szCs w:val="24"/>
        </w:rPr>
        <w:t xml:space="preserve">час опитувань кінцевих споживачів енергії та енергопостачальників, а для сектору приватного транспорту було проведено окремий розрахунок (методика розрахунку наведена в Додатку 1). </w:t>
      </w:r>
    </w:p>
    <w:p w14:paraId="27FBBE10" w14:textId="77777777" w:rsidR="00C82386" w:rsidRDefault="00E66F64" w:rsidP="00284EAF">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4.7.</w:t>
      </w:r>
    </w:p>
    <w:p w14:paraId="7FB744F9" w14:textId="77777777" w:rsidR="00C82386" w:rsidRDefault="00E66F64" w:rsidP="00284EAF">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Кадастр споживання енергоресурсів у натуральних показниках для обраних секторів кінцевих споживачів за базовий 2010 р.</w:t>
      </w:r>
    </w:p>
    <w:tbl>
      <w:tblPr>
        <w:tblW w:w="14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1344"/>
        <w:gridCol w:w="1178"/>
        <w:gridCol w:w="1370"/>
        <w:gridCol w:w="1356"/>
        <w:gridCol w:w="1050"/>
        <w:gridCol w:w="1039"/>
        <w:gridCol w:w="1792"/>
        <w:gridCol w:w="1546"/>
        <w:gridCol w:w="1109"/>
      </w:tblGrid>
      <w:tr w:rsidR="002802C8" w:rsidRPr="00F475A1" w14:paraId="22251DE9" w14:textId="77777777" w:rsidTr="0051794F">
        <w:trPr>
          <w:trHeight w:val="330"/>
        </w:trPr>
        <w:tc>
          <w:tcPr>
            <w:tcW w:w="2396" w:type="dxa"/>
            <w:vMerge w:val="restart"/>
            <w:shd w:val="clear" w:color="auto" w:fill="auto"/>
            <w:vAlign w:val="center"/>
            <w:hideMark/>
          </w:tcPr>
          <w:p w14:paraId="34DE0A81" w14:textId="77777777" w:rsidR="002802C8" w:rsidRPr="00F475A1" w:rsidRDefault="002802C8" w:rsidP="0051794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Сектор</w:t>
            </w:r>
            <w:r w:rsidR="0051794F" w:rsidRPr="00F475A1">
              <w:rPr>
                <w:rFonts w:ascii="Times New Roman" w:eastAsia="Times New Roman" w:hAnsi="Times New Roman" w:cs="Times New Roman"/>
                <w:b/>
                <w:bCs/>
              </w:rPr>
              <w:t>и</w:t>
            </w:r>
            <w:r w:rsidRPr="00F475A1">
              <w:rPr>
                <w:rFonts w:ascii="Times New Roman" w:eastAsia="Times New Roman" w:hAnsi="Times New Roman" w:cs="Times New Roman"/>
                <w:b/>
                <w:bCs/>
              </w:rPr>
              <w:t xml:space="preserve"> кінцевих споживачів енергоресурсів</w:t>
            </w:r>
          </w:p>
        </w:tc>
        <w:tc>
          <w:tcPr>
            <w:tcW w:w="11784" w:type="dxa"/>
            <w:gridSpan w:val="9"/>
            <w:shd w:val="clear" w:color="auto" w:fill="auto"/>
            <w:vAlign w:val="center"/>
            <w:hideMark/>
          </w:tcPr>
          <w:p w14:paraId="4545CF0E" w14:textId="77777777" w:rsidR="002802C8" w:rsidRPr="00F475A1" w:rsidRDefault="002802C8" w:rsidP="002802C8">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Обсяги споживання енергоресурсів, натуральні показники</w:t>
            </w:r>
          </w:p>
        </w:tc>
      </w:tr>
      <w:tr w:rsidR="002802C8" w:rsidRPr="00F475A1" w14:paraId="4EB8FBDD" w14:textId="77777777" w:rsidTr="0051794F">
        <w:trPr>
          <w:trHeight w:val="330"/>
        </w:trPr>
        <w:tc>
          <w:tcPr>
            <w:tcW w:w="2396" w:type="dxa"/>
            <w:vMerge/>
            <w:vAlign w:val="center"/>
            <w:hideMark/>
          </w:tcPr>
          <w:p w14:paraId="04F9349C" w14:textId="77777777" w:rsidR="002802C8" w:rsidRPr="00F475A1" w:rsidRDefault="002802C8" w:rsidP="002802C8">
            <w:pPr>
              <w:spacing w:after="0" w:line="240" w:lineRule="auto"/>
              <w:rPr>
                <w:rFonts w:ascii="Times New Roman" w:eastAsia="Times New Roman" w:hAnsi="Times New Roman" w:cs="Times New Roman"/>
                <w:b/>
                <w:bCs/>
              </w:rPr>
            </w:pPr>
          </w:p>
        </w:tc>
        <w:tc>
          <w:tcPr>
            <w:tcW w:w="1344" w:type="dxa"/>
            <w:vMerge w:val="restart"/>
            <w:shd w:val="clear" w:color="auto" w:fill="auto"/>
            <w:vAlign w:val="center"/>
            <w:hideMark/>
          </w:tcPr>
          <w:p w14:paraId="67640AA7"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Електрична енергія</w:t>
            </w:r>
          </w:p>
        </w:tc>
        <w:tc>
          <w:tcPr>
            <w:tcW w:w="1178" w:type="dxa"/>
            <w:vMerge w:val="restart"/>
            <w:shd w:val="clear" w:color="auto" w:fill="auto"/>
            <w:vAlign w:val="center"/>
            <w:hideMark/>
          </w:tcPr>
          <w:p w14:paraId="03F99B89"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Теплова енергія</w:t>
            </w:r>
          </w:p>
        </w:tc>
        <w:tc>
          <w:tcPr>
            <w:tcW w:w="8153" w:type="dxa"/>
            <w:gridSpan w:val="6"/>
            <w:shd w:val="clear" w:color="auto" w:fill="auto"/>
            <w:vAlign w:val="center"/>
            <w:hideMark/>
          </w:tcPr>
          <w:p w14:paraId="19D09BB5" w14:textId="77777777" w:rsidR="002802C8" w:rsidRPr="00F475A1" w:rsidRDefault="002802C8" w:rsidP="002802C8">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Викопні види палива</w:t>
            </w:r>
          </w:p>
        </w:tc>
        <w:tc>
          <w:tcPr>
            <w:tcW w:w="1109" w:type="dxa"/>
            <w:vMerge w:val="restart"/>
            <w:shd w:val="clear" w:color="auto" w:fill="auto"/>
            <w:vAlign w:val="center"/>
            <w:hideMark/>
          </w:tcPr>
          <w:p w14:paraId="72F2266C"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Деревина (дрова, щепа, пелети)</w:t>
            </w:r>
          </w:p>
        </w:tc>
      </w:tr>
      <w:tr w:rsidR="002802C8" w:rsidRPr="00F475A1" w14:paraId="64F1D837" w14:textId="77777777" w:rsidTr="0051794F">
        <w:trPr>
          <w:trHeight w:val="1260"/>
        </w:trPr>
        <w:tc>
          <w:tcPr>
            <w:tcW w:w="2396" w:type="dxa"/>
            <w:vMerge/>
            <w:vAlign w:val="center"/>
            <w:hideMark/>
          </w:tcPr>
          <w:p w14:paraId="29A3263A" w14:textId="77777777" w:rsidR="002802C8" w:rsidRPr="00F475A1" w:rsidRDefault="002802C8" w:rsidP="002802C8">
            <w:pPr>
              <w:spacing w:after="0" w:line="240" w:lineRule="auto"/>
              <w:rPr>
                <w:rFonts w:ascii="Times New Roman" w:eastAsia="Times New Roman" w:hAnsi="Times New Roman" w:cs="Times New Roman"/>
                <w:b/>
                <w:bCs/>
              </w:rPr>
            </w:pPr>
          </w:p>
        </w:tc>
        <w:tc>
          <w:tcPr>
            <w:tcW w:w="1344" w:type="dxa"/>
            <w:vMerge/>
            <w:vAlign w:val="center"/>
            <w:hideMark/>
          </w:tcPr>
          <w:p w14:paraId="72FE49D9" w14:textId="77777777" w:rsidR="002802C8" w:rsidRPr="00F475A1" w:rsidRDefault="002802C8" w:rsidP="002802C8">
            <w:pPr>
              <w:spacing w:after="0" w:line="240" w:lineRule="auto"/>
              <w:rPr>
                <w:rFonts w:ascii="Times New Roman" w:eastAsia="Times New Roman" w:hAnsi="Times New Roman" w:cs="Times New Roman"/>
              </w:rPr>
            </w:pPr>
          </w:p>
        </w:tc>
        <w:tc>
          <w:tcPr>
            <w:tcW w:w="1178" w:type="dxa"/>
            <w:vMerge/>
            <w:vAlign w:val="center"/>
            <w:hideMark/>
          </w:tcPr>
          <w:p w14:paraId="2063EE50" w14:textId="77777777" w:rsidR="002802C8" w:rsidRPr="00F475A1" w:rsidRDefault="002802C8" w:rsidP="002802C8">
            <w:pPr>
              <w:spacing w:after="0" w:line="240" w:lineRule="auto"/>
              <w:rPr>
                <w:rFonts w:ascii="Times New Roman" w:eastAsia="Times New Roman" w:hAnsi="Times New Roman" w:cs="Times New Roman"/>
              </w:rPr>
            </w:pPr>
          </w:p>
        </w:tc>
        <w:tc>
          <w:tcPr>
            <w:tcW w:w="1370" w:type="dxa"/>
            <w:shd w:val="clear" w:color="auto" w:fill="auto"/>
            <w:vAlign w:val="center"/>
            <w:hideMark/>
          </w:tcPr>
          <w:p w14:paraId="34BA3CDE" w14:textId="77777777" w:rsidR="002802C8" w:rsidRPr="00F475A1" w:rsidRDefault="00070D50" w:rsidP="002802C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356" w:type="dxa"/>
            <w:shd w:val="clear" w:color="auto" w:fill="auto"/>
            <w:vAlign w:val="center"/>
            <w:hideMark/>
          </w:tcPr>
          <w:p w14:paraId="67BDE743"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Скраплений газ (пропан-бутан)</w:t>
            </w:r>
          </w:p>
        </w:tc>
        <w:tc>
          <w:tcPr>
            <w:tcW w:w="1050" w:type="dxa"/>
            <w:shd w:val="clear" w:color="auto" w:fill="auto"/>
            <w:vAlign w:val="center"/>
            <w:hideMark/>
          </w:tcPr>
          <w:p w14:paraId="7B5DF4A4"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Дизель</w:t>
            </w:r>
          </w:p>
        </w:tc>
        <w:tc>
          <w:tcPr>
            <w:tcW w:w="1039" w:type="dxa"/>
            <w:shd w:val="clear" w:color="auto" w:fill="auto"/>
            <w:vAlign w:val="center"/>
            <w:hideMark/>
          </w:tcPr>
          <w:p w14:paraId="5E7F28B8"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Бензин</w:t>
            </w:r>
          </w:p>
        </w:tc>
        <w:tc>
          <w:tcPr>
            <w:tcW w:w="1792" w:type="dxa"/>
            <w:shd w:val="clear" w:color="auto" w:fill="auto"/>
            <w:vAlign w:val="center"/>
            <w:hideMark/>
          </w:tcPr>
          <w:p w14:paraId="4F49FF79"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Вугілля кам'яне (суббітумінозне)</w:t>
            </w:r>
          </w:p>
        </w:tc>
        <w:tc>
          <w:tcPr>
            <w:tcW w:w="1546" w:type="dxa"/>
            <w:shd w:val="clear" w:color="auto" w:fill="auto"/>
            <w:vAlign w:val="center"/>
            <w:hideMark/>
          </w:tcPr>
          <w:p w14:paraId="64DA9C9F"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Торф (брикети, напівбрикети)</w:t>
            </w:r>
          </w:p>
        </w:tc>
        <w:tc>
          <w:tcPr>
            <w:tcW w:w="1109" w:type="dxa"/>
            <w:vMerge/>
            <w:vAlign w:val="center"/>
            <w:hideMark/>
          </w:tcPr>
          <w:p w14:paraId="31B76D88" w14:textId="77777777" w:rsidR="002802C8" w:rsidRPr="00F475A1" w:rsidRDefault="002802C8" w:rsidP="002802C8">
            <w:pPr>
              <w:spacing w:after="0" w:line="240" w:lineRule="auto"/>
              <w:rPr>
                <w:rFonts w:ascii="Times New Roman" w:eastAsia="Times New Roman" w:hAnsi="Times New Roman" w:cs="Times New Roman"/>
              </w:rPr>
            </w:pPr>
          </w:p>
        </w:tc>
      </w:tr>
      <w:tr w:rsidR="002802C8" w:rsidRPr="00F475A1" w14:paraId="5A59FBA4" w14:textId="77777777" w:rsidTr="0051794F">
        <w:trPr>
          <w:trHeight w:val="390"/>
        </w:trPr>
        <w:tc>
          <w:tcPr>
            <w:tcW w:w="2396" w:type="dxa"/>
            <w:vMerge/>
            <w:vAlign w:val="center"/>
            <w:hideMark/>
          </w:tcPr>
          <w:p w14:paraId="2D009FB5" w14:textId="77777777" w:rsidR="002802C8" w:rsidRPr="00F475A1" w:rsidRDefault="002802C8" w:rsidP="002802C8">
            <w:pPr>
              <w:spacing w:after="0" w:line="240" w:lineRule="auto"/>
              <w:rPr>
                <w:rFonts w:ascii="Times New Roman" w:eastAsia="Times New Roman" w:hAnsi="Times New Roman" w:cs="Times New Roman"/>
                <w:b/>
                <w:bCs/>
              </w:rPr>
            </w:pPr>
          </w:p>
        </w:tc>
        <w:tc>
          <w:tcPr>
            <w:tcW w:w="1344" w:type="dxa"/>
            <w:shd w:val="clear" w:color="000000" w:fill="D9D9D9"/>
            <w:vAlign w:val="center"/>
            <w:hideMark/>
          </w:tcPr>
          <w:p w14:paraId="0BFBA18C"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78" w:type="dxa"/>
            <w:shd w:val="clear" w:color="000000" w:fill="D9D9D9"/>
            <w:vAlign w:val="center"/>
            <w:hideMark/>
          </w:tcPr>
          <w:p w14:paraId="4F713394"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Гкал</w:t>
            </w:r>
          </w:p>
        </w:tc>
        <w:tc>
          <w:tcPr>
            <w:tcW w:w="1370" w:type="dxa"/>
            <w:shd w:val="clear" w:color="000000" w:fill="D9D9D9"/>
            <w:vAlign w:val="center"/>
            <w:hideMark/>
          </w:tcPr>
          <w:p w14:paraId="44D485B0"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тис.м</w:t>
            </w:r>
            <w:r w:rsidRPr="00F475A1">
              <w:rPr>
                <w:rFonts w:ascii="Times New Roman" w:eastAsia="Times New Roman" w:hAnsi="Times New Roman" w:cs="Times New Roman"/>
                <w:vertAlign w:val="superscript"/>
              </w:rPr>
              <w:t>3</w:t>
            </w:r>
          </w:p>
        </w:tc>
        <w:tc>
          <w:tcPr>
            <w:tcW w:w="1356" w:type="dxa"/>
            <w:shd w:val="clear" w:color="000000" w:fill="D9D9D9"/>
            <w:vAlign w:val="center"/>
            <w:hideMark/>
          </w:tcPr>
          <w:p w14:paraId="2819915F"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w:t>
            </w:r>
            <w:r w:rsidRPr="00F475A1">
              <w:rPr>
                <w:rFonts w:ascii="Times New Roman" w:eastAsia="Times New Roman" w:hAnsi="Times New Roman" w:cs="Times New Roman"/>
                <w:vertAlign w:val="superscript"/>
              </w:rPr>
              <w:t>3</w:t>
            </w:r>
          </w:p>
        </w:tc>
        <w:tc>
          <w:tcPr>
            <w:tcW w:w="1050" w:type="dxa"/>
            <w:shd w:val="clear" w:color="000000" w:fill="D9D9D9"/>
            <w:vAlign w:val="center"/>
            <w:hideMark/>
          </w:tcPr>
          <w:p w14:paraId="77EABA95"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039" w:type="dxa"/>
            <w:shd w:val="clear" w:color="000000" w:fill="D9D9D9"/>
            <w:vAlign w:val="center"/>
            <w:hideMark/>
          </w:tcPr>
          <w:p w14:paraId="0304D481"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792" w:type="dxa"/>
            <w:shd w:val="clear" w:color="000000" w:fill="D9D9D9"/>
            <w:noWrap/>
            <w:vAlign w:val="center"/>
            <w:hideMark/>
          </w:tcPr>
          <w:p w14:paraId="6B58FB6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тонн</w:t>
            </w:r>
          </w:p>
        </w:tc>
        <w:tc>
          <w:tcPr>
            <w:tcW w:w="1546" w:type="dxa"/>
            <w:shd w:val="clear" w:color="000000" w:fill="D9D9D9"/>
            <w:noWrap/>
            <w:vAlign w:val="center"/>
            <w:hideMark/>
          </w:tcPr>
          <w:p w14:paraId="4FB1948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тонн</w:t>
            </w:r>
          </w:p>
        </w:tc>
        <w:tc>
          <w:tcPr>
            <w:tcW w:w="1109" w:type="dxa"/>
            <w:shd w:val="clear" w:color="000000" w:fill="D9D9D9"/>
            <w:vAlign w:val="center"/>
            <w:hideMark/>
          </w:tcPr>
          <w:p w14:paraId="6A9B13F8"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r>
      <w:tr w:rsidR="002802C8" w:rsidRPr="00F475A1" w14:paraId="2B87B325" w14:textId="77777777" w:rsidTr="002802C8">
        <w:trPr>
          <w:trHeight w:val="435"/>
        </w:trPr>
        <w:tc>
          <w:tcPr>
            <w:tcW w:w="14180" w:type="dxa"/>
            <w:gridSpan w:val="10"/>
            <w:shd w:val="clear" w:color="000000" w:fill="F2F2F2"/>
            <w:vAlign w:val="center"/>
            <w:hideMark/>
          </w:tcPr>
          <w:p w14:paraId="4917A7A8"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Муніципальні будівлі, обладнання/об'єкти</w:t>
            </w:r>
          </w:p>
        </w:tc>
      </w:tr>
      <w:tr w:rsidR="002802C8" w:rsidRPr="00F475A1" w14:paraId="04848612" w14:textId="77777777" w:rsidTr="0051794F">
        <w:trPr>
          <w:trHeight w:val="615"/>
        </w:trPr>
        <w:tc>
          <w:tcPr>
            <w:tcW w:w="2396" w:type="dxa"/>
            <w:shd w:val="clear" w:color="auto" w:fill="auto"/>
            <w:vAlign w:val="center"/>
            <w:hideMark/>
          </w:tcPr>
          <w:p w14:paraId="0FF0677D"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Муніципальні будівлі, обладнання/об'єкти</w:t>
            </w:r>
          </w:p>
        </w:tc>
        <w:tc>
          <w:tcPr>
            <w:tcW w:w="1344" w:type="dxa"/>
            <w:shd w:val="clear" w:color="000000" w:fill="D8E4BC"/>
            <w:vAlign w:val="center"/>
            <w:hideMark/>
          </w:tcPr>
          <w:p w14:paraId="14BEE01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12 461,5</w:t>
            </w:r>
          </w:p>
        </w:tc>
        <w:tc>
          <w:tcPr>
            <w:tcW w:w="1178" w:type="dxa"/>
            <w:shd w:val="clear" w:color="000000" w:fill="D8E4BC"/>
            <w:vAlign w:val="center"/>
            <w:hideMark/>
          </w:tcPr>
          <w:p w14:paraId="79A8406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48 000,0</w:t>
            </w:r>
          </w:p>
        </w:tc>
        <w:tc>
          <w:tcPr>
            <w:tcW w:w="1370" w:type="dxa"/>
            <w:shd w:val="clear" w:color="000000" w:fill="D8E4BC"/>
            <w:vAlign w:val="center"/>
            <w:hideMark/>
          </w:tcPr>
          <w:p w14:paraId="46BB8C0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1 220,8</w:t>
            </w:r>
          </w:p>
        </w:tc>
        <w:tc>
          <w:tcPr>
            <w:tcW w:w="1356" w:type="dxa"/>
            <w:shd w:val="clear" w:color="000000" w:fill="D8E4BC"/>
            <w:vAlign w:val="center"/>
            <w:hideMark/>
          </w:tcPr>
          <w:p w14:paraId="23F7D5D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0" w:type="dxa"/>
            <w:shd w:val="clear" w:color="000000" w:fill="D8E4BC"/>
            <w:vAlign w:val="center"/>
            <w:hideMark/>
          </w:tcPr>
          <w:p w14:paraId="75D459A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39" w:type="dxa"/>
            <w:shd w:val="clear" w:color="000000" w:fill="D8E4BC"/>
            <w:vAlign w:val="center"/>
            <w:hideMark/>
          </w:tcPr>
          <w:p w14:paraId="6E80116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792" w:type="dxa"/>
            <w:shd w:val="clear" w:color="000000" w:fill="D8E4BC"/>
            <w:vAlign w:val="center"/>
            <w:hideMark/>
          </w:tcPr>
          <w:p w14:paraId="42280C4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121,0</w:t>
            </w:r>
          </w:p>
        </w:tc>
        <w:tc>
          <w:tcPr>
            <w:tcW w:w="1546" w:type="dxa"/>
            <w:shd w:val="clear" w:color="000000" w:fill="D8E4BC"/>
            <w:vAlign w:val="center"/>
            <w:hideMark/>
          </w:tcPr>
          <w:p w14:paraId="156D0A9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133C1F2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r>
      <w:tr w:rsidR="002802C8" w:rsidRPr="00F475A1" w14:paraId="2796A157" w14:textId="77777777" w:rsidTr="0051794F">
        <w:trPr>
          <w:trHeight w:val="615"/>
        </w:trPr>
        <w:tc>
          <w:tcPr>
            <w:tcW w:w="2396" w:type="dxa"/>
            <w:shd w:val="clear" w:color="auto" w:fill="auto"/>
            <w:vAlign w:val="center"/>
            <w:hideMark/>
          </w:tcPr>
          <w:p w14:paraId="6B182505"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Муніципальне освітлення</w:t>
            </w:r>
          </w:p>
        </w:tc>
        <w:tc>
          <w:tcPr>
            <w:tcW w:w="1344" w:type="dxa"/>
            <w:shd w:val="clear" w:color="000000" w:fill="D8E4BC"/>
            <w:vAlign w:val="center"/>
            <w:hideMark/>
          </w:tcPr>
          <w:p w14:paraId="185131C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3 476,0</w:t>
            </w:r>
          </w:p>
        </w:tc>
        <w:tc>
          <w:tcPr>
            <w:tcW w:w="1178" w:type="dxa"/>
            <w:shd w:val="clear" w:color="000000" w:fill="D8E4BC"/>
            <w:vAlign w:val="center"/>
            <w:hideMark/>
          </w:tcPr>
          <w:p w14:paraId="7DEF1D4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70" w:type="dxa"/>
            <w:shd w:val="clear" w:color="000000" w:fill="D8E4BC"/>
            <w:vAlign w:val="center"/>
            <w:hideMark/>
          </w:tcPr>
          <w:p w14:paraId="5942BD9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56" w:type="dxa"/>
            <w:shd w:val="clear" w:color="000000" w:fill="D8E4BC"/>
            <w:vAlign w:val="center"/>
            <w:hideMark/>
          </w:tcPr>
          <w:p w14:paraId="706FA49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0" w:type="dxa"/>
            <w:shd w:val="clear" w:color="000000" w:fill="D8E4BC"/>
            <w:vAlign w:val="center"/>
            <w:hideMark/>
          </w:tcPr>
          <w:p w14:paraId="060B10A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39" w:type="dxa"/>
            <w:shd w:val="clear" w:color="000000" w:fill="D8E4BC"/>
            <w:vAlign w:val="center"/>
            <w:hideMark/>
          </w:tcPr>
          <w:p w14:paraId="718B773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792" w:type="dxa"/>
            <w:shd w:val="clear" w:color="000000" w:fill="D8E4BC"/>
            <w:vAlign w:val="center"/>
            <w:hideMark/>
          </w:tcPr>
          <w:p w14:paraId="0E6965E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546" w:type="dxa"/>
            <w:shd w:val="clear" w:color="000000" w:fill="D8E4BC"/>
            <w:vAlign w:val="center"/>
            <w:hideMark/>
          </w:tcPr>
          <w:p w14:paraId="7C78132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2582D79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r>
      <w:tr w:rsidR="002802C8" w:rsidRPr="00F475A1" w14:paraId="1DD9E353" w14:textId="77777777" w:rsidTr="0051794F">
        <w:trPr>
          <w:trHeight w:val="315"/>
        </w:trPr>
        <w:tc>
          <w:tcPr>
            <w:tcW w:w="2396" w:type="dxa"/>
            <w:shd w:val="clear" w:color="auto" w:fill="auto"/>
            <w:vAlign w:val="center"/>
            <w:hideMark/>
          </w:tcPr>
          <w:p w14:paraId="58B85162"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344" w:type="dxa"/>
            <w:shd w:val="clear" w:color="000000" w:fill="D8E4BC"/>
            <w:vAlign w:val="center"/>
            <w:hideMark/>
          </w:tcPr>
          <w:p w14:paraId="3217011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42 097,0</w:t>
            </w:r>
          </w:p>
        </w:tc>
        <w:tc>
          <w:tcPr>
            <w:tcW w:w="1178" w:type="dxa"/>
            <w:shd w:val="clear" w:color="000000" w:fill="D8E4BC"/>
            <w:vAlign w:val="center"/>
            <w:hideMark/>
          </w:tcPr>
          <w:p w14:paraId="37914C5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70" w:type="dxa"/>
            <w:shd w:val="clear" w:color="000000" w:fill="D8E4BC"/>
            <w:vAlign w:val="center"/>
            <w:hideMark/>
          </w:tcPr>
          <w:p w14:paraId="5C2B351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56" w:type="dxa"/>
            <w:shd w:val="clear" w:color="000000" w:fill="D8E4BC"/>
            <w:vAlign w:val="center"/>
            <w:hideMark/>
          </w:tcPr>
          <w:p w14:paraId="009FD09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0" w:type="dxa"/>
            <w:shd w:val="clear" w:color="000000" w:fill="D8E4BC"/>
            <w:vAlign w:val="center"/>
            <w:hideMark/>
          </w:tcPr>
          <w:p w14:paraId="0E126E5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39" w:type="dxa"/>
            <w:shd w:val="clear" w:color="000000" w:fill="D8E4BC"/>
            <w:vAlign w:val="center"/>
            <w:hideMark/>
          </w:tcPr>
          <w:p w14:paraId="7420345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792" w:type="dxa"/>
            <w:shd w:val="clear" w:color="000000" w:fill="D8E4BC"/>
            <w:vAlign w:val="center"/>
            <w:hideMark/>
          </w:tcPr>
          <w:p w14:paraId="12848AB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546" w:type="dxa"/>
            <w:shd w:val="clear" w:color="000000" w:fill="D8E4BC"/>
            <w:vAlign w:val="center"/>
            <w:hideMark/>
          </w:tcPr>
          <w:p w14:paraId="01CA6B0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4D785EC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r>
      <w:tr w:rsidR="002802C8" w:rsidRPr="00F475A1" w14:paraId="5BDD3939" w14:textId="77777777" w:rsidTr="002802C8">
        <w:trPr>
          <w:trHeight w:val="405"/>
        </w:trPr>
        <w:tc>
          <w:tcPr>
            <w:tcW w:w="14180" w:type="dxa"/>
            <w:gridSpan w:val="10"/>
            <w:shd w:val="clear" w:color="auto" w:fill="auto"/>
            <w:vAlign w:val="center"/>
            <w:hideMark/>
          </w:tcPr>
          <w:p w14:paraId="4AF2B381"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Третинні (не муніципальні) будівлі, обладнання/об'єкти</w:t>
            </w:r>
          </w:p>
        </w:tc>
      </w:tr>
      <w:tr w:rsidR="002802C8" w:rsidRPr="00F475A1" w14:paraId="79EA6046" w14:textId="77777777" w:rsidTr="0051794F">
        <w:trPr>
          <w:trHeight w:val="1215"/>
        </w:trPr>
        <w:tc>
          <w:tcPr>
            <w:tcW w:w="2396" w:type="dxa"/>
            <w:shd w:val="clear" w:color="auto" w:fill="auto"/>
            <w:vAlign w:val="center"/>
            <w:hideMark/>
          </w:tcPr>
          <w:p w14:paraId="50E925FC"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Будівлі, обладнання/об'єкти сфери послуг (не муніципальні)</w:t>
            </w:r>
          </w:p>
        </w:tc>
        <w:tc>
          <w:tcPr>
            <w:tcW w:w="1344" w:type="dxa"/>
            <w:shd w:val="clear" w:color="000000" w:fill="D8E4BC"/>
            <w:vAlign w:val="center"/>
            <w:hideMark/>
          </w:tcPr>
          <w:p w14:paraId="1B630C1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78" w:type="dxa"/>
            <w:shd w:val="clear" w:color="000000" w:fill="D8E4BC"/>
            <w:vAlign w:val="center"/>
            <w:hideMark/>
          </w:tcPr>
          <w:p w14:paraId="41D2A1A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70" w:type="dxa"/>
            <w:shd w:val="clear" w:color="000000" w:fill="D8E4BC"/>
            <w:vAlign w:val="center"/>
            <w:hideMark/>
          </w:tcPr>
          <w:p w14:paraId="48901CF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56" w:type="dxa"/>
            <w:shd w:val="clear" w:color="000000" w:fill="D8E4BC"/>
            <w:vAlign w:val="center"/>
            <w:hideMark/>
          </w:tcPr>
          <w:p w14:paraId="5BB5253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0" w:type="dxa"/>
            <w:shd w:val="clear" w:color="000000" w:fill="D8E4BC"/>
            <w:vAlign w:val="center"/>
            <w:hideMark/>
          </w:tcPr>
          <w:p w14:paraId="4F62CE1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39" w:type="dxa"/>
            <w:shd w:val="clear" w:color="000000" w:fill="D8E4BC"/>
            <w:vAlign w:val="center"/>
            <w:hideMark/>
          </w:tcPr>
          <w:p w14:paraId="1C88E08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792" w:type="dxa"/>
            <w:shd w:val="clear" w:color="000000" w:fill="D8E4BC"/>
            <w:vAlign w:val="center"/>
            <w:hideMark/>
          </w:tcPr>
          <w:p w14:paraId="4A1B9B2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546" w:type="dxa"/>
            <w:shd w:val="clear" w:color="000000" w:fill="D8E4BC"/>
            <w:vAlign w:val="center"/>
            <w:hideMark/>
          </w:tcPr>
          <w:p w14:paraId="201AF7E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09" w:type="dxa"/>
            <w:shd w:val="clear" w:color="000000" w:fill="D8E4BC"/>
            <w:vAlign w:val="center"/>
            <w:hideMark/>
          </w:tcPr>
          <w:p w14:paraId="45A584F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r>
      <w:tr w:rsidR="002802C8" w:rsidRPr="00F475A1" w14:paraId="0D7924B2" w14:textId="77777777" w:rsidTr="0051794F">
        <w:trPr>
          <w:trHeight w:val="315"/>
        </w:trPr>
        <w:tc>
          <w:tcPr>
            <w:tcW w:w="2396" w:type="dxa"/>
            <w:shd w:val="clear" w:color="auto" w:fill="auto"/>
            <w:vAlign w:val="center"/>
            <w:hideMark/>
          </w:tcPr>
          <w:p w14:paraId="2F7C6341"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344" w:type="dxa"/>
            <w:shd w:val="clear" w:color="000000" w:fill="D8E4BC"/>
            <w:vAlign w:val="center"/>
            <w:hideMark/>
          </w:tcPr>
          <w:p w14:paraId="51F877F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54 932,0</w:t>
            </w:r>
          </w:p>
        </w:tc>
        <w:tc>
          <w:tcPr>
            <w:tcW w:w="1178" w:type="dxa"/>
            <w:shd w:val="clear" w:color="000000" w:fill="D8E4BC"/>
            <w:vAlign w:val="center"/>
            <w:hideMark/>
          </w:tcPr>
          <w:p w14:paraId="441F709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28 767,0</w:t>
            </w:r>
          </w:p>
        </w:tc>
        <w:tc>
          <w:tcPr>
            <w:tcW w:w="1370" w:type="dxa"/>
            <w:shd w:val="clear" w:color="000000" w:fill="D8E4BC"/>
            <w:vAlign w:val="center"/>
            <w:hideMark/>
          </w:tcPr>
          <w:p w14:paraId="052FF2C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31 495,9</w:t>
            </w:r>
          </w:p>
        </w:tc>
        <w:tc>
          <w:tcPr>
            <w:tcW w:w="1356" w:type="dxa"/>
            <w:shd w:val="clear" w:color="000000" w:fill="D8E4BC"/>
            <w:vAlign w:val="center"/>
            <w:hideMark/>
          </w:tcPr>
          <w:p w14:paraId="1B80A70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0" w:type="dxa"/>
            <w:shd w:val="clear" w:color="000000" w:fill="D8E4BC"/>
            <w:vAlign w:val="center"/>
            <w:hideMark/>
          </w:tcPr>
          <w:p w14:paraId="3194E4B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39" w:type="dxa"/>
            <w:shd w:val="clear" w:color="000000" w:fill="D8E4BC"/>
            <w:vAlign w:val="center"/>
            <w:hideMark/>
          </w:tcPr>
          <w:p w14:paraId="38169E7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792" w:type="dxa"/>
            <w:shd w:val="clear" w:color="000000" w:fill="D8E4BC"/>
            <w:vAlign w:val="center"/>
            <w:hideMark/>
          </w:tcPr>
          <w:p w14:paraId="56CA033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1 739,0</w:t>
            </w:r>
          </w:p>
        </w:tc>
        <w:tc>
          <w:tcPr>
            <w:tcW w:w="1546" w:type="dxa"/>
            <w:shd w:val="clear" w:color="000000" w:fill="D8E4BC"/>
            <w:vAlign w:val="center"/>
            <w:hideMark/>
          </w:tcPr>
          <w:p w14:paraId="1EEB03F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238,1</w:t>
            </w:r>
          </w:p>
        </w:tc>
        <w:tc>
          <w:tcPr>
            <w:tcW w:w="1109" w:type="dxa"/>
            <w:shd w:val="clear" w:color="000000" w:fill="D8E4BC"/>
            <w:vAlign w:val="center"/>
            <w:hideMark/>
          </w:tcPr>
          <w:p w14:paraId="3904F00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1 684,8</w:t>
            </w:r>
          </w:p>
        </w:tc>
      </w:tr>
      <w:tr w:rsidR="002802C8" w:rsidRPr="00F475A1" w14:paraId="0B17E419" w14:textId="77777777" w:rsidTr="0051794F">
        <w:trPr>
          <w:trHeight w:val="315"/>
        </w:trPr>
        <w:tc>
          <w:tcPr>
            <w:tcW w:w="2396" w:type="dxa"/>
            <w:shd w:val="clear" w:color="000000" w:fill="F2F2F2"/>
            <w:vAlign w:val="center"/>
            <w:hideMark/>
          </w:tcPr>
          <w:p w14:paraId="7B818692"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Житлові будинки</w:t>
            </w:r>
          </w:p>
        </w:tc>
        <w:tc>
          <w:tcPr>
            <w:tcW w:w="1344" w:type="dxa"/>
            <w:shd w:val="clear" w:color="000000" w:fill="D8E4BC"/>
            <w:vAlign w:val="center"/>
            <w:hideMark/>
          </w:tcPr>
          <w:p w14:paraId="33147AF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173 422,1</w:t>
            </w:r>
          </w:p>
        </w:tc>
        <w:tc>
          <w:tcPr>
            <w:tcW w:w="1178" w:type="dxa"/>
            <w:shd w:val="clear" w:color="000000" w:fill="D8E4BC"/>
            <w:vAlign w:val="center"/>
            <w:hideMark/>
          </w:tcPr>
          <w:p w14:paraId="33BD123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461 451,0</w:t>
            </w:r>
          </w:p>
        </w:tc>
        <w:tc>
          <w:tcPr>
            <w:tcW w:w="1370" w:type="dxa"/>
            <w:shd w:val="clear" w:color="000000" w:fill="D8E4BC"/>
            <w:vAlign w:val="center"/>
            <w:hideMark/>
          </w:tcPr>
          <w:p w14:paraId="7771B22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98 118,0</w:t>
            </w:r>
          </w:p>
        </w:tc>
        <w:tc>
          <w:tcPr>
            <w:tcW w:w="1356" w:type="dxa"/>
            <w:shd w:val="clear" w:color="000000" w:fill="D8E4BC"/>
            <w:vAlign w:val="center"/>
            <w:hideMark/>
          </w:tcPr>
          <w:p w14:paraId="5FCD90D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0" w:type="dxa"/>
            <w:shd w:val="clear" w:color="000000" w:fill="D8E4BC"/>
            <w:vAlign w:val="center"/>
            <w:hideMark/>
          </w:tcPr>
          <w:p w14:paraId="6C3B356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39" w:type="dxa"/>
            <w:shd w:val="clear" w:color="000000" w:fill="D8E4BC"/>
            <w:vAlign w:val="center"/>
            <w:hideMark/>
          </w:tcPr>
          <w:p w14:paraId="367C25A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792" w:type="dxa"/>
            <w:shd w:val="clear" w:color="000000" w:fill="D8E4BC"/>
            <w:vAlign w:val="center"/>
            <w:hideMark/>
          </w:tcPr>
          <w:p w14:paraId="53BC655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749,1</w:t>
            </w:r>
          </w:p>
        </w:tc>
        <w:tc>
          <w:tcPr>
            <w:tcW w:w="1546" w:type="dxa"/>
            <w:shd w:val="clear" w:color="000000" w:fill="D8E4BC"/>
            <w:vAlign w:val="center"/>
            <w:hideMark/>
          </w:tcPr>
          <w:p w14:paraId="7D88518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756,4</w:t>
            </w:r>
          </w:p>
        </w:tc>
        <w:tc>
          <w:tcPr>
            <w:tcW w:w="1109" w:type="dxa"/>
            <w:shd w:val="clear" w:color="000000" w:fill="D8E4BC"/>
            <w:vAlign w:val="center"/>
            <w:hideMark/>
          </w:tcPr>
          <w:p w14:paraId="71ACBE9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833,5</w:t>
            </w:r>
          </w:p>
        </w:tc>
      </w:tr>
      <w:tr w:rsidR="002802C8" w:rsidRPr="00F475A1" w14:paraId="57096304" w14:textId="77777777" w:rsidTr="002802C8">
        <w:trPr>
          <w:trHeight w:val="330"/>
        </w:trPr>
        <w:tc>
          <w:tcPr>
            <w:tcW w:w="14180" w:type="dxa"/>
            <w:gridSpan w:val="10"/>
            <w:shd w:val="clear" w:color="000000" w:fill="F2F2F2"/>
            <w:vAlign w:val="center"/>
            <w:hideMark/>
          </w:tcPr>
          <w:p w14:paraId="2E964CB4"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Транспорт</w:t>
            </w:r>
          </w:p>
        </w:tc>
      </w:tr>
      <w:tr w:rsidR="002802C8" w:rsidRPr="00F475A1" w14:paraId="681AF108" w14:textId="77777777" w:rsidTr="0051794F">
        <w:trPr>
          <w:trHeight w:val="615"/>
        </w:trPr>
        <w:tc>
          <w:tcPr>
            <w:tcW w:w="2396" w:type="dxa"/>
            <w:shd w:val="clear" w:color="auto" w:fill="auto"/>
            <w:vAlign w:val="center"/>
            <w:hideMark/>
          </w:tcPr>
          <w:p w14:paraId="1E287130"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Муніципальний транспорт</w:t>
            </w:r>
          </w:p>
        </w:tc>
        <w:tc>
          <w:tcPr>
            <w:tcW w:w="1344" w:type="dxa"/>
            <w:shd w:val="clear" w:color="000000" w:fill="D8E4BC"/>
            <w:vAlign w:val="center"/>
            <w:hideMark/>
          </w:tcPr>
          <w:p w14:paraId="108B050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78" w:type="dxa"/>
            <w:shd w:val="clear" w:color="000000" w:fill="D8E4BC"/>
            <w:vAlign w:val="center"/>
            <w:hideMark/>
          </w:tcPr>
          <w:p w14:paraId="404C6EB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370" w:type="dxa"/>
            <w:shd w:val="clear" w:color="000000" w:fill="D8E4BC"/>
            <w:vAlign w:val="center"/>
            <w:hideMark/>
          </w:tcPr>
          <w:p w14:paraId="4F3FB9B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356" w:type="dxa"/>
            <w:shd w:val="clear" w:color="000000" w:fill="D8E4BC"/>
            <w:vAlign w:val="center"/>
            <w:hideMark/>
          </w:tcPr>
          <w:p w14:paraId="5AC4A8E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050" w:type="dxa"/>
            <w:shd w:val="clear" w:color="000000" w:fill="D8E4BC"/>
            <w:vAlign w:val="center"/>
            <w:hideMark/>
          </w:tcPr>
          <w:p w14:paraId="458F7BD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474,9</w:t>
            </w:r>
          </w:p>
        </w:tc>
        <w:tc>
          <w:tcPr>
            <w:tcW w:w="1039" w:type="dxa"/>
            <w:shd w:val="clear" w:color="000000" w:fill="D8E4BC"/>
            <w:vAlign w:val="center"/>
            <w:hideMark/>
          </w:tcPr>
          <w:p w14:paraId="2C8E67C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598,2</w:t>
            </w:r>
          </w:p>
        </w:tc>
        <w:tc>
          <w:tcPr>
            <w:tcW w:w="1792" w:type="dxa"/>
            <w:shd w:val="clear" w:color="000000" w:fill="D8E4BC"/>
            <w:vAlign w:val="center"/>
            <w:hideMark/>
          </w:tcPr>
          <w:p w14:paraId="6E302F7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546" w:type="dxa"/>
            <w:shd w:val="clear" w:color="000000" w:fill="D8E4BC"/>
            <w:vAlign w:val="center"/>
            <w:hideMark/>
          </w:tcPr>
          <w:p w14:paraId="499A7AF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466D3F1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r>
      <w:tr w:rsidR="002802C8" w:rsidRPr="00F475A1" w14:paraId="54B06846" w14:textId="77777777" w:rsidTr="0051794F">
        <w:trPr>
          <w:trHeight w:val="615"/>
        </w:trPr>
        <w:tc>
          <w:tcPr>
            <w:tcW w:w="2396" w:type="dxa"/>
            <w:shd w:val="clear" w:color="auto" w:fill="auto"/>
            <w:vAlign w:val="center"/>
            <w:hideMark/>
          </w:tcPr>
          <w:p w14:paraId="6C9DB444"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lastRenderedPageBreak/>
              <w:t>- Громадський транспорт</w:t>
            </w:r>
          </w:p>
        </w:tc>
        <w:tc>
          <w:tcPr>
            <w:tcW w:w="1344" w:type="dxa"/>
            <w:shd w:val="clear" w:color="000000" w:fill="D8E4BC"/>
            <w:vAlign w:val="center"/>
            <w:hideMark/>
          </w:tcPr>
          <w:p w14:paraId="7919984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15 230,0</w:t>
            </w:r>
          </w:p>
        </w:tc>
        <w:tc>
          <w:tcPr>
            <w:tcW w:w="1178" w:type="dxa"/>
            <w:shd w:val="clear" w:color="000000" w:fill="D8E4BC"/>
            <w:vAlign w:val="center"/>
            <w:hideMark/>
          </w:tcPr>
          <w:p w14:paraId="65F3B42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70" w:type="dxa"/>
            <w:shd w:val="clear" w:color="000000" w:fill="D8E4BC"/>
            <w:vAlign w:val="center"/>
            <w:hideMark/>
          </w:tcPr>
          <w:p w14:paraId="51525C2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9 910,7</w:t>
            </w:r>
          </w:p>
        </w:tc>
        <w:tc>
          <w:tcPr>
            <w:tcW w:w="1356" w:type="dxa"/>
            <w:shd w:val="clear" w:color="000000" w:fill="D8E4BC"/>
            <w:vAlign w:val="center"/>
            <w:hideMark/>
          </w:tcPr>
          <w:p w14:paraId="5FA75D2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050" w:type="dxa"/>
            <w:shd w:val="clear" w:color="000000" w:fill="D8E4BC"/>
            <w:vAlign w:val="center"/>
            <w:hideMark/>
          </w:tcPr>
          <w:p w14:paraId="32AC7D9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1 441,2</w:t>
            </w:r>
          </w:p>
        </w:tc>
        <w:tc>
          <w:tcPr>
            <w:tcW w:w="1039" w:type="dxa"/>
            <w:shd w:val="clear" w:color="000000" w:fill="D8E4BC"/>
            <w:vAlign w:val="center"/>
            <w:hideMark/>
          </w:tcPr>
          <w:p w14:paraId="1E5B42C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792" w:type="dxa"/>
            <w:shd w:val="clear" w:color="000000" w:fill="D8E4BC"/>
            <w:vAlign w:val="center"/>
            <w:hideMark/>
          </w:tcPr>
          <w:p w14:paraId="2E1DB13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546" w:type="dxa"/>
            <w:shd w:val="clear" w:color="000000" w:fill="D8E4BC"/>
            <w:vAlign w:val="center"/>
            <w:hideMark/>
          </w:tcPr>
          <w:p w14:paraId="4424A4E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4CD64F6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r>
      <w:tr w:rsidR="002802C8" w:rsidRPr="00F475A1" w14:paraId="108BF54A" w14:textId="77777777" w:rsidTr="0051794F">
        <w:trPr>
          <w:trHeight w:val="615"/>
        </w:trPr>
        <w:tc>
          <w:tcPr>
            <w:tcW w:w="2396" w:type="dxa"/>
            <w:shd w:val="clear" w:color="auto" w:fill="auto"/>
            <w:vAlign w:val="center"/>
            <w:hideMark/>
          </w:tcPr>
          <w:p w14:paraId="0E9D2112"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Приватний та комерційний транспорт</w:t>
            </w:r>
          </w:p>
        </w:tc>
        <w:tc>
          <w:tcPr>
            <w:tcW w:w="1344" w:type="dxa"/>
            <w:shd w:val="clear" w:color="000000" w:fill="D8E4BC"/>
            <w:vAlign w:val="center"/>
            <w:hideMark/>
          </w:tcPr>
          <w:p w14:paraId="3D0A68A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7,6</w:t>
            </w:r>
          </w:p>
        </w:tc>
        <w:tc>
          <w:tcPr>
            <w:tcW w:w="1178" w:type="dxa"/>
            <w:shd w:val="clear" w:color="000000" w:fill="D8E4BC"/>
            <w:vAlign w:val="center"/>
            <w:hideMark/>
          </w:tcPr>
          <w:p w14:paraId="535CF86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70" w:type="dxa"/>
            <w:shd w:val="clear" w:color="000000" w:fill="D8E4BC"/>
            <w:vAlign w:val="center"/>
            <w:hideMark/>
          </w:tcPr>
          <w:p w14:paraId="30B344D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213,7</w:t>
            </w:r>
          </w:p>
        </w:tc>
        <w:tc>
          <w:tcPr>
            <w:tcW w:w="1356" w:type="dxa"/>
            <w:shd w:val="clear" w:color="000000" w:fill="D8E4BC"/>
            <w:vAlign w:val="center"/>
            <w:hideMark/>
          </w:tcPr>
          <w:p w14:paraId="6863C9E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6 347,2</w:t>
            </w:r>
          </w:p>
        </w:tc>
        <w:tc>
          <w:tcPr>
            <w:tcW w:w="1050" w:type="dxa"/>
            <w:shd w:val="clear" w:color="000000" w:fill="D8E4BC"/>
            <w:vAlign w:val="center"/>
            <w:hideMark/>
          </w:tcPr>
          <w:p w14:paraId="5744D9A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8 798,2</w:t>
            </w:r>
          </w:p>
        </w:tc>
        <w:tc>
          <w:tcPr>
            <w:tcW w:w="1039" w:type="dxa"/>
            <w:shd w:val="clear" w:color="000000" w:fill="D8E4BC"/>
            <w:vAlign w:val="center"/>
            <w:hideMark/>
          </w:tcPr>
          <w:p w14:paraId="075E29B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4 917,6</w:t>
            </w:r>
          </w:p>
        </w:tc>
        <w:tc>
          <w:tcPr>
            <w:tcW w:w="1792" w:type="dxa"/>
            <w:shd w:val="clear" w:color="000000" w:fill="D8E4BC"/>
            <w:vAlign w:val="center"/>
            <w:hideMark/>
          </w:tcPr>
          <w:p w14:paraId="42723F3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546" w:type="dxa"/>
            <w:shd w:val="clear" w:color="000000" w:fill="D8E4BC"/>
            <w:vAlign w:val="center"/>
            <w:hideMark/>
          </w:tcPr>
          <w:p w14:paraId="33F031F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20B9BCC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r>
      <w:tr w:rsidR="002802C8" w:rsidRPr="00F475A1" w14:paraId="16D5C1BA" w14:textId="77777777" w:rsidTr="002802C8">
        <w:trPr>
          <w:trHeight w:val="375"/>
        </w:trPr>
        <w:tc>
          <w:tcPr>
            <w:tcW w:w="14180" w:type="dxa"/>
            <w:gridSpan w:val="10"/>
            <w:shd w:val="clear" w:color="000000" w:fill="F2F2F2"/>
            <w:vAlign w:val="center"/>
            <w:hideMark/>
          </w:tcPr>
          <w:p w14:paraId="644DC6F0"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Інші</w:t>
            </w:r>
          </w:p>
        </w:tc>
      </w:tr>
      <w:tr w:rsidR="002802C8" w:rsidRPr="00F475A1" w14:paraId="4C453010" w14:textId="77777777" w:rsidTr="0051794F">
        <w:trPr>
          <w:trHeight w:val="615"/>
        </w:trPr>
        <w:tc>
          <w:tcPr>
            <w:tcW w:w="2396" w:type="dxa"/>
            <w:shd w:val="clear" w:color="auto" w:fill="auto"/>
            <w:vAlign w:val="center"/>
            <w:hideMark/>
          </w:tcPr>
          <w:p w14:paraId="2175BC90"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 - управління відходами</w:t>
            </w:r>
          </w:p>
        </w:tc>
        <w:tc>
          <w:tcPr>
            <w:tcW w:w="1344" w:type="dxa"/>
            <w:shd w:val="clear" w:color="000000" w:fill="D8E4BC"/>
            <w:vAlign w:val="center"/>
            <w:hideMark/>
          </w:tcPr>
          <w:p w14:paraId="3CCF986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78" w:type="dxa"/>
            <w:shd w:val="clear" w:color="000000" w:fill="D8E4BC"/>
            <w:vAlign w:val="center"/>
            <w:hideMark/>
          </w:tcPr>
          <w:p w14:paraId="0317B60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70" w:type="dxa"/>
            <w:shd w:val="clear" w:color="000000" w:fill="D8E4BC"/>
            <w:vAlign w:val="center"/>
            <w:hideMark/>
          </w:tcPr>
          <w:p w14:paraId="3FAF5DB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356" w:type="dxa"/>
            <w:shd w:val="clear" w:color="000000" w:fill="D8E4BC"/>
            <w:vAlign w:val="center"/>
            <w:hideMark/>
          </w:tcPr>
          <w:p w14:paraId="45AA5B1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0" w:type="dxa"/>
            <w:shd w:val="clear" w:color="000000" w:fill="D8E4BC"/>
            <w:vAlign w:val="center"/>
            <w:hideMark/>
          </w:tcPr>
          <w:p w14:paraId="33767C7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39" w:type="dxa"/>
            <w:shd w:val="clear" w:color="000000" w:fill="D8E4BC"/>
            <w:vAlign w:val="center"/>
            <w:hideMark/>
          </w:tcPr>
          <w:p w14:paraId="6392CB8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792" w:type="dxa"/>
            <w:shd w:val="clear" w:color="000000" w:fill="D8E4BC"/>
            <w:vAlign w:val="center"/>
            <w:hideMark/>
          </w:tcPr>
          <w:p w14:paraId="11961CF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546" w:type="dxa"/>
            <w:shd w:val="clear" w:color="000000" w:fill="D8E4BC"/>
            <w:vAlign w:val="center"/>
            <w:hideMark/>
          </w:tcPr>
          <w:p w14:paraId="46E2B27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D8E4BC"/>
            <w:vAlign w:val="center"/>
            <w:hideMark/>
          </w:tcPr>
          <w:p w14:paraId="01E5143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r>
      <w:tr w:rsidR="002802C8" w:rsidRPr="00F475A1" w14:paraId="63384D79" w14:textId="77777777" w:rsidTr="0051794F">
        <w:trPr>
          <w:trHeight w:val="315"/>
        </w:trPr>
        <w:tc>
          <w:tcPr>
            <w:tcW w:w="2396" w:type="dxa"/>
            <w:shd w:val="clear" w:color="auto" w:fill="auto"/>
            <w:vAlign w:val="center"/>
            <w:hideMark/>
          </w:tcPr>
          <w:p w14:paraId="1551A47E" w14:textId="77777777" w:rsidR="002802C8" w:rsidRPr="00F475A1" w:rsidRDefault="002802C8" w:rsidP="002802C8">
            <w:pPr>
              <w:spacing w:after="0" w:line="240" w:lineRule="auto"/>
              <w:jc w:val="right"/>
              <w:rPr>
                <w:rFonts w:ascii="Times New Roman" w:eastAsia="Times New Roman" w:hAnsi="Times New Roman" w:cs="Times New Roman"/>
                <w:b/>
                <w:bCs/>
              </w:rPr>
            </w:pPr>
            <w:r w:rsidRPr="00F475A1">
              <w:rPr>
                <w:rFonts w:ascii="Times New Roman" w:eastAsia="Times New Roman" w:hAnsi="Times New Roman" w:cs="Times New Roman"/>
                <w:b/>
                <w:bCs/>
              </w:rPr>
              <w:t>Разом</w:t>
            </w:r>
          </w:p>
        </w:tc>
        <w:tc>
          <w:tcPr>
            <w:tcW w:w="1344" w:type="dxa"/>
            <w:shd w:val="clear" w:color="000000" w:fill="D8E4BC"/>
            <w:vAlign w:val="center"/>
            <w:hideMark/>
          </w:tcPr>
          <w:p w14:paraId="7820359C"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301 626,2</w:t>
            </w:r>
          </w:p>
        </w:tc>
        <w:tc>
          <w:tcPr>
            <w:tcW w:w="1178" w:type="dxa"/>
            <w:shd w:val="clear" w:color="000000" w:fill="D8E4BC"/>
            <w:vAlign w:val="center"/>
            <w:hideMark/>
          </w:tcPr>
          <w:p w14:paraId="06B59896"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538 218,0</w:t>
            </w:r>
          </w:p>
        </w:tc>
        <w:tc>
          <w:tcPr>
            <w:tcW w:w="1370" w:type="dxa"/>
            <w:shd w:val="clear" w:color="000000" w:fill="D8E4BC"/>
            <w:vAlign w:val="center"/>
            <w:hideMark/>
          </w:tcPr>
          <w:p w14:paraId="7FAB7028"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140 959,1</w:t>
            </w:r>
          </w:p>
        </w:tc>
        <w:tc>
          <w:tcPr>
            <w:tcW w:w="1356" w:type="dxa"/>
            <w:shd w:val="clear" w:color="000000" w:fill="D8E4BC"/>
            <w:vAlign w:val="center"/>
            <w:hideMark/>
          </w:tcPr>
          <w:p w14:paraId="6EFA9B2D"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6 347,2</w:t>
            </w:r>
          </w:p>
        </w:tc>
        <w:tc>
          <w:tcPr>
            <w:tcW w:w="1050" w:type="dxa"/>
            <w:shd w:val="clear" w:color="000000" w:fill="D8E4BC"/>
            <w:vAlign w:val="center"/>
            <w:hideMark/>
          </w:tcPr>
          <w:p w14:paraId="1F1FF5E0"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10 714,3</w:t>
            </w:r>
          </w:p>
        </w:tc>
        <w:tc>
          <w:tcPr>
            <w:tcW w:w="1039" w:type="dxa"/>
            <w:shd w:val="clear" w:color="000000" w:fill="D8E4BC"/>
            <w:vAlign w:val="center"/>
            <w:hideMark/>
          </w:tcPr>
          <w:p w14:paraId="282854D7"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5 515,8</w:t>
            </w:r>
          </w:p>
        </w:tc>
        <w:tc>
          <w:tcPr>
            <w:tcW w:w="1792" w:type="dxa"/>
            <w:shd w:val="clear" w:color="000000" w:fill="D8E4BC"/>
            <w:vAlign w:val="center"/>
            <w:hideMark/>
          </w:tcPr>
          <w:p w14:paraId="2E4B7401"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2 609,1</w:t>
            </w:r>
          </w:p>
        </w:tc>
        <w:tc>
          <w:tcPr>
            <w:tcW w:w="1546" w:type="dxa"/>
            <w:shd w:val="clear" w:color="000000" w:fill="D8E4BC"/>
            <w:vAlign w:val="center"/>
            <w:hideMark/>
          </w:tcPr>
          <w:p w14:paraId="1FAE112C"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994,5</w:t>
            </w:r>
          </w:p>
        </w:tc>
        <w:tc>
          <w:tcPr>
            <w:tcW w:w="1109" w:type="dxa"/>
            <w:shd w:val="clear" w:color="000000" w:fill="D8E4BC"/>
            <w:vAlign w:val="center"/>
            <w:hideMark/>
          </w:tcPr>
          <w:p w14:paraId="73D59169"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2 518,3</w:t>
            </w:r>
          </w:p>
        </w:tc>
      </w:tr>
    </w:tbl>
    <w:p w14:paraId="0200FD31" w14:textId="77777777" w:rsidR="00F120E2" w:rsidRDefault="00E66F64" w:rsidP="00284EAF">
      <w:pPr>
        <w:pBdr>
          <w:top w:val="nil"/>
          <w:left w:val="nil"/>
          <w:bottom w:val="nil"/>
          <w:right w:val="nil"/>
          <w:between w:val="nil"/>
        </w:pBdr>
        <w:spacing w:before="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w:t>
      </w:r>
      <w:r w:rsidR="00F120E2">
        <w:rPr>
          <w:rFonts w:ascii="Times New Roman" w:eastAsia="Times New Roman" w:hAnsi="Times New Roman" w:cs="Times New Roman"/>
          <w:b/>
          <w:color w:val="000000"/>
          <w:sz w:val="24"/>
          <w:szCs w:val="24"/>
        </w:rPr>
        <w:t>д</w:t>
      </w:r>
      <w:r>
        <w:rPr>
          <w:rFonts w:ascii="Times New Roman" w:eastAsia="Times New Roman" w:hAnsi="Times New Roman" w:cs="Times New Roman"/>
          <w:color w:val="000000"/>
          <w:sz w:val="24"/>
          <w:szCs w:val="24"/>
        </w:rPr>
        <w:t>іяльність чи процес у місті не ведеться чи не існує</w:t>
      </w:r>
      <w:r w:rsidR="00F120E2">
        <w:rPr>
          <w:rFonts w:ascii="Times New Roman" w:eastAsia="Times New Roman" w:hAnsi="Times New Roman" w:cs="Times New Roman"/>
          <w:color w:val="000000"/>
          <w:sz w:val="24"/>
          <w:szCs w:val="24"/>
        </w:rPr>
        <w:t>, т</w:t>
      </w:r>
      <w:r>
        <w:rPr>
          <w:rFonts w:ascii="Times New Roman" w:eastAsia="Times New Roman" w:hAnsi="Times New Roman" w:cs="Times New Roman"/>
          <w:color w:val="000000"/>
          <w:sz w:val="24"/>
          <w:szCs w:val="24"/>
        </w:rPr>
        <w:t>аке позначення мож</w:t>
      </w:r>
      <w:r w:rsidR="00F120E2">
        <w:rPr>
          <w:rFonts w:ascii="Times New Roman" w:eastAsia="Times New Roman" w:hAnsi="Times New Roman" w:cs="Times New Roman"/>
          <w:color w:val="000000"/>
          <w:sz w:val="24"/>
          <w:szCs w:val="24"/>
        </w:rPr>
        <w:t>е</w:t>
      </w:r>
      <w:r>
        <w:rPr>
          <w:rFonts w:ascii="Times New Roman" w:eastAsia="Times New Roman" w:hAnsi="Times New Roman" w:cs="Times New Roman"/>
          <w:color w:val="000000"/>
          <w:sz w:val="24"/>
          <w:szCs w:val="24"/>
        </w:rPr>
        <w:t xml:space="preserve"> також використовувати для незначних джерел (якщо обсяги викидів менші, ніж у будь-якому іншому пі</w:t>
      </w:r>
      <w:r w:rsidR="00F120E2">
        <w:rPr>
          <w:rFonts w:ascii="Times New Roman" w:eastAsia="Times New Roman" w:hAnsi="Times New Roman" w:cs="Times New Roman"/>
          <w:color w:val="000000"/>
          <w:sz w:val="24"/>
          <w:szCs w:val="24"/>
        </w:rPr>
        <w:t>дсекторі, про який подано дані),</w:t>
      </w:r>
      <w:r w:rsidR="002802C8">
        <w:rPr>
          <w:rFonts w:ascii="Times New Roman" w:eastAsia="Times New Roman" w:hAnsi="Times New Roman" w:cs="Times New Roman"/>
          <w:color w:val="000000"/>
          <w:sz w:val="24"/>
          <w:szCs w:val="24"/>
        </w:rPr>
        <w:t xml:space="preserve"> позначка</w:t>
      </w:r>
      <w:r w:rsidR="00F120E2">
        <w:rPr>
          <w:rFonts w:ascii="Times New Roman" w:eastAsia="Times New Roman" w:hAnsi="Times New Roman" w:cs="Times New Roman"/>
          <w:color w:val="000000"/>
          <w:sz w:val="24"/>
          <w:szCs w:val="24"/>
        </w:rPr>
        <w:t xml:space="preserve"> «ВІ»</w:t>
      </w:r>
      <w:r w:rsidR="00F120E2">
        <w:rPr>
          <w:rFonts w:ascii="Times New Roman" w:eastAsia="Times New Roman" w:hAnsi="Times New Roman" w:cs="Times New Roman"/>
          <w:b/>
          <w:color w:val="000000"/>
          <w:sz w:val="24"/>
          <w:szCs w:val="24"/>
        </w:rPr>
        <w:t xml:space="preserve"> - </w:t>
      </w:r>
      <w:r w:rsidR="00F120E2">
        <w:rPr>
          <w:rFonts w:ascii="Times New Roman" w:eastAsia="Times New Roman" w:hAnsi="Times New Roman" w:cs="Times New Roman"/>
          <w:color w:val="000000"/>
          <w:sz w:val="24"/>
          <w:szCs w:val="24"/>
        </w:rPr>
        <w:t>дані враховано в інших секторах.</w:t>
      </w:r>
    </w:p>
    <w:bookmarkStart w:id="53" w:name="_heading=h.3l18frh" w:colFirst="0" w:colLast="0"/>
    <w:bookmarkEnd w:id="53"/>
    <w:p w14:paraId="7AFDF94B" w14:textId="77777777" w:rsidR="00C82386" w:rsidRPr="005047CB" w:rsidRDefault="004341E7" w:rsidP="00284EAF">
      <w:pPr>
        <w:keepNext/>
        <w:keepLines/>
        <w:numPr>
          <w:ilvl w:val="1"/>
          <w:numId w:val="23"/>
        </w:num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sdt>
        <w:sdtPr>
          <w:tag w:val="goog_rdk_69"/>
          <w:id w:val="503720509"/>
        </w:sdtPr>
        <w:sdtEndPr/>
        <w:sdtContent>
          <w:r w:rsidR="00E66F64" w:rsidRPr="005047CB">
            <w:rPr>
              <w:rFonts w:ascii="Gungsuh" w:eastAsia="Gungsuh" w:hAnsi="Gungsuh" w:cs="Gungsuh"/>
              <w:b/>
              <w:color w:val="000000"/>
              <w:sz w:val="24"/>
              <w:szCs w:val="24"/>
            </w:rPr>
            <w:t>Споживання енергоресурсів в МВт∙год за базовий 2010 р.</w:t>
          </w:r>
        </w:sdtContent>
      </w:sdt>
    </w:p>
    <w:p w14:paraId="7C51B0CD" w14:textId="77777777" w:rsidR="00C82386" w:rsidRDefault="004341E7" w:rsidP="00284EAF">
      <w:pPr>
        <w:pBdr>
          <w:top w:val="nil"/>
          <w:left w:val="nil"/>
          <w:bottom w:val="nil"/>
          <w:right w:val="nil"/>
          <w:between w:val="nil"/>
        </w:pBdr>
        <w:spacing w:after="0" w:line="240" w:lineRule="auto"/>
        <w:ind w:left="720" w:hanging="720"/>
        <w:rPr>
          <w:rFonts w:ascii="Times New Roman" w:eastAsia="Times New Roman" w:hAnsi="Times New Roman" w:cs="Times New Roman"/>
          <w:color w:val="000000"/>
          <w:sz w:val="24"/>
          <w:szCs w:val="24"/>
        </w:rPr>
      </w:pPr>
      <w:sdt>
        <w:sdtPr>
          <w:tag w:val="goog_rdk_70"/>
          <w:id w:val="-1205781956"/>
        </w:sdtPr>
        <w:sdtEndPr/>
        <w:sdtContent>
          <w:r w:rsidR="00E66F64" w:rsidRPr="005047CB">
            <w:rPr>
              <w:rFonts w:ascii="Gungsuh" w:eastAsia="Gungsuh" w:hAnsi="Gungsuh" w:cs="Gungsuh"/>
              <w:color w:val="000000"/>
              <w:sz w:val="24"/>
              <w:szCs w:val="24"/>
            </w:rPr>
            <w:t>Коефіцієнти переведення з натуральних показників споживання енергоресурсів в</w:t>
          </w:r>
          <w:r w:rsidR="00E66F64">
            <w:rPr>
              <w:rFonts w:ascii="Gungsuh" w:eastAsia="Gungsuh" w:hAnsi="Gungsuh" w:cs="Gungsuh"/>
              <w:color w:val="000000"/>
              <w:sz w:val="24"/>
              <w:szCs w:val="24"/>
            </w:rPr>
            <w:t xml:space="preserve"> МВт∙год наведені в пункті 4.3.</w:t>
          </w:r>
        </w:sdtContent>
      </w:sdt>
    </w:p>
    <w:p w14:paraId="64F8914C" w14:textId="77777777" w:rsidR="00C82386" w:rsidRDefault="00E66F64" w:rsidP="00284EAF">
      <w:pPr>
        <w:pBdr>
          <w:top w:val="nil"/>
          <w:left w:val="nil"/>
          <w:bottom w:val="nil"/>
          <w:right w:val="nil"/>
          <w:between w:val="nil"/>
        </w:pBdr>
        <w:spacing w:after="0" w:line="240" w:lineRule="auto"/>
        <w:ind w:left="720" w:hanging="72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4.8.</w:t>
      </w:r>
    </w:p>
    <w:p w14:paraId="2EEAEEF2" w14:textId="77777777" w:rsidR="00C82386" w:rsidRDefault="004341E7" w:rsidP="00284EAF">
      <w:pPr>
        <w:pBdr>
          <w:top w:val="nil"/>
          <w:left w:val="nil"/>
          <w:bottom w:val="nil"/>
          <w:right w:val="nil"/>
          <w:between w:val="nil"/>
        </w:pBdr>
        <w:spacing w:after="0" w:line="240" w:lineRule="auto"/>
        <w:ind w:left="720" w:hanging="720"/>
        <w:jc w:val="center"/>
      </w:pPr>
      <w:sdt>
        <w:sdtPr>
          <w:tag w:val="goog_rdk_71"/>
          <w:id w:val="1403869668"/>
        </w:sdtPr>
        <w:sdtEndPr/>
        <w:sdtContent>
          <w:r w:rsidR="00E66F64">
            <w:rPr>
              <w:rFonts w:ascii="Gungsuh" w:eastAsia="Gungsuh" w:hAnsi="Gungsuh" w:cs="Gungsuh"/>
              <w:color w:val="000000"/>
              <w:sz w:val="24"/>
              <w:szCs w:val="24"/>
            </w:rPr>
            <w:t>Кадастр споживання енергоресурсів для обраних секторів кінцевих споживачів за базовий 2010 р., МВт∙год.</w:t>
          </w:r>
        </w:sdtContent>
      </w:sdt>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1164"/>
        <w:gridCol w:w="1134"/>
        <w:gridCol w:w="1134"/>
        <w:gridCol w:w="1134"/>
        <w:gridCol w:w="1104"/>
        <w:gridCol w:w="881"/>
        <w:gridCol w:w="1233"/>
        <w:gridCol w:w="1391"/>
        <w:gridCol w:w="1109"/>
        <w:gridCol w:w="1248"/>
        <w:gridCol w:w="830"/>
      </w:tblGrid>
      <w:tr w:rsidR="002802C8" w:rsidRPr="00F475A1" w14:paraId="2E997403" w14:textId="77777777" w:rsidTr="00455F02">
        <w:trPr>
          <w:trHeight w:val="330"/>
        </w:trPr>
        <w:tc>
          <w:tcPr>
            <w:tcW w:w="2375" w:type="dxa"/>
            <w:vMerge w:val="restart"/>
            <w:shd w:val="clear" w:color="auto" w:fill="auto"/>
            <w:vAlign w:val="center"/>
            <w:hideMark/>
          </w:tcPr>
          <w:p w14:paraId="05DD87B2" w14:textId="77777777" w:rsidR="002802C8" w:rsidRPr="00F475A1" w:rsidRDefault="002802C8" w:rsidP="0051794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Сектор</w:t>
            </w:r>
            <w:r w:rsidR="0051794F" w:rsidRPr="00F475A1">
              <w:rPr>
                <w:rFonts w:ascii="Times New Roman" w:eastAsia="Times New Roman" w:hAnsi="Times New Roman" w:cs="Times New Roman"/>
                <w:b/>
                <w:bCs/>
              </w:rPr>
              <w:t>и</w:t>
            </w:r>
            <w:r w:rsidRPr="00F475A1">
              <w:rPr>
                <w:rFonts w:ascii="Times New Roman" w:eastAsia="Times New Roman" w:hAnsi="Times New Roman" w:cs="Times New Roman"/>
                <w:b/>
                <w:bCs/>
              </w:rPr>
              <w:t xml:space="preserve"> кінцевих споживачів енергоресурсів</w:t>
            </w:r>
          </w:p>
        </w:tc>
        <w:tc>
          <w:tcPr>
            <w:tcW w:w="12362" w:type="dxa"/>
            <w:gridSpan w:val="11"/>
            <w:shd w:val="clear" w:color="auto" w:fill="auto"/>
            <w:vAlign w:val="center"/>
            <w:hideMark/>
          </w:tcPr>
          <w:p w14:paraId="1EAB599C" w14:textId="77777777" w:rsidR="002802C8" w:rsidRPr="00F475A1" w:rsidRDefault="002802C8" w:rsidP="002802C8">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Обсяги споживання енергоресурсів</w:t>
            </w:r>
          </w:p>
        </w:tc>
      </w:tr>
      <w:tr w:rsidR="002802C8" w:rsidRPr="00F475A1" w14:paraId="30DC593F" w14:textId="77777777" w:rsidTr="00455F02">
        <w:trPr>
          <w:trHeight w:val="330"/>
        </w:trPr>
        <w:tc>
          <w:tcPr>
            <w:tcW w:w="2375" w:type="dxa"/>
            <w:vMerge/>
            <w:vAlign w:val="center"/>
            <w:hideMark/>
          </w:tcPr>
          <w:p w14:paraId="500475B9" w14:textId="77777777" w:rsidR="002802C8" w:rsidRPr="00F475A1" w:rsidRDefault="002802C8" w:rsidP="002802C8">
            <w:pPr>
              <w:spacing w:after="0" w:line="240" w:lineRule="auto"/>
              <w:rPr>
                <w:rFonts w:ascii="Times New Roman" w:eastAsia="Times New Roman" w:hAnsi="Times New Roman" w:cs="Times New Roman"/>
                <w:b/>
                <w:bCs/>
              </w:rPr>
            </w:pPr>
          </w:p>
        </w:tc>
        <w:tc>
          <w:tcPr>
            <w:tcW w:w="1164" w:type="dxa"/>
            <w:vMerge w:val="restart"/>
            <w:shd w:val="clear" w:color="auto" w:fill="auto"/>
            <w:tcMar>
              <w:left w:w="28" w:type="dxa"/>
              <w:right w:w="28" w:type="dxa"/>
            </w:tcMar>
            <w:vAlign w:val="center"/>
            <w:hideMark/>
          </w:tcPr>
          <w:p w14:paraId="562523DB"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Електрична енергія</w:t>
            </w:r>
          </w:p>
        </w:tc>
        <w:tc>
          <w:tcPr>
            <w:tcW w:w="1134" w:type="dxa"/>
            <w:vMerge w:val="restart"/>
            <w:shd w:val="clear" w:color="auto" w:fill="auto"/>
            <w:tcMar>
              <w:left w:w="28" w:type="dxa"/>
              <w:right w:w="28" w:type="dxa"/>
            </w:tcMar>
            <w:vAlign w:val="center"/>
            <w:hideMark/>
          </w:tcPr>
          <w:p w14:paraId="69DD66BE"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Теплова енергія</w:t>
            </w:r>
          </w:p>
        </w:tc>
        <w:tc>
          <w:tcPr>
            <w:tcW w:w="6877" w:type="dxa"/>
            <w:gridSpan w:val="6"/>
            <w:shd w:val="clear" w:color="auto" w:fill="auto"/>
            <w:tcMar>
              <w:left w:w="28" w:type="dxa"/>
              <w:right w:w="28" w:type="dxa"/>
            </w:tcMar>
            <w:vAlign w:val="center"/>
            <w:hideMark/>
          </w:tcPr>
          <w:p w14:paraId="6DBB6D39" w14:textId="77777777" w:rsidR="002802C8" w:rsidRPr="00F475A1" w:rsidRDefault="002802C8" w:rsidP="002802C8">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Викопні види палива</w:t>
            </w:r>
          </w:p>
        </w:tc>
        <w:tc>
          <w:tcPr>
            <w:tcW w:w="1109" w:type="dxa"/>
            <w:vMerge w:val="restart"/>
            <w:shd w:val="clear" w:color="auto" w:fill="auto"/>
            <w:vAlign w:val="center"/>
            <w:hideMark/>
          </w:tcPr>
          <w:p w14:paraId="4A5A1A9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Деревина (дрова, щепа, пелети)</w:t>
            </w:r>
          </w:p>
        </w:tc>
        <w:tc>
          <w:tcPr>
            <w:tcW w:w="2078" w:type="dxa"/>
            <w:gridSpan w:val="2"/>
            <w:vMerge w:val="restart"/>
            <w:shd w:val="clear" w:color="auto" w:fill="auto"/>
            <w:noWrap/>
            <w:vAlign w:val="center"/>
            <w:hideMark/>
          </w:tcPr>
          <w:p w14:paraId="7DBC036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Разом</w:t>
            </w:r>
          </w:p>
        </w:tc>
      </w:tr>
      <w:tr w:rsidR="002802C8" w:rsidRPr="00F475A1" w14:paraId="2A413E0A" w14:textId="77777777" w:rsidTr="00455F02">
        <w:trPr>
          <w:trHeight w:val="1260"/>
        </w:trPr>
        <w:tc>
          <w:tcPr>
            <w:tcW w:w="2375" w:type="dxa"/>
            <w:vMerge/>
            <w:vAlign w:val="center"/>
            <w:hideMark/>
          </w:tcPr>
          <w:p w14:paraId="1058880D" w14:textId="77777777" w:rsidR="002802C8" w:rsidRPr="00F475A1" w:rsidRDefault="002802C8" w:rsidP="002802C8">
            <w:pPr>
              <w:spacing w:after="0" w:line="240" w:lineRule="auto"/>
              <w:rPr>
                <w:rFonts w:ascii="Times New Roman" w:eastAsia="Times New Roman" w:hAnsi="Times New Roman" w:cs="Times New Roman"/>
                <w:b/>
                <w:bCs/>
              </w:rPr>
            </w:pPr>
          </w:p>
        </w:tc>
        <w:tc>
          <w:tcPr>
            <w:tcW w:w="1164" w:type="dxa"/>
            <w:vMerge/>
            <w:tcMar>
              <w:left w:w="28" w:type="dxa"/>
              <w:right w:w="28" w:type="dxa"/>
            </w:tcMar>
            <w:vAlign w:val="center"/>
            <w:hideMark/>
          </w:tcPr>
          <w:p w14:paraId="2F681D1C" w14:textId="77777777" w:rsidR="002802C8" w:rsidRPr="00F475A1" w:rsidRDefault="002802C8" w:rsidP="002802C8">
            <w:pPr>
              <w:spacing w:after="0" w:line="240" w:lineRule="auto"/>
              <w:rPr>
                <w:rFonts w:ascii="Times New Roman" w:eastAsia="Times New Roman" w:hAnsi="Times New Roman" w:cs="Times New Roman"/>
              </w:rPr>
            </w:pPr>
          </w:p>
        </w:tc>
        <w:tc>
          <w:tcPr>
            <w:tcW w:w="1134" w:type="dxa"/>
            <w:vMerge/>
            <w:tcMar>
              <w:left w:w="28" w:type="dxa"/>
              <w:right w:w="28" w:type="dxa"/>
            </w:tcMar>
            <w:vAlign w:val="center"/>
            <w:hideMark/>
          </w:tcPr>
          <w:p w14:paraId="48319277" w14:textId="77777777" w:rsidR="002802C8" w:rsidRPr="00F475A1" w:rsidRDefault="002802C8" w:rsidP="002802C8">
            <w:pPr>
              <w:spacing w:after="0" w:line="240" w:lineRule="auto"/>
              <w:rPr>
                <w:rFonts w:ascii="Times New Roman" w:eastAsia="Times New Roman" w:hAnsi="Times New Roman" w:cs="Times New Roman"/>
              </w:rPr>
            </w:pPr>
          </w:p>
        </w:tc>
        <w:tc>
          <w:tcPr>
            <w:tcW w:w="1134" w:type="dxa"/>
            <w:shd w:val="clear" w:color="auto" w:fill="auto"/>
            <w:tcMar>
              <w:left w:w="28" w:type="dxa"/>
              <w:right w:w="28" w:type="dxa"/>
            </w:tcMar>
            <w:vAlign w:val="center"/>
            <w:hideMark/>
          </w:tcPr>
          <w:p w14:paraId="30CCAA29" w14:textId="77777777" w:rsidR="002802C8" w:rsidRPr="00F475A1" w:rsidRDefault="00070D50" w:rsidP="002802C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134" w:type="dxa"/>
            <w:shd w:val="clear" w:color="auto" w:fill="auto"/>
            <w:tcMar>
              <w:left w:w="28" w:type="dxa"/>
              <w:right w:w="28" w:type="dxa"/>
            </w:tcMar>
            <w:vAlign w:val="center"/>
            <w:hideMark/>
          </w:tcPr>
          <w:p w14:paraId="36A8B2F3"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Скраплений газ (пропан-бутан)</w:t>
            </w:r>
          </w:p>
        </w:tc>
        <w:tc>
          <w:tcPr>
            <w:tcW w:w="1104" w:type="dxa"/>
            <w:shd w:val="clear" w:color="auto" w:fill="auto"/>
            <w:tcMar>
              <w:left w:w="28" w:type="dxa"/>
              <w:right w:w="28" w:type="dxa"/>
            </w:tcMar>
            <w:vAlign w:val="center"/>
            <w:hideMark/>
          </w:tcPr>
          <w:p w14:paraId="00E5D5C5"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Дизель</w:t>
            </w:r>
          </w:p>
        </w:tc>
        <w:tc>
          <w:tcPr>
            <w:tcW w:w="881" w:type="dxa"/>
            <w:shd w:val="clear" w:color="auto" w:fill="auto"/>
            <w:tcMar>
              <w:left w:w="28" w:type="dxa"/>
              <w:right w:w="28" w:type="dxa"/>
            </w:tcMar>
            <w:vAlign w:val="center"/>
            <w:hideMark/>
          </w:tcPr>
          <w:p w14:paraId="0C46909B"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Бензин</w:t>
            </w:r>
          </w:p>
        </w:tc>
        <w:tc>
          <w:tcPr>
            <w:tcW w:w="1233" w:type="dxa"/>
            <w:shd w:val="clear" w:color="auto" w:fill="auto"/>
            <w:tcMar>
              <w:left w:w="28" w:type="dxa"/>
              <w:right w:w="28" w:type="dxa"/>
            </w:tcMar>
            <w:vAlign w:val="center"/>
            <w:hideMark/>
          </w:tcPr>
          <w:p w14:paraId="0A2639F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Вугілля кам'яне (суббітумінозне)</w:t>
            </w:r>
          </w:p>
        </w:tc>
        <w:tc>
          <w:tcPr>
            <w:tcW w:w="1391" w:type="dxa"/>
            <w:shd w:val="clear" w:color="auto" w:fill="auto"/>
            <w:tcMar>
              <w:left w:w="28" w:type="dxa"/>
              <w:right w:w="28" w:type="dxa"/>
            </w:tcMar>
            <w:vAlign w:val="center"/>
            <w:hideMark/>
          </w:tcPr>
          <w:p w14:paraId="778A8BC9"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Торф (брикети, напів</w:t>
            </w:r>
            <w:r w:rsidR="00846850">
              <w:rPr>
                <w:rFonts w:ascii="Times New Roman" w:eastAsia="Times New Roman" w:hAnsi="Times New Roman" w:cs="Times New Roman"/>
              </w:rPr>
              <w:t>-</w:t>
            </w:r>
            <w:r w:rsidRPr="00F475A1">
              <w:rPr>
                <w:rFonts w:ascii="Times New Roman" w:eastAsia="Times New Roman" w:hAnsi="Times New Roman" w:cs="Times New Roman"/>
              </w:rPr>
              <w:t>б</w:t>
            </w:r>
            <w:r w:rsidR="00455F02" w:rsidRPr="00F475A1">
              <w:rPr>
                <w:rFonts w:ascii="Times New Roman" w:eastAsia="Times New Roman" w:hAnsi="Times New Roman" w:cs="Times New Roman"/>
              </w:rPr>
              <w:t>р</w:t>
            </w:r>
            <w:r w:rsidRPr="00F475A1">
              <w:rPr>
                <w:rFonts w:ascii="Times New Roman" w:eastAsia="Times New Roman" w:hAnsi="Times New Roman" w:cs="Times New Roman"/>
              </w:rPr>
              <w:t>икети)</w:t>
            </w:r>
          </w:p>
        </w:tc>
        <w:tc>
          <w:tcPr>
            <w:tcW w:w="1109" w:type="dxa"/>
            <w:vMerge/>
            <w:vAlign w:val="center"/>
            <w:hideMark/>
          </w:tcPr>
          <w:p w14:paraId="1921986B" w14:textId="77777777" w:rsidR="002802C8" w:rsidRPr="00F475A1" w:rsidRDefault="002802C8" w:rsidP="002802C8">
            <w:pPr>
              <w:spacing w:after="0" w:line="240" w:lineRule="auto"/>
              <w:rPr>
                <w:rFonts w:ascii="Times New Roman" w:eastAsia="Times New Roman" w:hAnsi="Times New Roman" w:cs="Times New Roman"/>
                <w:color w:val="000000"/>
              </w:rPr>
            </w:pPr>
          </w:p>
        </w:tc>
        <w:tc>
          <w:tcPr>
            <w:tcW w:w="2078" w:type="dxa"/>
            <w:gridSpan w:val="2"/>
            <w:vMerge/>
            <w:vAlign w:val="center"/>
            <w:hideMark/>
          </w:tcPr>
          <w:p w14:paraId="38E0FC71" w14:textId="77777777" w:rsidR="002802C8" w:rsidRPr="00F475A1" w:rsidRDefault="002802C8" w:rsidP="002802C8">
            <w:pPr>
              <w:spacing w:after="0" w:line="240" w:lineRule="auto"/>
              <w:rPr>
                <w:rFonts w:ascii="Times New Roman" w:eastAsia="Times New Roman" w:hAnsi="Times New Roman" w:cs="Times New Roman"/>
                <w:color w:val="000000"/>
              </w:rPr>
            </w:pPr>
          </w:p>
        </w:tc>
      </w:tr>
      <w:tr w:rsidR="002802C8" w:rsidRPr="00F475A1" w14:paraId="566E5B36" w14:textId="77777777" w:rsidTr="00455F02">
        <w:trPr>
          <w:trHeight w:val="300"/>
        </w:trPr>
        <w:tc>
          <w:tcPr>
            <w:tcW w:w="2375" w:type="dxa"/>
            <w:vMerge/>
            <w:vAlign w:val="center"/>
            <w:hideMark/>
          </w:tcPr>
          <w:p w14:paraId="23F5C7F2" w14:textId="77777777" w:rsidR="002802C8" w:rsidRPr="00F475A1" w:rsidRDefault="002802C8" w:rsidP="002802C8">
            <w:pPr>
              <w:spacing w:after="0" w:line="240" w:lineRule="auto"/>
              <w:rPr>
                <w:rFonts w:ascii="Times New Roman" w:eastAsia="Times New Roman" w:hAnsi="Times New Roman" w:cs="Times New Roman"/>
                <w:b/>
                <w:bCs/>
              </w:rPr>
            </w:pPr>
          </w:p>
        </w:tc>
        <w:tc>
          <w:tcPr>
            <w:tcW w:w="1164" w:type="dxa"/>
            <w:shd w:val="clear" w:color="000000" w:fill="FFFF99"/>
            <w:tcMar>
              <w:left w:w="28" w:type="dxa"/>
              <w:right w:w="28" w:type="dxa"/>
            </w:tcMar>
            <w:vAlign w:val="center"/>
            <w:hideMark/>
          </w:tcPr>
          <w:p w14:paraId="27045F3D"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34" w:type="dxa"/>
            <w:shd w:val="clear" w:color="000000" w:fill="FFFF99"/>
            <w:tcMar>
              <w:left w:w="28" w:type="dxa"/>
              <w:right w:w="28" w:type="dxa"/>
            </w:tcMar>
            <w:vAlign w:val="center"/>
            <w:hideMark/>
          </w:tcPr>
          <w:p w14:paraId="6DC67635"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34" w:type="dxa"/>
            <w:shd w:val="clear" w:color="000000" w:fill="FFFF99"/>
            <w:tcMar>
              <w:left w:w="28" w:type="dxa"/>
              <w:right w:w="28" w:type="dxa"/>
            </w:tcMar>
            <w:vAlign w:val="center"/>
            <w:hideMark/>
          </w:tcPr>
          <w:p w14:paraId="71B1C14B"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34" w:type="dxa"/>
            <w:shd w:val="clear" w:color="000000" w:fill="FFFF99"/>
            <w:tcMar>
              <w:left w:w="28" w:type="dxa"/>
              <w:right w:w="28" w:type="dxa"/>
            </w:tcMar>
            <w:vAlign w:val="center"/>
            <w:hideMark/>
          </w:tcPr>
          <w:p w14:paraId="4B5145C5"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04" w:type="dxa"/>
            <w:shd w:val="clear" w:color="000000" w:fill="FFFF99"/>
            <w:tcMar>
              <w:left w:w="28" w:type="dxa"/>
              <w:right w:w="28" w:type="dxa"/>
            </w:tcMar>
            <w:vAlign w:val="center"/>
            <w:hideMark/>
          </w:tcPr>
          <w:p w14:paraId="07EE6339"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881" w:type="dxa"/>
            <w:shd w:val="clear" w:color="000000" w:fill="FFFF99"/>
            <w:tcMar>
              <w:left w:w="28" w:type="dxa"/>
              <w:right w:w="28" w:type="dxa"/>
            </w:tcMar>
            <w:vAlign w:val="center"/>
            <w:hideMark/>
          </w:tcPr>
          <w:p w14:paraId="5F612E36"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233" w:type="dxa"/>
            <w:shd w:val="clear" w:color="000000" w:fill="FFFF99"/>
            <w:tcMar>
              <w:left w:w="28" w:type="dxa"/>
              <w:right w:w="28" w:type="dxa"/>
            </w:tcMar>
            <w:vAlign w:val="center"/>
            <w:hideMark/>
          </w:tcPr>
          <w:p w14:paraId="2E36C9C6"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391" w:type="dxa"/>
            <w:shd w:val="clear" w:color="000000" w:fill="FFFF99"/>
            <w:tcMar>
              <w:left w:w="28" w:type="dxa"/>
              <w:right w:w="28" w:type="dxa"/>
            </w:tcMar>
            <w:vAlign w:val="center"/>
            <w:hideMark/>
          </w:tcPr>
          <w:p w14:paraId="06E789F3"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109" w:type="dxa"/>
            <w:shd w:val="clear" w:color="000000" w:fill="FFFF99"/>
            <w:tcMar>
              <w:left w:w="28" w:type="dxa"/>
              <w:right w:w="28" w:type="dxa"/>
            </w:tcMar>
            <w:vAlign w:val="center"/>
            <w:hideMark/>
          </w:tcPr>
          <w:p w14:paraId="7BA3DAA8"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248" w:type="dxa"/>
            <w:shd w:val="clear" w:color="000000" w:fill="FFFF99"/>
            <w:tcMar>
              <w:left w:w="28" w:type="dxa"/>
              <w:right w:w="28" w:type="dxa"/>
            </w:tcMar>
            <w:vAlign w:val="center"/>
            <w:hideMark/>
          </w:tcPr>
          <w:p w14:paraId="580865C0"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830" w:type="dxa"/>
            <w:shd w:val="clear" w:color="000000" w:fill="FFFF99"/>
            <w:tcMar>
              <w:left w:w="28" w:type="dxa"/>
              <w:right w:w="28" w:type="dxa"/>
            </w:tcMar>
            <w:vAlign w:val="center"/>
            <w:hideMark/>
          </w:tcPr>
          <w:p w14:paraId="5534675E" w14:textId="77777777" w:rsidR="002802C8" w:rsidRPr="00F475A1" w:rsidRDefault="002802C8" w:rsidP="002802C8">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w:t>
            </w:r>
          </w:p>
        </w:tc>
      </w:tr>
      <w:tr w:rsidR="00455F02" w:rsidRPr="00F475A1" w14:paraId="410AE85B" w14:textId="77777777" w:rsidTr="00455F02">
        <w:trPr>
          <w:trHeight w:val="330"/>
        </w:trPr>
        <w:tc>
          <w:tcPr>
            <w:tcW w:w="12659" w:type="dxa"/>
            <w:gridSpan w:val="10"/>
            <w:shd w:val="clear" w:color="000000" w:fill="F2F2F2"/>
            <w:vAlign w:val="center"/>
            <w:hideMark/>
          </w:tcPr>
          <w:p w14:paraId="62AE0D31"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Муніципальні будівлі, обладнання/об'єкти</w:t>
            </w:r>
          </w:p>
        </w:tc>
        <w:tc>
          <w:tcPr>
            <w:tcW w:w="1248" w:type="dxa"/>
            <w:shd w:val="clear" w:color="000000" w:fill="F2F2F2"/>
            <w:noWrap/>
            <w:vAlign w:val="center"/>
            <w:hideMark/>
          </w:tcPr>
          <w:p w14:paraId="4A3D0431"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126 023,4</w:t>
            </w:r>
          </w:p>
        </w:tc>
        <w:tc>
          <w:tcPr>
            <w:tcW w:w="830" w:type="dxa"/>
            <w:shd w:val="clear" w:color="000000" w:fill="F2F2F2"/>
            <w:noWrap/>
            <w:tcMar>
              <w:left w:w="28" w:type="dxa"/>
              <w:right w:w="28" w:type="dxa"/>
            </w:tcMar>
            <w:vAlign w:val="center"/>
            <w:hideMark/>
          </w:tcPr>
          <w:p w14:paraId="21D69B27"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5,0%</w:t>
            </w:r>
          </w:p>
        </w:tc>
      </w:tr>
      <w:tr w:rsidR="002802C8" w:rsidRPr="00F475A1" w14:paraId="5095CB28" w14:textId="77777777" w:rsidTr="00455F02">
        <w:trPr>
          <w:trHeight w:val="600"/>
        </w:trPr>
        <w:tc>
          <w:tcPr>
            <w:tcW w:w="2375" w:type="dxa"/>
            <w:shd w:val="clear" w:color="auto" w:fill="auto"/>
            <w:vAlign w:val="center"/>
            <w:hideMark/>
          </w:tcPr>
          <w:p w14:paraId="5A80C5F2"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Муніципальні будівлі, обладнання/об'єкти</w:t>
            </w:r>
          </w:p>
        </w:tc>
        <w:tc>
          <w:tcPr>
            <w:tcW w:w="1164" w:type="dxa"/>
            <w:shd w:val="clear" w:color="000000" w:fill="FFFF99"/>
            <w:vAlign w:val="center"/>
            <w:hideMark/>
          </w:tcPr>
          <w:p w14:paraId="1936BB6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12 461,5</w:t>
            </w:r>
          </w:p>
        </w:tc>
        <w:tc>
          <w:tcPr>
            <w:tcW w:w="1134" w:type="dxa"/>
            <w:shd w:val="clear" w:color="000000" w:fill="FFFF99"/>
            <w:vAlign w:val="center"/>
            <w:hideMark/>
          </w:tcPr>
          <w:p w14:paraId="63C0BDE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55 824,0</w:t>
            </w:r>
          </w:p>
        </w:tc>
        <w:tc>
          <w:tcPr>
            <w:tcW w:w="1134" w:type="dxa"/>
            <w:shd w:val="clear" w:color="000000" w:fill="FFFF99"/>
            <w:vAlign w:val="center"/>
            <w:hideMark/>
          </w:tcPr>
          <w:p w14:paraId="744326E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11 463,1</w:t>
            </w:r>
          </w:p>
        </w:tc>
        <w:tc>
          <w:tcPr>
            <w:tcW w:w="1134" w:type="dxa"/>
            <w:shd w:val="clear" w:color="000000" w:fill="FFFF99"/>
            <w:vAlign w:val="center"/>
            <w:hideMark/>
          </w:tcPr>
          <w:p w14:paraId="4F395FA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4" w:type="dxa"/>
            <w:shd w:val="clear" w:color="000000" w:fill="FFFF99"/>
            <w:vAlign w:val="center"/>
            <w:hideMark/>
          </w:tcPr>
          <w:p w14:paraId="6716CEB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881" w:type="dxa"/>
            <w:shd w:val="clear" w:color="000000" w:fill="FFFF99"/>
            <w:vAlign w:val="center"/>
            <w:hideMark/>
          </w:tcPr>
          <w:p w14:paraId="710484B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33" w:type="dxa"/>
            <w:shd w:val="clear" w:color="000000" w:fill="FFFF99"/>
            <w:vAlign w:val="center"/>
            <w:hideMark/>
          </w:tcPr>
          <w:p w14:paraId="55652D1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701,8</w:t>
            </w:r>
          </w:p>
        </w:tc>
        <w:tc>
          <w:tcPr>
            <w:tcW w:w="1391" w:type="dxa"/>
            <w:shd w:val="clear" w:color="000000" w:fill="FFFF99"/>
            <w:vAlign w:val="center"/>
            <w:hideMark/>
          </w:tcPr>
          <w:p w14:paraId="257F8A8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vAlign w:val="center"/>
            <w:hideMark/>
          </w:tcPr>
          <w:p w14:paraId="28F1EEE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248" w:type="dxa"/>
            <w:shd w:val="clear" w:color="000000" w:fill="FFFF99"/>
            <w:vAlign w:val="center"/>
            <w:hideMark/>
          </w:tcPr>
          <w:p w14:paraId="6465EA0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80 450,4</w:t>
            </w:r>
          </w:p>
        </w:tc>
        <w:tc>
          <w:tcPr>
            <w:tcW w:w="830" w:type="dxa"/>
            <w:shd w:val="clear" w:color="000000" w:fill="FFFF99"/>
            <w:noWrap/>
            <w:tcMar>
              <w:left w:w="28" w:type="dxa"/>
              <w:right w:w="28" w:type="dxa"/>
            </w:tcMar>
            <w:vAlign w:val="center"/>
            <w:hideMark/>
          </w:tcPr>
          <w:p w14:paraId="34D0FD6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3,2%</w:t>
            </w:r>
          </w:p>
        </w:tc>
      </w:tr>
      <w:tr w:rsidR="002802C8" w:rsidRPr="00F475A1" w14:paraId="1220A71E" w14:textId="77777777" w:rsidTr="00455F02">
        <w:trPr>
          <w:trHeight w:val="600"/>
        </w:trPr>
        <w:tc>
          <w:tcPr>
            <w:tcW w:w="2375" w:type="dxa"/>
            <w:shd w:val="clear" w:color="auto" w:fill="auto"/>
            <w:vAlign w:val="center"/>
            <w:hideMark/>
          </w:tcPr>
          <w:p w14:paraId="1D9F919A"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Муніципальне освітлення</w:t>
            </w:r>
          </w:p>
        </w:tc>
        <w:tc>
          <w:tcPr>
            <w:tcW w:w="1164" w:type="dxa"/>
            <w:shd w:val="clear" w:color="000000" w:fill="FFFF99"/>
            <w:vAlign w:val="center"/>
            <w:hideMark/>
          </w:tcPr>
          <w:p w14:paraId="0DA1932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3 476,0</w:t>
            </w:r>
          </w:p>
        </w:tc>
        <w:tc>
          <w:tcPr>
            <w:tcW w:w="1134" w:type="dxa"/>
            <w:shd w:val="clear" w:color="000000" w:fill="FFFF99"/>
            <w:vAlign w:val="center"/>
            <w:hideMark/>
          </w:tcPr>
          <w:p w14:paraId="0A96AFE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vAlign w:val="center"/>
            <w:hideMark/>
          </w:tcPr>
          <w:p w14:paraId="51E648D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vAlign w:val="center"/>
            <w:hideMark/>
          </w:tcPr>
          <w:p w14:paraId="0A8554D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4" w:type="dxa"/>
            <w:shd w:val="clear" w:color="000000" w:fill="FFFF99"/>
            <w:vAlign w:val="center"/>
            <w:hideMark/>
          </w:tcPr>
          <w:p w14:paraId="3814BC2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881" w:type="dxa"/>
            <w:shd w:val="clear" w:color="000000" w:fill="FFFF99"/>
            <w:vAlign w:val="center"/>
            <w:hideMark/>
          </w:tcPr>
          <w:p w14:paraId="0E8334A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33" w:type="dxa"/>
            <w:shd w:val="clear" w:color="000000" w:fill="FFFF99"/>
            <w:vAlign w:val="center"/>
            <w:hideMark/>
          </w:tcPr>
          <w:p w14:paraId="5A86E61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91" w:type="dxa"/>
            <w:shd w:val="clear" w:color="000000" w:fill="FFFF99"/>
            <w:vAlign w:val="center"/>
            <w:hideMark/>
          </w:tcPr>
          <w:p w14:paraId="043700B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vAlign w:val="center"/>
            <w:hideMark/>
          </w:tcPr>
          <w:p w14:paraId="4D24257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48" w:type="dxa"/>
            <w:shd w:val="clear" w:color="000000" w:fill="FFFF99"/>
            <w:vAlign w:val="center"/>
            <w:hideMark/>
          </w:tcPr>
          <w:p w14:paraId="7EBDC85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3 476,0</w:t>
            </w:r>
          </w:p>
        </w:tc>
        <w:tc>
          <w:tcPr>
            <w:tcW w:w="830" w:type="dxa"/>
            <w:shd w:val="clear" w:color="000000" w:fill="FFFF99"/>
            <w:noWrap/>
            <w:tcMar>
              <w:left w:w="28" w:type="dxa"/>
              <w:right w:w="28" w:type="dxa"/>
            </w:tcMar>
            <w:vAlign w:val="center"/>
            <w:hideMark/>
          </w:tcPr>
          <w:p w14:paraId="51BB1BA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0,1%</w:t>
            </w:r>
          </w:p>
        </w:tc>
      </w:tr>
      <w:tr w:rsidR="002802C8" w:rsidRPr="00F475A1" w14:paraId="7D88BB49" w14:textId="77777777" w:rsidTr="00455F02">
        <w:trPr>
          <w:trHeight w:val="300"/>
        </w:trPr>
        <w:tc>
          <w:tcPr>
            <w:tcW w:w="2375" w:type="dxa"/>
            <w:shd w:val="clear" w:color="auto" w:fill="auto"/>
            <w:vAlign w:val="center"/>
            <w:hideMark/>
          </w:tcPr>
          <w:p w14:paraId="09B7EE63"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164" w:type="dxa"/>
            <w:shd w:val="clear" w:color="000000" w:fill="FFFF99"/>
            <w:vAlign w:val="center"/>
            <w:hideMark/>
          </w:tcPr>
          <w:p w14:paraId="7041003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42 097,0</w:t>
            </w:r>
          </w:p>
        </w:tc>
        <w:tc>
          <w:tcPr>
            <w:tcW w:w="1134" w:type="dxa"/>
            <w:shd w:val="clear" w:color="000000" w:fill="FFFF99"/>
            <w:vAlign w:val="center"/>
            <w:hideMark/>
          </w:tcPr>
          <w:p w14:paraId="08B1226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0E82AC8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4620A2D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04" w:type="dxa"/>
            <w:shd w:val="clear" w:color="000000" w:fill="FFFF99"/>
            <w:vAlign w:val="center"/>
            <w:hideMark/>
          </w:tcPr>
          <w:p w14:paraId="6D13BAA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881" w:type="dxa"/>
            <w:shd w:val="clear" w:color="000000" w:fill="FFFF99"/>
            <w:vAlign w:val="center"/>
            <w:hideMark/>
          </w:tcPr>
          <w:p w14:paraId="28EC09A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33" w:type="dxa"/>
            <w:shd w:val="clear" w:color="000000" w:fill="FFFF99"/>
            <w:vAlign w:val="center"/>
            <w:hideMark/>
          </w:tcPr>
          <w:p w14:paraId="023C4BD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91" w:type="dxa"/>
            <w:shd w:val="clear" w:color="000000" w:fill="FFFF99"/>
            <w:vAlign w:val="center"/>
            <w:hideMark/>
          </w:tcPr>
          <w:p w14:paraId="5E35C1E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vAlign w:val="center"/>
            <w:hideMark/>
          </w:tcPr>
          <w:p w14:paraId="4F5CBC7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48" w:type="dxa"/>
            <w:shd w:val="clear" w:color="000000" w:fill="FFFF99"/>
            <w:vAlign w:val="center"/>
            <w:hideMark/>
          </w:tcPr>
          <w:p w14:paraId="33B73A9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42 097,0</w:t>
            </w:r>
          </w:p>
        </w:tc>
        <w:tc>
          <w:tcPr>
            <w:tcW w:w="830" w:type="dxa"/>
            <w:shd w:val="clear" w:color="000000" w:fill="FFFF99"/>
            <w:noWrap/>
            <w:tcMar>
              <w:left w:w="28" w:type="dxa"/>
              <w:right w:w="28" w:type="dxa"/>
            </w:tcMar>
            <w:vAlign w:val="center"/>
            <w:hideMark/>
          </w:tcPr>
          <w:p w14:paraId="1750458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1,7%</w:t>
            </w:r>
          </w:p>
        </w:tc>
      </w:tr>
      <w:tr w:rsidR="00455F02" w:rsidRPr="00F475A1" w14:paraId="61C6BB7C" w14:textId="77777777" w:rsidTr="00455F02">
        <w:trPr>
          <w:trHeight w:val="330"/>
        </w:trPr>
        <w:tc>
          <w:tcPr>
            <w:tcW w:w="12659" w:type="dxa"/>
            <w:gridSpan w:val="10"/>
            <w:shd w:val="clear" w:color="000000" w:fill="F2F2F2"/>
            <w:vAlign w:val="center"/>
            <w:hideMark/>
          </w:tcPr>
          <w:p w14:paraId="0185DEE7"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lastRenderedPageBreak/>
              <w:t>Третинні (не муніципальні) будівлі, обладнання/об'єкти</w:t>
            </w:r>
          </w:p>
        </w:tc>
        <w:tc>
          <w:tcPr>
            <w:tcW w:w="1248" w:type="dxa"/>
            <w:shd w:val="clear" w:color="000000" w:fill="F2F2F2"/>
            <w:noWrap/>
            <w:vAlign w:val="center"/>
            <w:hideMark/>
          </w:tcPr>
          <w:p w14:paraId="07C4EF4E"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401 809,9</w:t>
            </w:r>
          </w:p>
        </w:tc>
        <w:tc>
          <w:tcPr>
            <w:tcW w:w="830" w:type="dxa"/>
            <w:shd w:val="clear" w:color="000000" w:fill="F2F2F2"/>
            <w:noWrap/>
            <w:tcMar>
              <w:left w:w="28" w:type="dxa"/>
              <w:right w:w="28" w:type="dxa"/>
            </w:tcMar>
            <w:vAlign w:val="center"/>
            <w:hideMark/>
          </w:tcPr>
          <w:p w14:paraId="291D3D55"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15,9%</w:t>
            </w:r>
          </w:p>
        </w:tc>
      </w:tr>
      <w:tr w:rsidR="002802C8" w:rsidRPr="00F475A1" w14:paraId="7ECAAABE" w14:textId="77777777" w:rsidTr="00455F02">
        <w:trPr>
          <w:trHeight w:val="1200"/>
        </w:trPr>
        <w:tc>
          <w:tcPr>
            <w:tcW w:w="2375" w:type="dxa"/>
            <w:shd w:val="clear" w:color="auto" w:fill="auto"/>
            <w:vAlign w:val="center"/>
            <w:hideMark/>
          </w:tcPr>
          <w:p w14:paraId="20135ED3"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Будівлі, обладнання/об'єкти сфери послуг (не муніципальні)</w:t>
            </w:r>
          </w:p>
        </w:tc>
        <w:tc>
          <w:tcPr>
            <w:tcW w:w="1164" w:type="dxa"/>
            <w:shd w:val="clear" w:color="000000" w:fill="FFFF99"/>
            <w:vAlign w:val="center"/>
            <w:hideMark/>
          </w:tcPr>
          <w:p w14:paraId="22298D7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2F2596C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50171E9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21FEA60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04" w:type="dxa"/>
            <w:shd w:val="clear" w:color="000000" w:fill="FFFF99"/>
            <w:vAlign w:val="center"/>
            <w:hideMark/>
          </w:tcPr>
          <w:p w14:paraId="41346CC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881" w:type="dxa"/>
            <w:shd w:val="clear" w:color="000000" w:fill="FFFF99"/>
            <w:vAlign w:val="center"/>
            <w:hideMark/>
          </w:tcPr>
          <w:p w14:paraId="133EE3E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33" w:type="dxa"/>
            <w:shd w:val="clear" w:color="000000" w:fill="FFFF99"/>
            <w:vAlign w:val="center"/>
            <w:hideMark/>
          </w:tcPr>
          <w:p w14:paraId="6EB97F7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391" w:type="dxa"/>
            <w:shd w:val="clear" w:color="000000" w:fill="FFFF99"/>
            <w:vAlign w:val="center"/>
            <w:hideMark/>
          </w:tcPr>
          <w:p w14:paraId="5D5CBA3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09" w:type="dxa"/>
            <w:shd w:val="clear" w:color="000000" w:fill="FFFF99"/>
            <w:vAlign w:val="center"/>
            <w:hideMark/>
          </w:tcPr>
          <w:p w14:paraId="495FFDA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48" w:type="dxa"/>
            <w:shd w:val="clear" w:color="000000" w:fill="FFFF99"/>
            <w:noWrap/>
            <w:vAlign w:val="center"/>
            <w:hideMark/>
          </w:tcPr>
          <w:p w14:paraId="0292182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830" w:type="dxa"/>
            <w:shd w:val="clear" w:color="000000" w:fill="FFFF99"/>
            <w:noWrap/>
            <w:tcMar>
              <w:left w:w="28" w:type="dxa"/>
              <w:right w:w="28" w:type="dxa"/>
            </w:tcMar>
            <w:vAlign w:val="center"/>
            <w:hideMark/>
          </w:tcPr>
          <w:p w14:paraId="39B5640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r>
      <w:tr w:rsidR="002802C8" w:rsidRPr="00F475A1" w14:paraId="19505848" w14:textId="77777777" w:rsidTr="00455F02">
        <w:trPr>
          <w:trHeight w:val="300"/>
        </w:trPr>
        <w:tc>
          <w:tcPr>
            <w:tcW w:w="2375" w:type="dxa"/>
            <w:shd w:val="clear" w:color="auto" w:fill="auto"/>
            <w:vAlign w:val="center"/>
            <w:hideMark/>
          </w:tcPr>
          <w:p w14:paraId="40054232"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164" w:type="dxa"/>
            <w:shd w:val="clear" w:color="000000" w:fill="FFFF99"/>
            <w:vAlign w:val="center"/>
            <w:hideMark/>
          </w:tcPr>
          <w:p w14:paraId="24C945B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54 932,0</w:t>
            </w:r>
          </w:p>
        </w:tc>
        <w:tc>
          <w:tcPr>
            <w:tcW w:w="1134" w:type="dxa"/>
            <w:shd w:val="clear" w:color="000000" w:fill="FFFF99"/>
            <w:vAlign w:val="center"/>
            <w:hideMark/>
          </w:tcPr>
          <w:p w14:paraId="5884573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33 456,0</w:t>
            </w:r>
          </w:p>
        </w:tc>
        <w:tc>
          <w:tcPr>
            <w:tcW w:w="1134" w:type="dxa"/>
            <w:shd w:val="clear" w:color="000000" w:fill="FFFF99"/>
            <w:vAlign w:val="center"/>
            <w:hideMark/>
          </w:tcPr>
          <w:p w14:paraId="6813D69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295 746,3</w:t>
            </w:r>
          </w:p>
        </w:tc>
        <w:tc>
          <w:tcPr>
            <w:tcW w:w="1134" w:type="dxa"/>
            <w:shd w:val="clear" w:color="000000" w:fill="FFFF99"/>
            <w:vAlign w:val="center"/>
            <w:hideMark/>
          </w:tcPr>
          <w:p w14:paraId="5C1C3C5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4" w:type="dxa"/>
            <w:shd w:val="clear" w:color="000000" w:fill="FFFF99"/>
            <w:vAlign w:val="center"/>
            <w:hideMark/>
          </w:tcPr>
          <w:p w14:paraId="4244B00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881" w:type="dxa"/>
            <w:shd w:val="clear" w:color="000000" w:fill="FFFF99"/>
            <w:vAlign w:val="center"/>
            <w:hideMark/>
          </w:tcPr>
          <w:p w14:paraId="6020BF4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33" w:type="dxa"/>
            <w:shd w:val="clear" w:color="000000" w:fill="FFFF99"/>
            <w:vAlign w:val="center"/>
            <w:hideMark/>
          </w:tcPr>
          <w:p w14:paraId="6356C10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10 086,2</w:t>
            </w:r>
          </w:p>
        </w:tc>
        <w:tc>
          <w:tcPr>
            <w:tcW w:w="1391" w:type="dxa"/>
            <w:shd w:val="clear" w:color="000000" w:fill="FFFF99"/>
            <w:vAlign w:val="center"/>
            <w:hideMark/>
          </w:tcPr>
          <w:p w14:paraId="12376F1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642,9</w:t>
            </w:r>
          </w:p>
        </w:tc>
        <w:tc>
          <w:tcPr>
            <w:tcW w:w="1109" w:type="dxa"/>
            <w:shd w:val="clear" w:color="000000" w:fill="FFFF99"/>
            <w:vAlign w:val="center"/>
            <w:hideMark/>
          </w:tcPr>
          <w:p w14:paraId="73ADF83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6 946,5</w:t>
            </w:r>
          </w:p>
        </w:tc>
        <w:tc>
          <w:tcPr>
            <w:tcW w:w="1248" w:type="dxa"/>
            <w:shd w:val="clear" w:color="000000" w:fill="FFFF99"/>
            <w:noWrap/>
            <w:vAlign w:val="center"/>
            <w:hideMark/>
          </w:tcPr>
          <w:p w14:paraId="7417F93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401 809,9</w:t>
            </w:r>
          </w:p>
        </w:tc>
        <w:tc>
          <w:tcPr>
            <w:tcW w:w="830" w:type="dxa"/>
            <w:shd w:val="clear" w:color="000000" w:fill="FFFF99"/>
            <w:noWrap/>
            <w:tcMar>
              <w:left w:w="28" w:type="dxa"/>
              <w:right w:w="28" w:type="dxa"/>
            </w:tcMar>
            <w:vAlign w:val="center"/>
            <w:hideMark/>
          </w:tcPr>
          <w:p w14:paraId="56BFDB6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15,9%</w:t>
            </w:r>
          </w:p>
        </w:tc>
      </w:tr>
      <w:tr w:rsidR="002802C8" w:rsidRPr="00F475A1" w14:paraId="3DB85C71" w14:textId="77777777" w:rsidTr="005047CB">
        <w:trPr>
          <w:trHeight w:val="300"/>
        </w:trPr>
        <w:tc>
          <w:tcPr>
            <w:tcW w:w="2375" w:type="dxa"/>
            <w:shd w:val="clear" w:color="000000" w:fill="F2F2F2"/>
            <w:vAlign w:val="center"/>
            <w:hideMark/>
          </w:tcPr>
          <w:p w14:paraId="3A578A8A"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Житлові будинки</w:t>
            </w:r>
          </w:p>
        </w:tc>
        <w:tc>
          <w:tcPr>
            <w:tcW w:w="1164" w:type="dxa"/>
            <w:shd w:val="clear" w:color="000000" w:fill="F2F2F2"/>
            <w:vAlign w:val="center"/>
            <w:hideMark/>
          </w:tcPr>
          <w:p w14:paraId="4B6A957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173 422,1</w:t>
            </w:r>
          </w:p>
        </w:tc>
        <w:tc>
          <w:tcPr>
            <w:tcW w:w="1134" w:type="dxa"/>
            <w:shd w:val="clear" w:color="000000" w:fill="F2F2F2"/>
            <w:vAlign w:val="center"/>
            <w:hideMark/>
          </w:tcPr>
          <w:p w14:paraId="52F3EA9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536 667,5</w:t>
            </w:r>
          </w:p>
        </w:tc>
        <w:tc>
          <w:tcPr>
            <w:tcW w:w="1134" w:type="dxa"/>
            <w:shd w:val="clear" w:color="000000" w:fill="F2F2F2"/>
            <w:vAlign w:val="center"/>
            <w:hideMark/>
          </w:tcPr>
          <w:p w14:paraId="727A805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921 328,0</w:t>
            </w:r>
          </w:p>
        </w:tc>
        <w:tc>
          <w:tcPr>
            <w:tcW w:w="1134" w:type="dxa"/>
            <w:shd w:val="clear" w:color="000000" w:fill="F2F2F2"/>
            <w:vAlign w:val="center"/>
            <w:hideMark/>
          </w:tcPr>
          <w:p w14:paraId="609A3DE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4" w:type="dxa"/>
            <w:shd w:val="clear" w:color="000000" w:fill="F2F2F2"/>
            <w:vAlign w:val="center"/>
            <w:hideMark/>
          </w:tcPr>
          <w:p w14:paraId="1845BF0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881" w:type="dxa"/>
            <w:shd w:val="clear" w:color="000000" w:fill="F2F2F2"/>
            <w:vAlign w:val="center"/>
            <w:hideMark/>
          </w:tcPr>
          <w:p w14:paraId="46BE4FE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33" w:type="dxa"/>
            <w:shd w:val="clear" w:color="000000" w:fill="F2F2F2"/>
            <w:vAlign w:val="center"/>
            <w:hideMark/>
          </w:tcPr>
          <w:p w14:paraId="0E0C1B0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4 344,9</w:t>
            </w:r>
          </w:p>
        </w:tc>
        <w:tc>
          <w:tcPr>
            <w:tcW w:w="1391" w:type="dxa"/>
            <w:shd w:val="clear" w:color="000000" w:fill="F2F2F2"/>
            <w:vAlign w:val="center"/>
            <w:hideMark/>
          </w:tcPr>
          <w:p w14:paraId="01758150"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2 042,3</w:t>
            </w:r>
          </w:p>
        </w:tc>
        <w:tc>
          <w:tcPr>
            <w:tcW w:w="1109" w:type="dxa"/>
            <w:shd w:val="clear" w:color="000000" w:fill="F2F2F2"/>
            <w:vAlign w:val="center"/>
            <w:hideMark/>
          </w:tcPr>
          <w:p w14:paraId="13EE7C2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3 436,5</w:t>
            </w:r>
          </w:p>
        </w:tc>
        <w:tc>
          <w:tcPr>
            <w:tcW w:w="1248" w:type="dxa"/>
            <w:shd w:val="clear" w:color="000000" w:fill="F2F2F2"/>
            <w:noWrap/>
            <w:tcMar>
              <w:left w:w="28" w:type="dxa"/>
              <w:right w:w="28" w:type="dxa"/>
            </w:tcMar>
            <w:vAlign w:val="center"/>
            <w:hideMark/>
          </w:tcPr>
          <w:p w14:paraId="3F1DD6CF"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1 641 241,3</w:t>
            </w:r>
          </w:p>
        </w:tc>
        <w:tc>
          <w:tcPr>
            <w:tcW w:w="830" w:type="dxa"/>
            <w:shd w:val="clear" w:color="000000" w:fill="F2F2F2"/>
            <w:noWrap/>
            <w:tcMar>
              <w:left w:w="28" w:type="dxa"/>
              <w:right w:w="28" w:type="dxa"/>
            </w:tcMar>
            <w:vAlign w:val="center"/>
            <w:hideMark/>
          </w:tcPr>
          <w:p w14:paraId="76C6A517"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65,1%</w:t>
            </w:r>
          </w:p>
        </w:tc>
      </w:tr>
      <w:tr w:rsidR="00455F02" w:rsidRPr="00F475A1" w14:paraId="5F9C3363" w14:textId="77777777" w:rsidTr="005047CB">
        <w:trPr>
          <w:trHeight w:val="330"/>
        </w:trPr>
        <w:tc>
          <w:tcPr>
            <w:tcW w:w="12659" w:type="dxa"/>
            <w:gridSpan w:val="10"/>
            <w:shd w:val="clear" w:color="000000" w:fill="F2F2F2"/>
            <w:vAlign w:val="center"/>
            <w:hideMark/>
          </w:tcPr>
          <w:p w14:paraId="64BF22E8"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Транспорт</w:t>
            </w:r>
          </w:p>
        </w:tc>
        <w:tc>
          <w:tcPr>
            <w:tcW w:w="1248" w:type="dxa"/>
            <w:shd w:val="clear" w:color="000000" w:fill="F2F2F2"/>
            <w:noWrap/>
            <w:tcMar>
              <w:left w:w="28" w:type="dxa"/>
              <w:right w:w="28" w:type="dxa"/>
            </w:tcMar>
            <w:vAlign w:val="center"/>
            <w:hideMark/>
          </w:tcPr>
          <w:p w14:paraId="13AAFF8B"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352 714,7</w:t>
            </w:r>
          </w:p>
        </w:tc>
        <w:tc>
          <w:tcPr>
            <w:tcW w:w="830" w:type="dxa"/>
            <w:shd w:val="clear" w:color="000000" w:fill="F2F2F2"/>
            <w:noWrap/>
            <w:tcMar>
              <w:left w:w="28" w:type="dxa"/>
              <w:right w:w="28" w:type="dxa"/>
            </w:tcMar>
            <w:vAlign w:val="center"/>
            <w:hideMark/>
          </w:tcPr>
          <w:p w14:paraId="221A2222"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14,0%</w:t>
            </w:r>
          </w:p>
        </w:tc>
      </w:tr>
      <w:tr w:rsidR="002802C8" w:rsidRPr="00F475A1" w14:paraId="155193EF" w14:textId="77777777" w:rsidTr="00455F02">
        <w:trPr>
          <w:trHeight w:val="600"/>
        </w:trPr>
        <w:tc>
          <w:tcPr>
            <w:tcW w:w="2375" w:type="dxa"/>
            <w:shd w:val="clear" w:color="auto" w:fill="auto"/>
            <w:vAlign w:val="center"/>
            <w:hideMark/>
          </w:tcPr>
          <w:p w14:paraId="066C5049"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Муніципальний транспорт</w:t>
            </w:r>
          </w:p>
        </w:tc>
        <w:tc>
          <w:tcPr>
            <w:tcW w:w="1164" w:type="dxa"/>
            <w:shd w:val="clear" w:color="000000" w:fill="FFFF99"/>
            <w:tcMar>
              <w:left w:w="28" w:type="dxa"/>
              <w:right w:w="28" w:type="dxa"/>
            </w:tcMar>
            <w:vAlign w:val="center"/>
            <w:hideMark/>
          </w:tcPr>
          <w:p w14:paraId="0450A28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24784D7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34" w:type="dxa"/>
            <w:shd w:val="clear" w:color="000000" w:fill="FFFF99"/>
            <w:tcMar>
              <w:left w:w="28" w:type="dxa"/>
              <w:right w:w="28" w:type="dxa"/>
            </w:tcMar>
            <w:vAlign w:val="center"/>
            <w:hideMark/>
          </w:tcPr>
          <w:p w14:paraId="363FC29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34" w:type="dxa"/>
            <w:shd w:val="clear" w:color="000000" w:fill="FFFF99"/>
            <w:tcMar>
              <w:left w:w="28" w:type="dxa"/>
              <w:right w:w="28" w:type="dxa"/>
            </w:tcMar>
            <w:vAlign w:val="center"/>
            <w:hideMark/>
          </w:tcPr>
          <w:p w14:paraId="4717F85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04" w:type="dxa"/>
            <w:shd w:val="clear" w:color="000000" w:fill="FFFF99"/>
            <w:tcMar>
              <w:left w:w="28" w:type="dxa"/>
              <w:right w:w="28" w:type="dxa"/>
            </w:tcMar>
            <w:vAlign w:val="center"/>
            <w:hideMark/>
          </w:tcPr>
          <w:p w14:paraId="7D9ED5E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5 651,3</w:t>
            </w:r>
          </w:p>
        </w:tc>
        <w:tc>
          <w:tcPr>
            <w:tcW w:w="881" w:type="dxa"/>
            <w:shd w:val="clear" w:color="000000" w:fill="FFFF99"/>
            <w:tcMar>
              <w:left w:w="28" w:type="dxa"/>
              <w:right w:w="28" w:type="dxa"/>
            </w:tcMar>
            <w:vAlign w:val="center"/>
            <w:hideMark/>
          </w:tcPr>
          <w:p w14:paraId="5180F6E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7 357,9</w:t>
            </w:r>
          </w:p>
        </w:tc>
        <w:tc>
          <w:tcPr>
            <w:tcW w:w="1233" w:type="dxa"/>
            <w:shd w:val="clear" w:color="000000" w:fill="FFFF99"/>
            <w:tcMar>
              <w:left w:w="28" w:type="dxa"/>
              <w:right w:w="28" w:type="dxa"/>
            </w:tcMar>
            <w:vAlign w:val="center"/>
            <w:hideMark/>
          </w:tcPr>
          <w:p w14:paraId="5B8BE83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91" w:type="dxa"/>
            <w:shd w:val="clear" w:color="000000" w:fill="FFFF99"/>
            <w:tcMar>
              <w:left w:w="28" w:type="dxa"/>
              <w:right w:w="28" w:type="dxa"/>
            </w:tcMar>
            <w:vAlign w:val="center"/>
            <w:hideMark/>
          </w:tcPr>
          <w:p w14:paraId="21591F1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tcMar>
              <w:left w:w="28" w:type="dxa"/>
              <w:right w:w="28" w:type="dxa"/>
            </w:tcMar>
            <w:vAlign w:val="center"/>
            <w:hideMark/>
          </w:tcPr>
          <w:p w14:paraId="730B62C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48" w:type="dxa"/>
            <w:shd w:val="clear" w:color="000000" w:fill="FFFF99"/>
            <w:noWrap/>
            <w:tcMar>
              <w:left w:w="28" w:type="dxa"/>
              <w:right w:w="28" w:type="dxa"/>
            </w:tcMar>
            <w:vAlign w:val="center"/>
            <w:hideMark/>
          </w:tcPr>
          <w:p w14:paraId="16D9D59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13 009,2</w:t>
            </w:r>
          </w:p>
        </w:tc>
        <w:tc>
          <w:tcPr>
            <w:tcW w:w="830" w:type="dxa"/>
            <w:shd w:val="clear" w:color="000000" w:fill="FFFF99"/>
            <w:noWrap/>
            <w:tcMar>
              <w:left w:w="28" w:type="dxa"/>
              <w:right w:w="28" w:type="dxa"/>
            </w:tcMar>
            <w:vAlign w:val="center"/>
            <w:hideMark/>
          </w:tcPr>
          <w:p w14:paraId="3DE5008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0,5%</w:t>
            </w:r>
          </w:p>
        </w:tc>
      </w:tr>
      <w:tr w:rsidR="002802C8" w:rsidRPr="00F475A1" w14:paraId="081C9A39" w14:textId="77777777" w:rsidTr="00455F02">
        <w:trPr>
          <w:trHeight w:val="600"/>
        </w:trPr>
        <w:tc>
          <w:tcPr>
            <w:tcW w:w="2375" w:type="dxa"/>
            <w:shd w:val="clear" w:color="auto" w:fill="auto"/>
            <w:vAlign w:val="center"/>
            <w:hideMark/>
          </w:tcPr>
          <w:p w14:paraId="75A4F257"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Громадський транспорт</w:t>
            </w:r>
          </w:p>
        </w:tc>
        <w:tc>
          <w:tcPr>
            <w:tcW w:w="1164" w:type="dxa"/>
            <w:shd w:val="clear" w:color="000000" w:fill="FFFF99"/>
            <w:tcMar>
              <w:left w:w="28" w:type="dxa"/>
              <w:right w:w="28" w:type="dxa"/>
            </w:tcMar>
            <w:vAlign w:val="center"/>
            <w:hideMark/>
          </w:tcPr>
          <w:p w14:paraId="53F1EE7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15 230,0</w:t>
            </w:r>
          </w:p>
        </w:tc>
        <w:tc>
          <w:tcPr>
            <w:tcW w:w="1134" w:type="dxa"/>
            <w:shd w:val="clear" w:color="000000" w:fill="FFFF99"/>
            <w:tcMar>
              <w:left w:w="28" w:type="dxa"/>
              <w:right w:w="28" w:type="dxa"/>
            </w:tcMar>
            <w:vAlign w:val="center"/>
            <w:hideMark/>
          </w:tcPr>
          <w:p w14:paraId="0357070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3CB66F2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93 061,5</w:t>
            </w:r>
          </w:p>
        </w:tc>
        <w:tc>
          <w:tcPr>
            <w:tcW w:w="1134" w:type="dxa"/>
            <w:shd w:val="clear" w:color="000000" w:fill="FFFF99"/>
            <w:tcMar>
              <w:left w:w="28" w:type="dxa"/>
              <w:right w:w="28" w:type="dxa"/>
            </w:tcMar>
            <w:vAlign w:val="center"/>
            <w:hideMark/>
          </w:tcPr>
          <w:p w14:paraId="3DD3783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04" w:type="dxa"/>
            <w:shd w:val="clear" w:color="000000" w:fill="FFFF99"/>
            <w:tcMar>
              <w:left w:w="28" w:type="dxa"/>
              <w:right w:w="28" w:type="dxa"/>
            </w:tcMar>
            <w:vAlign w:val="center"/>
            <w:hideMark/>
          </w:tcPr>
          <w:p w14:paraId="74B8E87E"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17 150,3</w:t>
            </w:r>
          </w:p>
        </w:tc>
        <w:tc>
          <w:tcPr>
            <w:tcW w:w="881" w:type="dxa"/>
            <w:shd w:val="clear" w:color="000000" w:fill="FFFF99"/>
            <w:tcMar>
              <w:left w:w="28" w:type="dxa"/>
              <w:right w:w="28" w:type="dxa"/>
            </w:tcMar>
            <w:vAlign w:val="center"/>
            <w:hideMark/>
          </w:tcPr>
          <w:p w14:paraId="74BC214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233" w:type="dxa"/>
            <w:shd w:val="clear" w:color="000000" w:fill="FFFF99"/>
            <w:tcMar>
              <w:left w:w="28" w:type="dxa"/>
              <w:right w:w="28" w:type="dxa"/>
            </w:tcMar>
            <w:vAlign w:val="center"/>
            <w:hideMark/>
          </w:tcPr>
          <w:p w14:paraId="7055BC91"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91" w:type="dxa"/>
            <w:shd w:val="clear" w:color="000000" w:fill="FFFF99"/>
            <w:tcMar>
              <w:left w:w="28" w:type="dxa"/>
              <w:right w:w="28" w:type="dxa"/>
            </w:tcMar>
            <w:vAlign w:val="center"/>
            <w:hideMark/>
          </w:tcPr>
          <w:p w14:paraId="242FF8C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tcMar>
              <w:left w:w="28" w:type="dxa"/>
              <w:right w:w="28" w:type="dxa"/>
            </w:tcMar>
            <w:vAlign w:val="center"/>
            <w:hideMark/>
          </w:tcPr>
          <w:p w14:paraId="5F684FC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48" w:type="dxa"/>
            <w:shd w:val="clear" w:color="000000" w:fill="FFFF99"/>
            <w:noWrap/>
            <w:tcMar>
              <w:left w:w="28" w:type="dxa"/>
              <w:right w:w="28" w:type="dxa"/>
            </w:tcMar>
            <w:vAlign w:val="center"/>
            <w:hideMark/>
          </w:tcPr>
          <w:p w14:paraId="3FCA2CF6"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125 441,8</w:t>
            </w:r>
          </w:p>
        </w:tc>
        <w:tc>
          <w:tcPr>
            <w:tcW w:w="830" w:type="dxa"/>
            <w:shd w:val="clear" w:color="000000" w:fill="FFFF99"/>
            <w:noWrap/>
            <w:tcMar>
              <w:left w:w="28" w:type="dxa"/>
              <w:right w:w="28" w:type="dxa"/>
            </w:tcMar>
            <w:vAlign w:val="center"/>
            <w:hideMark/>
          </w:tcPr>
          <w:p w14:paraId="4A2BA9C4"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5,0%</w:t>
            </w:r>
          </w:p>
        </w:tc>
      </w:tr>
      <w:tr w:rsidR="002802C8" w:rsidRPr="00F475A1" w14:paraId="1096FC02" w14:textId="77777777" w:rsidTr="00455F02">
        <w:trPr>
          <w:trHeight w:val="600"/>
        </w:trPr>
        <w:tc>
          <w:tcPr>
            <w:tcW w:w="2375" w:type="dxa"/>
            <w:shd w:val="clear" w:color="auto" w:fill="auto"/>
            <w:vAlign w:val="center"/>
            <w:hideMark/>
          </w:tcPr>
          <w:p w14:paraId="4C554443"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Приватний та комерційний транспорт</w:t>
            </w:r>
          </w:p>
        </w:tc>
        <w:tc>
          <w:tcPr>
            <w:tcW w:w="1164" w:type="dxa"/>
            <w:shd w:val="clear" w:color="000000" w:fill="FFFF99"/>
            <w:tcMar>
              <w:left w:w="28" w:type="dxa"/>
              <w:right w:w="28" w:type="dxa"/>
            </w:tcMar>
            <w:vAlign w:val="center"/>
            <w:hideMark/>
          </w:tcPr>
          <w:p w14:paraId="7E28AA15"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7,6</w:t>
            </w:r>
          </w:p>
        </w:tc>
        <w:tc>
          <w:tcPr>
            <w:tcW w:w="1134" w:type="dxa"/>
            <w:shd w:val="clear" w:color="000000" w:fill="FFFF99"/>
            <w:tcMar>
              <w:left w:w="28" w:type="dxa"/>
              <w:right w:w="28" w:type="dxa"/>
            </w:tcMar>
            <w:vAlign w:val="center"/>
            <w:hideMark/>
          </w:tcPr>
          <w:p w14:paraId="7911EF7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401CDAEF"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2 006,6</w:t>
            </w:r>
          </w:p>
        </w:tc>
        <w:tc>
          <w:tcPr>
            <w:tcW w:w="1134" w:type="dxa"/>
            <w:shd w:val="clear" w:color="000000" w:fill="FFFF99"/>
            <w:tcMar>
              <w:left w:w="28" w:type="dxa"/>
              <w:right w:w="28" w:type="dxa"/>
            </w:tcMar>
            <w:vAlign w:val="center"/>
            <w:hideMark/>
          </w:tcPr>
          <w:p w14:paraId="2E07E4E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47 064,5</w:t>
            </w:r>
          </w:p>
        </w:tc>
        <w:tc>
          <w:tcPr>
            <w:tcW w:w="1104" w:type="dxa"/>
            <w:shd w:val="clear" w:color="000000" w:fill="FFFF99"/>
            <w:tcMar>
              <w:left w:w="28" w:type="dxa"/>
              <w:right w:w="28" w:type="dxa"/>
            </w:tcMar>
            <w:vAlign w:val="center"/>
            <w:hideMark/>
          </w:tcPr>
          <w:p w14:paraId="7FE5693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104 698,6</w:t>
            </w:r>
          </w:p>
        </w:tc>
        <w:tc>
          <w:tcPr>
            <w:tcW w:w="881" w:type="dxa"/>
            <w:shd w:val="clear" w:color="000000" w:fill="FFFF99"/>
            <w:tcMar>
              <w:left w:w="28" w:type="dxa"/>
              <w:right w:w="28" w:type="dxa"/>
            </w:tcMar>
            <w:vAlign w:val="center"/>
            <w:hideMark/>
          </w:tcPr>
          <w:p w14:paraId="1F01D05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60 486,5</w:t>
            </w:r>
          </w:p>
        </w:tc>
        <w:tc>
          <w:tcPr>
            <w:tcW w:w="1233" w:type="dxa"/>
            <w:shd w:val="clear" w:color="000000" w:fill="FFFF99"/>
            <w:tcMar>
              <w:left w:w="28" w:type="dxa"/>
              <w:right w:w="28" w:type="dxa"/>
            </w:tcMar>
            <w:vAlign w:val="center"/>
            <w:hideMark/>
          </w:tcPr>
          <w:p w14:paraId="23A1D14D"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91" w:type="dxa"/>
            <w:shd w:val="clear" w:color="000000" w:fill="FFFF99"/>
            <w:tcMar>
              <w:left w:w="28" w:type="dxa"/>
              <w:right w:w="28" w:type="dxa"/>
            </w:tcMar>
            <w:vAlign w:val="center"/>
            <w:hideMark/>
          </w:tcPr>
          <w:p w14:paraId="11E745F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tcMar>
              <w:left w:w="28" w:type="dxa"/>
              <w:right w:w="28" w:type="dxa"/>
            </w:tcMar>
            <w:vAlign w:val="center"/>
            <w:hideMark/>
          </w:tcPr>
          <w:p w14:paraId="70733FF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248" w:type="dxa"/>
            <w:shd w:val="clear" w:color="000000" w:fill="FFFF99"/>
            <w:noWrap/>
            <w:tcMar>
              <w:left w:w="28" w:type="dxa"/>
              <w:right w:w="28" w:type="dxa"/>
            </w:tcMar>
            <w:vAlign w:val="center"/>
            <w:hideMark/>
          </w:tcPr>
          <w:p w14:paraId="106A960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214 263,8</w:t>
            </w:r>
          </w:p>
        </w:tc>
        <w:tc>
          <w:tcPr>
            <w:tcW w:w="830" w:type="dxa"/>
            <w:shd w:val="clear" w:color="000000" w:fill="FFFF99"/>
            <w:noWrap/>
            <w:tcMar>
              <w:left w:w="28" w:type="dxa"/>
              <w:right w:w="28" w:type="dxa"/>
            </w:tcMar>
            <w:vAlign w:val="center"/>
            <w:hideMark/>
          </w:tcPr>
          <w:p w14:paraId="640AE24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8,5%</w:t>
            </w:r>
          </w:p>
        </w:tc>
      </w:tr>
      <w:tr w:rsidR="00455F02" w:rsidRPr="00F475A1" w14:paraId="5865EE8D" w14:textId="77777777" w:rsidTr="00455F02">
        <w:trPr>
          <w:trHeight w:val="330"/>
        </w:trPr>
        <w:tc>
          <w:tcPr>
            <w:tcW w:w="12659" w:type="dxa"/>
            <w:gridSpan w:val="10"/>
            <w:shd w:val="clear" w:color="000000" w:fill="F2F2F2"/>
            <w:vAlign w:val="center"/>
            <w:hideMark/>
          </w:tcPr>
          <w:p w14:paraId="0B4EA023" w14:textId="77777777" w:rsidR="002802C8" w:rsidRPr="00F475A1" w:rsidRDefault="002802C8" w:rsidP="002802C8">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Інші</w:t>
            </w:r>
          </w:p>
        </w:tc>
        <w:tc>
          <w:tcPr>
            <w:tcW w:w="1248" w:type="dxa"/>
            <w:shd w:val="clear" w:color="000000" w:fill="F2F2F2"/>
            <w:noWrap/>
            <w:vAlign w:val="center"/>
            <w:hideMark/>
          </w:tcPr>
          <w:p w14:paraId="62621629"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0,0</w:t>
            </w:r>
          </w:p>
        </w:tc>
        <w:tc>
          <w:tcPr>
            <w:tcW w:w="830" w:type="dxa"/>
            <w:shd w:val="clear" w:color="000000" w:fill="F2F2F2"/>
            <w:noWrap/>
            <w:tcMar>
              <w:left w:w="28" w:type="dxa"/>
              <w:right w:w="28" w:type="dxa"/>
            </w:tcMar>
            <w:vAlign w:val="center"/>
            <w:hideMark/>
          </w:tcPr>
          <w:p w14:paraId="67F90C9E"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0,0%</w:t>
            </w:r>
          </w:p>
        </w:tc>
      </w:tr>
      <w:tr w:rsidR="002802C8" w:rsidRPr="00F475A1" w14:paraId="4DF4F306" w14:textId="77777777" w:rsidTr="00455F02">
        <w:trPr>
          <w:trHeight w:val="600"/>
        </w:trPr>
        <w:tc>
          <w:tcPr>
            <w:tcW w:w="2375" w:type="dxa"/>
            <w:shd w:val="clear" w:color="auto" w:fill="auto"/>
            <w:vAlign w:val="center"/>
            <w:hideMark/>
          </w:tcPr>
          <w:p w14:paraId="597D794D" w14:textId="77777777" w:rsidR="002802C8" w:rsidRPr="00F475A1" w:rsidRDefault="002802C8" w:rsidP="002802C8">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 - управління відходами</w:t>
            </w:r>
          </w:p>
        </w:tc>
        <w:tc>
          <w:tcPr>
            <w:tcW w:w="1164" w:type="dxa"/>
            <w:shd w:val="clear" w:color="000000" w:fill="FFFF99"/>
            <w:vAlign w:val="center"/>
            <w:hideMark/>
          </w:tcPr>
          <w:p w14:paraId="3DA37642"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FFFF99"/>
            <w:vAlign w:val="center"/>
            <w:hideMark/>
          </w:tcPr>
          <w:p w14:paraId="42FCA26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FFFF99"/>
            <w:vAlign w:val="center"/>
            <w:hideMark/>
          </w:tcPr>
          <w:p w14:paraId="70EF673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34" w:type="dxa"/>
            <w:shd w:val="clear" w:color="000000" w:fill="FFFF99"/>
            <w:vAlign w:val="center"/>
            <w:hideMark/>
          </w:tcPr>
          <w:p w14:paraId="2B57975A"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04" w:type="dxa"/>
            <w:shd w:val="clear" w:color="000000" w:fill="FFFF99"/>
            <w:vAlign w:val="center"/>
            <w:hideMark/>
          </w:tcPr>
          <w:p w14:paraId="5A562099"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881" w:type="dxa"/>
            <w:shd w:val="clear" w:color="000000" w:fill="FFFF99"/>
            <w:vAlign w:val="center"/>
            <w:hideMark/>
          </w:tcPr>
          <w:p w14:paraId="352D83AC"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33" w:type="dxa"/>
            <w:shd w:val="clear" w:color="000000" w:fill="FFFF99"/>
            <w:vAlign w:val="center"/>
            <w:hideMark/>
          </w:tcPr>
          <w:p w14:paraId="2E211B27"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391" w:type="dxa"/>
            <w:shd w:val="clear" w:color="000000" w:fill="FFFF99"/>
            <w:vAlign w:val="center"/>
            <w:hideMark/>
          </w:tcPr>
          <w:p w14:paraId="471B6D73"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09" w:type="dxa"/>
            <w:shd w:val="clear" w:color="000000" w:fill="FFFF99"/>
            <w:vAlign w:val="center"/>
            <w:hideMark/>
          </w:tcPr>
          <w:p w14:paraId="0242BD2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248" w:type="dxa"/>
            <w:shd w:val="clear" w:color="000000" w:fill="FFFF99"/>
            <w:noWrap/>
            <w:vAlign w:val="center"/>
            <w:hideMark/>
          </w:tcPr>
          <w:p w14:paraId="555F5BFB"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830" w:type="dxa"/>
            <w:shd w:val="clear" w:color="000000" w:fill="FFFF99"/>
            <w:noWrap/>
            <w:tcMar>
              <w:left w:w="28" w:type="dxa"/>
              <w:right w:w="28" w:type="dxa"/>
            </w:tcMar>
            <w:vAlign w:val="center"/>
            <w:hideMark/>
          </w:tcPr>
          <w:p w14:paraId="46588BB8" w14:textId="77777777" w:rsidR="002802C8" w:rsidRPr="00F475A1" w:rsidRDefault="002802C8" w:rsidP="002802C8">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r>
      <w:tr w:rsidR="002802C8" w:rsidRPr="00F475A1" w14:paraId="0884228C" w14:textId="77777777" w:rsidTr="00455F02">
        <w:trPr>
          <w:trHeight w:val="315"/>
        </w:trPr>
        <w:tc>
          <w:tcPr>
            <w:tcW w:w="2375" w:type="dxa"/>
            <w:shd w:val="clear" w:color="auto" w:fill="auto"/>
            <w:tcMar>
              <w:left w:w="28" w:type="dxa"/>
              <w:right w:w="28" w:type="dxa"/>
            </w:tcMar>
            <w:vAlign w:val="center"/>
            <w:hideMark/>
          </w:tcPr>
          <w:p w14:paraId="491C1D92" w14:textId="77777777" w:rsidR="002802C8" w:rsidRPr="00F475A1" w:rsidRDefault="002802C8" w:rsidP="002802C8">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Разом</w:t>
            </w:r>
          </w:p>
        </w:tc>
        <w:tc>
          <w:tcPr>
            <w:tcW w:w="1164" w:type="dxa"/>
            <w:shd w:val="clear" w:color="auto" w:fill="auto"/>
            <w:tcMar>
              <w:left w:w="28" w:type="dxa"/>
              <w:right w:w="28" w:type="dxa"/>
            </w:tcMar>
            <w:vAlign w:val="center"/>
            <w:hideMark/>
          </w:tcPr>
          <w:p w14:paraId="56A7558F"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301 626,2</w:t>
            </w:r>
          </w:p>
        </w:tc>
        <w:tc>
          <w:tcPr>
            <w:tcW w:w="1134" w:type="dxa"/>
            <w:shd w:val="clear" w:color="auto" w:fill="auto"/>
            <w:tcMar>
              <w:left w:w="28" w:type="dxa"/>
              <w:right w:w="28" w:type="dxa"/>
            </w:tcMar>
            <w:vAlign w:val="center"/>
            <w:hideMark/>
          </w:tcPr>
          <w:p w14:paraId="6C8A41E3"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625 947,5</w:t>
            </w:r>
          </w:p>
        </w:tc>
        <w:tc>
          <w:tcPr>
            <w:tcW w:w="1134" w:type="dxa"/>
            <w:shd w:val="clear" w:color="auto" w:fill="auto"/>
            <w:tcMar>
              <w:left w:w="28" w:type="dxa"/>
              <w:right w:w="28" w:type="dxa"/>
            </w:tcMar>
            <w:vAlign w:val="center"/>
            <w:hideMark/>
          </w:tcPr>
          <w:p w14:paraId="0F0E93BC"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1 323 605,6</w:t>
            </w:r>
          </w:p>
        </w:tc>
        <w:tc>
          <w:tcPr>
            <w:tcW w:w="1134" w:type="dxa"/>
            <w:shd w:val="clear" w:color="auto" w:fill="auto"/>
            <w:tcMar>
              <w:left w:w="28" w:type="dxa"/>
              <w:right w:w="28" w:type="dxa"/>
            </w:tcMar>
            <w:vAlign w:val="center"/>
            <w:hideMark/>
          </w:tcPr>
          <w:p w14:paraId="3D4646EC"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47 064,5</w:t>
            </w:r>
          </w:p>
        </w:tc>
        <w:tc>
          <w:tcPr>
            <w:tcW w:w="1104" w:type="dxa"/>
            <w:shd w:val="clear" w:color="auto" w:fill="auto"/>
            <w:tcMar>
              <w:left w:w="28" w:type="dxa"/>
              <w:right w:w="28" w:type="dxa"/>
            </w:tcMar>
            <w:vAlign w:val="center"/>
            <w:hideMark/>
          </w:tcPr>
          <w:p w14:paraId="4C1BAB58"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127 500,2</w:t>
            </w:r>
          </w:p>
        </w:tc>
        <w:tc>
          <w:tcPr>
            <w:tcW w:w="881" w:type="dxa"/>
            <w:shd w:val="clear" w:color="auto" w:fill="auto"/>
            <w:tcMar>
              <w:left w:w="28" w:type="dxa"/>
              <w:right w:w="28" w:type="dxa"/>
            </w:tcMar>
            <w:vAlign w:val="center"/>
            <w:hideMark/>
          </w:tcPr>
          <w:p w14:paraId="5C89201D"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67 844,3</w:t>
            </w:r>
          </w:p>
        </w:tc>
        <w:tc>
          <w:tcPr>
            <w:tcW w:w="1233" w:type="dxa"/>
            <w:shd w:val="clear" w:color="auto" w:fill="auto"/>
            <w:tcMar>
              <w:left w:w="28" w:type="dxa"/>
              <w:right w:w="28" w:type="dxa"/>
            </w:tcMar>
            <w:vAlign w:val="center"/>
            <w:hideMark/>
          </w:tcPr>
          <w:p w14:paraId="13A1EDE0"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15 132,9</w:t>
            </w:r>
          </w:p>
        </w:tc>
        <w:tc>
          <w:tcPr>
            <w:tcW w:w="1391" w:type="dxa"/>
            <w:shd w:val="clear" w:color="auto" w:fill="auto"/>
            <w:tcMar>
              <w:left w:w="28" w:type="dxa"/>
              <w:right w:w="28" w:type="dxa"/>
            </w:tcMar>
            <w:vAlign w:val="center"/>
            <w:hideMark/>
          </w:tcPr>
          <w:p w14:paraId="462F6F16"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2 685,1</w:t>
            </w:r>
          </w:p>
        </w:tc>
        <w:tc>
          <w:tcPr>
            <w:tcW w:w="1109" w:type="dxa"/>
            <w:shd w:val="clear" w:color="auto" w:fill="auto"/>
            <w:tcMar>
              <w:left w:w="28" w:type="dxa"/>
              <w:right w:w="28" w:type="dxa"/>
            </w:tcMar>
            <w:vAlign w:val="center"/>
            <w:hideMark/>
          </w:tcPr>
          <w:p w14:paraId="24C56820" w14:textId="77777777" w:rsidR="002802C8" w:rsidRPr="00F475A1" w:rsidRDefault="002802C8" w:rsidP="002802C8">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10 383,0</w:t>
            </w:r>
          </w:p>
        </w:tc>
        <w:tc>
          <w:tcPr>
            <w:tcW w:w="1248" w:type="dxa"/>
            <w:shd w:val="clear" w:color="auto" w:fill="auto"/>
            <w:tcMar>
              <w:left w:w="28" w:type="dxa"/>
              <w:right w:w="28" w:type="dxa"/>
            </w:tcMar>
            <w:vAlign w:val="center"/>
            <w:hideMark/>
          </w:tcPr>
          <w:p w14:paraId="443851E4" w14:textId="77777777" w:rsidR="002802C8" w:rsidRPr="00F475A1" w:rsidRDefault="002802C8" w:rsidP="002802C8">
            <w:pPr>
              <w:spacing w:after="0" w:line="240" w:lineRule="auto"/>
              <w:jc w:val="center"/>
              <w:rPr>
                <w:rFonts w:ascii="Times New Roman" w:eastAsia="Times New Roman" w:hAnsi="Times New Roman" w:cs="Times New Roman"/>
                <w:b/>
                <w:bCs/>
                <w:color w:val="000000"/>
                <w:sz w:val="24"/>
                <w:szCs w:val="24"/>
              </w:rPr>
            </w:pPr>
            <w:r w:rsidRPr="00F475A1">
              <w:rPr>
                <w:rFonts w:ascii="Times New Roman" w:eastAsia="Times New Roman" w:hAnsi="Times New Roman" w:cs="Times New Roman"/>
                <w:b/>
                <w:bCs/>
                <w:color w:val="000000"/>
                <w:sz w:val="24"/>
                <w:szCs w:val="24"/>
              </w:rPr>
              <w:t>2 521 789,3</w:t>
            </w:r>
          </w:p>
        </w:tc>
        <w:tc>
          <w:tcPr>
            <w:tcW w:w="830" w:type="dxa"/>
            <w:shd w:val="clear" w:color="auto" w:fill="auto"/>
            <w:noWrap/>
            <w:tcMar>
              <w:left w:w="28" w:type="dxa"/>
              <w:right w:w="28" w:type="dxa"/>
            </w:tcMar>
            <w:vAlign w:val="center"/>
            <w:hideMark/>
          </w:tcPr>
          <w:p w14:paraId="3FAA6F7F" w14:textId="77777777" w:rsidR="002802C8" w:rsidRPr="00F475A1" w:rsidRDefault="002802C8" w:rsidP="002802C8">
            <w:pPr>
              <w:spacing w:after="0" w:line="240" w:lineRule="auto"/>
              <w:jc w:val="center"/>
              <w:rPr>
                <w:rFonts w:ascii="Times New Roman" w:eastAsia="Times New Roman" w:hAnsi="Times New Roman" w:cs="Times New Roman"/>
                <w:b/>
                <w:bCs/>
                <w:color w:val="000000"/>
                <w:sz w:val="24"/>
                <w:szCs w:val="24"/>
              </w:rPr>
            </w:pPr>
            <w:r w:rsidRPr="00F475A1">
              <w:rPr>
                <w:rFonts w:ascii="Times New Roman" w:eastAsia="Times New Roman" w:hAnsi="Times New Roman" w:cs="Times New Roman"/>
                <w:b/>
                <w:bCs/>
                <w:color w:val="000000"/>
                <w:sz w:val="24"/>
                <w:szCs w:val="24"/>
              </w:rPr>
              <w:t>100,0%</w:t>
            </w:r>
          </w:p>
        </w:tc>
      </w:tr>
    </w:tbl>
    <w:p w14:paraId="502E0C4E" w14:textId="77777777" w:rsidR="00FF3796" w:rsidRDefault="0051794F" w:rsidP="00284EA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д</w:t>
      </w:r>
      <w:r>
        <w:rPr>
          <w:rFonts w:ascii="Times New Roman" w:eastAsia="Times New Roman" w:hAnsi="Times New Roman" w:cs="Times New Roman"/>
          <w:color w:val="000000"/>
          <w:sz w:val="24"/>
          <w:szCs w:val="24"/>
        </w:rPr>
        <w:t>іяльність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Pr>
          <w:rFonts w:ascii="Times New Roman" w:eastAsia="Times New Roman" w:hAnsi="Times New Roman" w:cs="Times New Roman"/>
          <w:b/>
          <w:color w:val="000000"/>
          <w:sz w:val="24"/>
          <w:szCs w:val="24"/>
        </w:rPr>
        <w:t xml:space="preserve"> - </w:t>
      </w:r>
      <w:r>
        <w:rPr>
          <w:rFonts w:ascii="Times New Roman" w:eastAsia="Times New Roman" w:hAnsi="Times New Roman" w:cs="Times New Roman"/>
          <w:color w:val="000000"/>
          <w:sz w:val="24"/>
          <w:szCs w:val="24"/>
        </w:rPr>
        <w:t>дані враховано в інших секторах.</w:t>
      </w:r>
    </w:p>
    <w:p w14:paraId="119AF610" w14:textId="77777777" w:rsidR="002802C8" w:rsidRDefault="002802C8" w:rsidP="00284EAF">
      <w:pPr>
        <w:pBdr>
          <w:top w:val="nil"/>
          <w:left w:val="nil"/>
          <w:bottom w:val="nil"/>
          <w:right w:val="nil"/>
          <w:between w:val="nil"/>
        </w:pBdr>
        <w:spacing w:after="0" w:line="240" w:lineRule="auto"/>
        <w:ind w:left="720" w:hanging="720"/>
        <w:jc w:val="center"/>
        <w:rPr>
          <w:rFonts w:ascii="Times New Roman" w:eastAsia="Times New Roman" w:hAnsi="Times New Roman" w:cs="Times New Roman"/>
          <w:color w:val="000000"/>
          <w:sz w:val="24"/>
          <w:szCs w:val="24"/>
        </w:rPr>
      </w:pPr>
    </w:p>
    <w:p w14:paraId="00DE829B" w14:textId="77777777" w:rsidR="00C82386" w:rsidRDefault="00E66F64" w:rsidP="00284EAF">
      <w:pPr>
        <w:keepNext/>
        <w:keepLines/>
        <w:numPr>
          <w:ilvl w:val="1"/>
          <w:numId w:val="23"/>
        </w:numPr>
        <w:pBdr>
          <w:top w:val="nil"/>
          <w:left w:val="nil"/>
          <w:bottom w:val="nil"/>
          <w:right w:val="nil"/>
          <w:between w:val="nil"/>
        </w:pBdr>
        <w:spacing w:after="0" w:line="240" w:lineRule="auto"/>
        <w:rPr>
          <w:rFonts w:ascii="Times New Roman" w:eastAsia="Times New Roman" w:hAnsi="Times New Roman" w:cs="Times New Roman"/>
          <w:b/>
          <w:color w:val="000000"/>
          <w:sz w:val="24"/>
          <w:szCs w:val="24"/>
        </w:rPr>
      </w:pPr>
      <w:bookmarkStart w:id="54" w:name="_heading=h.206ipza" w:colFirst="0" w:colLast="0"/>
      <w:bookmarkEnd w:id="54"/>
      <w:r>
        <w:rPr>
          <w:rFonts w:ascii="Times New Roman" w:eastAsia="Times New Roman" w:hAnsi="Times New Roman" w:cs="Times New Roman"/>
          <w:b/>
          <w:color w:val="000000"/>
          <w:sz w:val="24"/>
          <w:szCs w:val="24"/>
        </w:rPr>
        <w:t>Кадастр викидів СО</w:t>
      </w:r>
      <w:r>
        <w:rPr>
          <w:rFonts w:ascii="Times New Roman" w:eastAsia="Times New Roman" w:hAnsi="Times New Roman" w:cs="Times New Roman"/>
          <w:b/>
          <w:color w:val="000000"/>
          <w:sz w:val="24"/>
          <w:szCs w:val="24"/>
          <w:vertAlign w:val="subscript"/>
        </w:rPr>
        <w:t>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vertAlign w:val="subscript"/>
        </w:rPr>
        <w:t>екв.</w:t>
      </w:r>
      <w:r>
        <w:rPr>
          <w:rFonts w:ascii="Times New Roman" w:eastAsia="Times New Roman" w:hAnsi="Times New Roman" w:cs="Times New Roman"/>
          <w:b/>
          <w:color w:val="000000"/>
          <w:sz w:val="24"/>
          <w:szCs w:val="24"/>
        </w:rPr>
        <w:t xml:space="preserve"> в базовому 2010 р.</w:t>
      </w:r>
    </w:p>
    <w:p w14:paraId="73453006" w14:textId="77777777" w:rsidR="00C82386" w:rsidRDefault="00E66F64" w:rsidP="00284EAF">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4.9.</w:t>
      </w:r>
    </w:p>
    <w:p w14:paraId="40504D78" w14:textId="77777777" w:rsidR="0051794F" w:rsidRDefault="004341E7" w:rsidP="00284EAF">
      <w:pPr>
        <w:pBdr>
          <w:top w:val="nil"/>
          <w:left w:val="nil"/>
          <w:bottom w:val="nil"/>
          <w:right w:val="nil"/>
          <w:between w:val="nil"/>
        </w:pBdr>
        <w:spacing w:after="0" w:line="240" w:lineRule="auto"/>
        <w:ind w:left="720" w:hanging="720"/>
        <w:jc w:val="center"/>
      </w:pPr>
      <w:sdt>
        <w:sdtPr>
          <w:tag w:val="goog_rdk_71"/>
          <w:id w:val="-887256808"/>
        </w:sdtPr>
        <w:sdtEndPr/>
        <w:sdtContent>
          <w:r w:rsidR="0051794F">
            <w:rPr>
              <w:rFonts w:ascii="Gungsuh" w:eastAsia="Gungsuh" w:hAnsi="Gungsuh" w:cs="Gungsuh"/>
              <w:color w:val="000000"/>
              <w:sz w:val="24"/>
              <w:szCs w:val="24"/>
            </w:rPr>
            <w:t xml:space="preserve">Кадастр викидів для обраних секторів кінцевих споживачів за базовий 2010 р., т </w:t>
          </w:r>
          <w:r w:rsidR="0051794F" w:rsidRPr="0051794F">
            <w:rPr>
              <w:rFonts w:ascii="Gungsuh" w:eastAsia="Gungsuh" w:hAnsi="Gungsuh" w:cs="Gungsuh"/>
              <w:color w:val="000000"/>
              <w:sz w:val="24"/>
              <w:szCs w:val="24"/>
            </w:rPr>
            <w:t>СО</w:t>
          </w:r>
          <w:r w:rsidR="0051794F" w:rsidRPr="0051794F">
            <w:rPr>
              <w:rFonts w:ascii="Gungsuh" w:eastAsia="Gungsuh" w:hAnsi="Gungsuh" w:cs="Gungsuh"/>
              <w:color w:val="000000"/>
              <w:sz w:val="24"/>
              <w:szCs w:val="24"/>
              <w:vertAlign w:val="subscript"/>
            </w:rPr>
            <w:t>2 екв.</w:t>
          </w:r>
        </w:sdtContent>
      </w:sdt>
    </w:p>
    <w:tbl>
      <w:tblPr>
        <w:tblW w:w="14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55"/>
        <w:gridCol w:w="953"/>
        <w:gridCol w:w="1134"/>
        <w:gridCol w:w="1196"/>
        <w:gridCol w:w="1069"/>
        <w:gridCol w:w="1056"/>
        <w:gridCol w:w="1074"/>
        <w:gridCol w:w="1134"/>
        <w:gridCol w:w="1110"/>
        <w:gridCol w:w="1132"/>
        <w:gridCol w:w="1096"/>
      </w:tblGrid>
      <w:tr w:rsidR="0051794F" w:rsidRPr="00F475A1" w14:paraId="73E3E68B" w14:textId="77777777" w:rsidTr="00284EAF">
        <w:trPr>
          <w:trHeight w:val="330"/>
        </w:trPr>
        <w:tc>
          <w:tcPr>
            <w:tcW w:w="2547" w:type="dxa"/>
            <w:vMerge w:val="restart"/>
            <w:shd w:val="clear" w:color="auto" w:fill="auto"/>
            <w:tcMar>
              <w:left w:w="28" w:type="dxa"/>
              <w:right w:w="28" w:type="dxa"/>
            </w:tcMar>
            <w:vAlign w:val="center"/>
            <w:hideMark/>
          </w:tcPr>
          <w:p w14:paraId="63B8BA33" w14:textId="77777777" w:rsidR="0051794F" w:rsidRPr="00F475A1" w:rsidRDefault="0051794F" w:rsidP="0051794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Сектори кінцевих споживачів енергоресурсів</w:t>
            </w:r>
          </w:p>
        </w:tc>
        <w:tc>
          <w:tcPr>
            <w:tcW w:w="12109" w:type="dxa"/>
            <w:gridSpan w:val="11"/>
            <w:tcBorders>
              <w:bottom w:val="single" w:sz="4" w:space="0" w:color="auto"/>
            </w:tcBorders>
            <w:shd w:val="clear" w:color="auto" w:fill="auto"/>
            <w:tcMar>
              <w:left w:w="28" w:type="dxa"/>
              <w:right w:w="28" w:type="dxa"/>
            </w:tcMar>
            <w:vAlign w:val="center"/>
            <w:hideMark/>
          </w:tcPr>
          <w:p w14:paraId="40CC2CEA" w14:textId="77777777" w:rsidR="0051794F" w:rsidRPr="00F475A1" w:rsidRDefault="0051794F" w:rsidP="0051794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Обсяги споживання енергоресурсів</w:t>
            </w:r>
          </w:p>
        </w:tc>
      </w:tr>
      <w:tr w:rsidR="0051794F" w:rsidRPr="00F475A1" w14:paraId="41ECE654" w14:textId="77777777" w:rsidTr="00284EAF">
        <w:trPr>
          <w:trHeight w:val="330"/>
        </w:trPr>
        <w:tc>
          <w:tcPr>
            <w:tcW w:w="2547" w:type="dxa"/>
            <w:vMerge/>
            <w:tcBorders>
              <w:right w:val="single" w:sz="4" w:space="0" w:color="auto"/>
            </w:tcBorders>
            <w:tcMar>
              <w:left w:w="28" w:type="dxa"/>
              <w:right w:w="28" w:type="dxa"/>
            </w:tcMar>
            <w:vAlign w:val="center"/>
            <w:hideMark/>
          </w:tcPr>
          <w:p w14:paraId="09106506" w14:textId="77777777" w:rsidR="0051794F" w:rsidRPr="00F475A1" w:rsidRDefault="0051794F" w:rsidP="0051794F">
            <w:pPr>
              <w:spacing w:after="0" w:line="240" w:lineRule="auto"/>
              <w:rPr>
                <w:rFonts w:ascii="Times New Roman" w:eastAsia="Times New Roman" w:hAnsi="Times New Roman" w:cs="Times New Roman"/>
                <w:b/>
                <w:bCs/>
              </w:rPr>
            </w:pP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005AD7"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Електрична енергія</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A9C4C6"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Теплова енергія</w:t>
            </w:r>
          </w:p>
        </w:tc>
        <w:tc>
          <w:tcPr>
            <w:tcW w:w="6663"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EE8B2A" w14:textId="77777777" w:rsidR="0051794F" w:rsidRPr="00F475A1" w:rsidRDefault="0051794F" w:rsidP="0051794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Викопні види палива</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5D9CA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Деревина (дрова, щепа, пелети)</w:t>
            </w:r>
          </w:p>
        </w:tc>
        <w:tc>
          <w:tcPr>
            <w:tcW w:w="222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50918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Разом</w:t>
            </w:r>
          </w:p>
        </w:tc>
      </w:tr>
      <w:tr w:rsidR="0051794F" w:rsidRPr="00F475A1" w14:paraId="159291D4" w14:textId="77777777" w:rsidTr="00284EAF">
        <w:trPr>
          <w:trHeight w:val="1260"/>
        </w:trPr>
        <w:tc>
          <w:tcPr>
            <w:tcW w:w="2547" w:type="dxa"/>
            <w:vMerge/>
            <w:tcBorders>
              <w:right w:val="single" w:sz="4" w:space="0" w:color="auto"/>
            </w:tcBorders>
            <w:tcMar>
              <w:left w:w="28" w:type="dxa"/>
              <w:right w:w="28" w:type="dxa"/>
            </w:tcMar>
            <w:vAlign w:val="center"/>
            <w:hideMark/>
          </w:tcPr>
          <w:p w14:paraId="384CF404" w14:textId="77777777" w:rsidR="0051794F" w:rsidRPr="00F475A1" w:rsidRDefault="0051794F" w:rsidP="0051794F">
            <w:pPr>
              <w:spacing w:after="0" w:line="240" w:lineRule="auto"/>
              <w:rPr>
                <w:rFonts w:ascii="Times New Roman" w:eastAsia="Times New Roman" w:hAnsi="Times New Roman" w:cs="Times New Roman"/>
                <w:b/>
                <w:bCs/>
              </w:rPr>
            </w:pPr>
          </w:p>
        </w:tc>
        <w:tc>
          <w:tcPr>
            <w:tcW w:w="115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3A0C93" w14:textId="77777777" w:rsidR="0051794F" w:rsidRPr="00F475A1" w:rsidRDefault="0051794F" w:rsidP="0051794F">
            <w:pPr>
              <w:spacing w:after="0" w:line="240" w:lineRule="auto"/>
              <w:rPr>
                <w:rFonts w:ascii="Times New Roman" w:eastAsia="Times New Roman" w:hAnsi="Times New Roman" w:cs="Times New Roman"/>
              </w:rPr>
            </w:pPr>
          </w:p>
        </w:tc>
        <w:tc>
          <w:tcPr>
            <w:tcW w:w="95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015C68" w14:textId="77777777" w:rsidR="0051794F" w:rsidRPr="00F475A1" w:rsidRDefault="0051794F" w:rsidP="0051794F">
            <w:pPr>
              <w:spacing w:after="0" w:line="240" w:lineRule="auto"/>
              <w:rPr>
                <w:rFonts w:ascii="Times New Roman" w:eastAsia="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430F79" w14:textId="77777777" w:rsidR="0051794F" w:rsidRPr="00F475A1" w:rsidRDefault="00070D50" w:rsidP="0051794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19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B55B03"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Скраплений газ (п</w:t>
            </w:r>
            <w:r w:rsidR="0051794F" w:rsidRPr="00F475A1">
              <w:rPr>
                <w:rFonts w:ascii="Times New Roman" w:eastAsia="Times New Roman" w:hAnsi="Times New Roman" w:cs="Times New Roman"/>
              </w:rPr>
              <w:t>ропан-бутан)</w:t>
            </w:r>
          </w:p>
        </w:tc>
        <w:tc>
          <w:tcPr>
            <w:tcW w:w="106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717BEC"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Дизель</w:t>
            </w:r>
          </w:p>
        </w:tc>
        <w:tc>
          <w:tcPr>
            <w:tcW w:w="105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ABF40F"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Бензин</w:t>
            </w:r>
          </w:p>
        </w:tc>
        <w:tc>
          <w:tcPr>
            <w:tcW w:w="107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BECFE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Вугілля кам'яне (суббітумінозне)</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39718E"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Торф (брикети, напів</w:t>
            </w:r>
            <w:r w:rsidR="00846850">
              <w:rPr>
                <w:rFonts w:ascii="Times New Roman" w:eastAsia="Times New Roman" w:hAnsi="Times New Roman" w:cs="Times New Roman"/>
              </w:rPr>
              <w:t>-</w:t>
            </w:r>
            <w:r w:rsidRPr="00F475A1">
              <w:rPr>
                <w:rFonts w:ascii="Times New Roman" w:eastAsia="Times New Roman" w:hAnsi="Times New Roman" w:cs="Times New Roman"/>
              </w:rPr>
              <w:t>б</w:t>
            </w:r>
            <w:r w:rsidR="0034572D" w:rsidRPr="00F475A1">
              <w:rPr>
                <w:rFonts w:ascii="Times New Roman" w:eastAsia="Times New Roman" w:hAnsi="Times New Roman" w:cs="Times New Roman"/>
              </w:rPr>
              <w:t>р</w:t>
            </w:r>
            <w:r w:rsidRPr="00F475A1">
              <w:rPr>
                <w:rFonts w:ascii="Times New Roman" w:eastAsia="Times New Roman" w:hAnsi="Times New Roman" w:cs="Times New Roman"/>
              </w:rPr>
              <w:t>икети)</w:t>
            </w:r>
          </w:p>
        </w:tc>
        <w:tc>
          <w:tcPr>
            <w:tcW w:w="1110"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C642BB" w14:textId="77777777" w:rsidR="0051794F" w:rsidRPr="00F475A1" w:rsidRDefault="0051794F" w:rsidP="0051794F">
            <w:pPr>
              <w:spacing w:after="0" w:line="240" w:lineRule="auto"/>
              <w:rPr>
                <w:rFonts w:ascii="Times New Roman" w:eastAsia="Times New Roman" w:hAnsi="Times New Roman" w:cs="Times New Roman"/>
                <w:color w:val="000000"/>
              </w:rPr>
            </w:pPr>
          </w:p>
        </w:tc>
        <w:tc>
          <w:tcPr>
            <w:tcW w:w="2228" w:type="dxa"/>
            <w:gridSpan w:val="2"/>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FADA39" w14:textId="77777777" w:rsidR="0051794F" w:rsidRPr="00F475A1" w:rsidRDefault="0051794F" w:rsidP="0051794F">
            <w:pPr>
              <w:spacing w:after="0" w:line="240" w:lineRule="auto"/>
              <w:rPr>
                <w:rFonts w:ascii="Times New Roman" w:eastAsia="Times New Roman" w:hAnsi="Times New Roman" w:cs="Times New Roman"/>
                <w:color w:val="000000"/>
              </w:rPr>
            </w:pPr>
          </w:p>
        </w:tc>
      </w:tr>
      <w:tr w:rsidR="0051794F" w:rsidRPr="00F475A1" w14:paraId="3D6A14D1" w14:textId="77777777" w:rsidTr="00284EAF">
        <w:trPr>
          <w:trHeight w:val="645"/>
        </w:trPr>
        <w:tc>
          <w:tcPr>
            <w:tcW w:w="2547" w:type="dxa"/>
            <w:vMerge/>
            <w:tcBorders>
              <w:right w:val="single" w:sz="4" w:space="0" w:color="auto"/>
            </w:tcBorders>
            <w:tcMar>
              <w:left w:w="28" w:type="dxa"/>
              <w:right w:w="28" w:type="dxa"/>
            </w:tcMar>
            <w:vAlign w:val="center"/>
            <w:hideMark/>
          </w:tcPr>
          <w:p w14:paraId="32F132AE" w14:textId="77777777" w:rsidR="0051794F" w:rsidRPr="00F475A1" w:rsidRDefault="0051794F" w:rsidP="0051794F">
            <w:pPr>
              <w:spacing w:after="0" w:line="240" w:lineRule="auto"/>
              <w:rPr>
                <w:rFonts w:ascii="Times New Roman" w:eastAsia="Times New Roman" w:hAnsi="Times New Roman" w:cs="Times New Roman"/>
                <w:b/>
                <w:bCs/>
              </w:rPr>
            </w:pPr>
          </w:p>
        </w:tc>
        <w:tc>
          <w:tcPr>
            <w:tcW w:w="1155"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6A320DAF"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Pr="00F475A1">
              <w:rPr>
                <w:rFonts w:ascii="Times New Roman" w:eastAsia="Times New Roman" w:hAnsi="Times New Roman" w:cs="Times New Roman"/>
              </w:rPr>
              <w:t>, тонн</w:t>
            </w:r>
          </w:p>
        </w:tc>
        <w:tc>
          <w:tcPr>
            <w:tcW w:w="953"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1D43CF90"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Pr="00F475A1">
              <w:rPr>
                <w:rFonts w:ascii="Times New Roman" w:eastAsia="Times New Roman" w:hAnsi="Times New Roman" w:cs="Times New Roman"/>
              </w:rPr>
              <w:t>, тонн</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4D7E8ABF"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Pr="00F475A1">
              <w:rPr>
                <w:rFonts w:ascii="Times New Roman" w:eastAsia="Times New Roman" w:hAnsi="Times New Roman" w:cs="Times New Roman"/>
              </w:rPr>
              <w:t>, тонн</w:t>
            </w:r>
          </w:p>
        </w:tc>
        <w:tc>
          <w:tcPr>
            <w:tcW w:w="119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0A9DAD83"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Pr="00F475A1">
              <w:rPr>
                <w:rFonts w:ascii="Times New Roman" w:eastAsia="Times New Roman" w:hAnsi="Times New Roman" w:cs="Times New Roman"/>
              </w:rPr>
              <w:t>, тонн</w:t>
            </w:r>
          </w:p>
        </w:tc>
        <w:tc>
          <w:tcPr>
            <w:tcW w:w="1069"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5E16322F"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05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14902CBD"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07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7A110534"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7A01A515"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110"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2C2706F3"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132"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7042568A" w14:textId="77777777" w:rsidR="0051794F" w:rsidRPr="00F475A1" w:rsidRDefault="0034572D"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СО</w:t>
            </w:r>
            <w:r w:rsidRPr="00F475A1">
              <w:rPr>
                <w:rFonts w:ascii="Times New Roman" w:eastAsia="Times New Roman" w:hAnsi="Times New Roman" w:cs="Times New Roman"/>
                <w:vertAlign w:val="subscript"/>
              </w:rPr>
              <w:t>2 екв.</w:t>
            </w:r>
            <w:r w:rsidR="0051794F" w:rsidRPr="00F475A1">
              <w:rPr>
                <w:rFonts w:ascii="Times New Roman" w:eastAsia="Times New Roman" w:hAnsi="Times New Roman" w:cs="Times New Roman"/>
              </w:rPr>
              <w:t>, тонн</w:t>
            </w:r>
          </w:p>
        </w:tc>
        <w:tc>
          <w:tcPr>
            <w:tcW w:w="109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hideMark/>
          </w:tcPr>
          <w:p w14:paraId="3BFEEA2A" w14:textId="77777777" w:rsidR="0051794F" w:rsidRPr="00F475A1" w:rsidRDefault="0051794F" w:rsidP="0051794F">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w:t>
            </w:r>
          </w:p>
        </w:tc>
      </w:tr>
      <w:tr w:rsidR="0051794F" w:rsidRPr="00F475A1" w14:paraId="700C0312" w14:textId="77777777" w:rsidTr="00284EAF">
        <w:trPr>
          <w:trHeight w:val="330"/>
        </w:trPr>
        <w:tc>
          <w:tcPr>
            <w:tcW w:w="12428" w:type="dxa"/>
            <w:gridSpan w:val="10"/>
            <w:shd w:val="clear" w:color="000000" w:fill="F2F2F2"/>
            <w:tcMar>
              <w:left w:w="28" w:type="dxa"/>
              <w:right w:w="28" w:type="dxa"/>
            </w:tcMar>
            <w:vAlign w:val="center"/>
            <w:hideMark/>
          </w:tcPr>
          <w:p w14:paraId="29AD5B50"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Муніципальні будівлі, обладнання/об'єкти</w:t>
            </w:r>
          </w:p>
        </w:tc>
        <w:tc>
          <w:tcPr>
            <w:tcW w:w="1132" w:type="dxa"/>
            <w:shd w:val="clear" w:color="000000" w:fill="F2F2F2"/>
            <w:noWrap/>
            <w:tcMar>
              <w:left w:w="28" w:type="dxa"/>
              <w:right w:w="28" w:type="dxa"/>
            </w:tcMar>
            <w:vAlign w:val="center"/>
            <w:hideMark/>
          </w:tcPr>
          <w:p w14:paraId="7A94C72D"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52 533,7</w:t>
            </w:r>
          </w:p>
        </w:tc>
        <w:tc>
          <w:tcPr>
            <w:tcW w:w="1096" w:type="dxa"/>
            <w:shd w:val="clear" w:color="000000" w:fill="F2F2F2"/>
            <w:noWrap/>
            <w:tcMar>
              <w:left w:w="28" w:type="dxa"/>
              <w:right w:w="28" w:type="dxa"/>
            </w:tcMar>
            <w:vAlign w:val="center"/>
            <w:hideMark/>
          </w:tcPr>
          <w:p w14:paraId="38AA159D"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7,1%</w:t>
            </w:r>
          </w:p>
        </w:tc>
      </w:tr>
      <w:tr w:rsidR="0051794F" w:rsidRPr="00F475A1" w14:paraId="504B5C45" w14:textId="77777777" w:rsidTr="00284EAF">
        <w:trPr>
          <w:trHeight w:val="600"/>
        </w:trPr>
        <w:tc>
          <w:tcPr>
            <w:tcW w:w="2547" w:type="dxa"/>
            <w:shd w:val="clear" w:color="auto" w:fill="auto"/>
            <w:tcMar>
              <w:left w:w="28" w:type="dxa"/>
              <w:right w:w="28" w:type="dxa"/>
            </w:tcMar>
            <w:vAlign w:val="center"/>
            <w:hideMark/>
          </w:tcPr>
          <w:p w14:paraId="17DEBDFB"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Муніципальні будівлі, обладнання/об'єкти</w:t>
            </w:r>
          </w:p>
        </w:tc>
        <w:tc>
          <w:tcPr>
            <w:tcW w:w="1155" w:type="dxa"/>
            <w:shd w:val="clear" w:color="000000" w:fill="B8CCE4"/>
            <w:tcMar>
              <w:left w:w="28" w:type="dxa"/>
              <w:right w:w="28" w:type="dxa"/>
            </w:tcMar>
            <w:vAlign w:val="center"/>
            <w:hideMark/>
          </w:tcPr>
          <w:p w14:paraId="572B0426"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7 302,4</w:t>
            </w:r>
          </w:p>
        </w:tc>
        <w:tc>
          <w:tcPr>
            <w:tcW w:w="953" w:type="dxa"/>
            <w:shd w:val="clear" w:color="000000" w:fill="B8CCE4"/>
            <w:tcMar>
              <w:left w:w="28" w:type="dxa"/>
              <w:right w:w="28" w:type="dxa"/>
            </w:tcMar>
            <w:vAlign w:val="center"/>
            <w:hideMark/>
          </w:tcPr>
          <w:p w14:paraId="284B07F6"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15 965,7</w:t>
            </w:r>
          </w:p>
        </w:tc>
        <w:tc>
          <w:tcPr>
            <w:tcW w:w="1134" w:type="dxa"/>
            <w:shd w:val="clear" w:color="000000" w:fill="B8CCE4"/>
            <w:tcMar>
              <w:left w:w="28" w:type="dxa"/>
              <w:right w:w="28" w:type="dxa"/>
            </w:tcMar>
            <w:vAlign w:val="center"/>
            <w:hideMark/>
          </w:tcPr>
          <w:p w14:paraId="617D404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2 315,6</w:t>
            </w:r>
          </w:p>
        </w:tc>
        <w:tc>
          <w:tcPr>
            <w:tcW w:w="1196" w:type="dxa"/>
            <w:shd w:val="clear" w:color="000000" w:fill="B8CCE4"/>
            <w:tcMar>
              <w:left w:w="28" w:type="dxa"/>
              <w:right w:w="28" w:type="dxa"/>
            </w:tcMar>
            <w:vAlign w:val="center"/>
            <w:hideMark/>
          </w:tcPr>
          <w:p w14:paraId="1D17004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69" w:type="dxa"/>
            <w:shd w:val="clear" w:color="000000" w:fill="B8CCE4"/>
            <w:tcMar>
              <w:left w:w="28" w:type="dxa"/>
              <w:right w:w="28" w:type="dxa"/>
            </w:tcMar>
            <w:vAlign w:val="center"/>
            <w:hideMark/>
          </w:tcPr>
          <w:p w14:paraId="1672E85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6" w:type="dxa"/>
            <w:shd w:val="clear" w:color="000000" w:fill="B8CCE4"/>
            <w:tcMar>
              <w:left w:w="28" w:type="dxa"/>
              <w:right w:w="28" w:type="dxa"/>
            </w:tcMar>
            <w:vAlign w:val="center"/>
            <w:hideMark/>
          </w:tcPr>
          <w:p w14:paraId="5147C95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74" w:type="dxa"/>
            <w:shd w:val="clear" w:color="000000" w:fill="B8CCE4"/>
            <w:tcMar>
              <w:left w:w="28" w:type="dxa"/>
              <w:right w:w="28" w:type="dxa"/>
            </w:tcMar>
            <w:vAlign w:val="center"/>
            <w:hideMark/>
          </w:tcPr>
          <w:p w14:paraId="4A04CF6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244,2</w:t>
            </w:r>
          </w:p>
        </w:tc>
        <w:tc>
          <w:tcPr>
            <w:tcW w:w="1134" w:type="dxa"/>
            <w:shd w:val="clear" w:color="000000" w:fill="B8CCE4"/>
            <w:tcMar>
              <w:left w:w="28" w:type="dxa"/>
              <w:right w:w="28" w:type="dxa"/>
            </w:tcMar>
            <w:vAlign w:val="center"/>
            <w:hideMark/>
          </w:tcPr>
          <w:p w14:paraId="3594608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18470B6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32" w:type="dxa"/>
            <w:shd w:val="clear" w:color="000000" w:fill="B8CCE4"/>
            <w:tcMar>
              <w:left w:w="28" w:type="dxa"/>
              <w:right w:w="28" w:type="dxa"/>
            </w:tcMar>
            <w:vAlign w:val="center"/>
            <w:hideMark/>
          </w:tcPr>
          <w:p w14:paraId="788D66C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25 827,9</w:t>
            </w:r>
          </w:p>
        </w:tc>
        <w:tc>
          <w:tcPr>
            <w:tcW w:w="1096" w:type="dxa"/>
            <w:shd w:val="clear" w:color="000000" w:fill="B8CCE4"/>
            <w:noWrap/>
            <w:tcMar>
              <w:left w:w="28" w:type="dxa"/>
              <w:right w:w="28" w:type="dxa"/>
            </w:tcMar>
            <w:vAlign w:val="center"/>
            <w:hideMark/>
          </w:tcPr>
          <w:p w14:paraId="63ABC90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3,5%</w:t>
            </w:r>
          </w:p>
        </w:tc>
      </w:tr>
      <w:tr w:rsidR="0051794F" w:rsidRPr="00F475A1" w14:paraId="5CABB540" w14:textId="77777777" w:rsidTr="00284EAF">
        <w:trPr>
          <w:trHeight w:val="600"/>
        </w:trPr>
        <w:tc>
          <w:tcPr>
            <w:tcW w:w="2547" w:type="dxa"/>
            <w:shd w:val="clear" w:color="auto" w:fill="auto"/>
            <w:tcMar>
              <w:left w:w="28" w:type="dxa"/>
              <w:right w:w="28" w:type="dxa"/>
            </w:tcMar>
            <w:vAlign w:val="center"/>
            <w:hideMark/>
          </w:tcPr>
          <w:p w14:paraId="761F9748"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Муніципальне освітлення</w:t>
            </w:r>
          </w:p>
        </w:tc>
        <w:tc>
          <w:tcPr>
            <w:tcW w:w="1155" w:type="dxa"/>
            <w:shd w:val="clear" w:color="000000" w:fill="B8CCE4"/>
            <w:tcMar>
              <w:left w:w="28" w:type="dxa"/>
              <w:right w:w="28" w:type="dxa"/>
            </w:tcMar>
            <w:vAlign w:val="center"/>
            <w:hideMark/>
          </w:tcPr>
          <w:p w14:paraId="34FBABA7"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2 036,9</w:t>
            </w:r>
          </w:p>
        </w:tc>
        <w:tc>
          <w:tcPr>
            <w:tcW w:w="953" w:type="dxa"/>
            <w:shd w:val="clear" w:color="000000" w:fill="B8CCE4"/>
            <w:tcMar>
              <w:left w:w="28" w:type="dxa"/>
              <w:right w:w="28" w:type="dxa"/>
            </w:tcMar>
            <w:vAlign w:val="center"/>
            <w:hideMark/>
          </w:tcPr>
          <w:p w14:paraId="35F5014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133FECCC"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96" w:type="dxa"/>
            <w:shd w:val="clear" w:color="000000" w:fill="B8CCE4"/>
            <w:tcMar>
              <w:left w:w="28" w:type="dxa"/>
              <w:right w:w="28" w:type="dxa"/>
            </w:tcMar>
            <w:vAlign w:val="center"/>
            <w:hideMark/>
          </w:tcPr>
          <w:p w14:paraId="166C115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69" w:type="dxa"/>
            <w:shd w:val="clear" w:color="000000" w:fill="B8CCE4"/>
            <w:tcMar>
              <w:left w:w="28" w:type="dxa"/>
              <w:right w:w="28" w:type="dxa"/>
            </w:tcMar>
            <w:vAlign w:val="center"/>
            <w:hideMark/>
          </w:tcPr>
          <w:p w14:paraId="4AE14E0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6" w:type="dxa"/>
            <w:shd w:val="clear" w:color="000000" w:fill="B8CCE4"/>
            <w:tcMar>
              <w:left w:w="28" w:type="dxa"/>
              <w:right w:w="28" w:type="dxa"/>
            </w:tcMar>
            <w:vAlign w:val="center"/>
            <w:hideMark/>
          </w:tcPr>
          <w:p w14:paraId="407A66B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74" w:type="dxa"/>
            <w:shd w:val="clear" w:color="000000" w:fill="B8CCE4"/>
            <w:tcMar>
              <w:left w:w="28" w:type="dxa"/>
              <w:right w:w="28" w:type="dxa"/>
            </w:tcMar>
            <w:vAlign w:val="center"/>
            <w:hideMark/>
          </w:tcPr>
          <w:p w14:paraId="32C23E1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60D59FA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7E5A773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2" w:type="dxa"/>
            <w:shd w:val="clear" w:color="000000" w:fill="B8CCE4"/>
            <w:tcMar>
              <w:left w:w="28" w:type="dxa"/>
              <w:right w:w="28" w:type="dxa"/>
            </w:tcMar>
            <w:vAlign w:val="center"/>
            <w:hideMark/>
          </w:tcPr>
          <w:p w14:paraId="6F9CB05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2 036,9</w:t>
            </w:r>
          </w:p>
        </w:tc>
        <w:tc>
          <w:tcPr>
            <w:tcW w:w="1096" w:type="dxa"/>
            <w:shd w:val="clear" w:color="000000" w:fill="B8CCE4"/>
            <w:noWrap/>
            <w:tcMar>
              <w:left w:w="28" w:type="dxa"/>
              <w:right w:w="28" w:type="dxa"/>
            </w:tcMar>
            <w:vAlign w:val="center"/>
            <w:hideMark/>
          </w:tcPr>
          <w:p w14:paraId="692572A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0,3%</w:t>
            </w:r>
          </w:p>
        </w:tc>
      </w:tr>
      <w:tr w:rsidR="0051794F" w:rsidRPr="00F475A1" w14:paraId="252E9468" w14:textId="77777777" w:rsidTr="00284EAF">
        <w:trPr>
          <w:trHeight w:val="300"/>
        </w:trPr>
        <w:tc>
          <w:tcPr>
            <w:tcW w:w="2547" w:type="dxa"/>
            <w:shd w:val="clear" w:color="auto" w:fill="auto"/>
            <w:tcMar>
              <w:left w:w="28" w:type="dxa"/>
              <w:right w:w="28" w:type="dxa"/>
            </w:tcMar>
            <w:vAlign w:val="center"/>
            <w:hideMark/>
          </w:tcPr>
          <w:p w14:paraId="42553084"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155" w:type="dxa"/>
            <w:shd w:val="clear" w:color="000000" w:fill="B8CCE4"/>
            <w:tcMar>
              <w:left w:w="28" w:type="dxa"/>
              <w:right w:w="28" w:type="dxa"/>
            </w:tcMar>
            <w:vAlign w:val="center"/>
            <w:hideMark/>
          </w:tcPr>
          <w:p w14:paraId="593310B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24 668,8</w:t>
            </w:r>
          </w:p>
        </w:tc>
        <w:tc>
          <w:tcPr>
            <w:tcW w:w="953" w:type="dxa"/>
            <w:shd w:val="clear" w:color="000000" w:fill="B8CCE4"/>
            <w:tcMar>
              <w:left w:w="28" w:type="dxa"/>
              <w:right w:w="28" w:type="dxa"/>
            </w:tcMar>
            <w:vAlign w:val="center"/>
            <w:hideMark/>
          </w:tcPr>
          <w:p w14:paraId="17162C3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48AB99C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96" w:type="dxa"/>
            <w:shd w:val="clear" w:color="000000" w:fill="B8CCE4"/>
            <w:tcMar>
              <w:left w:w="28" w:type="dxa"/>
              <w:right w:w="28" w:type="dxa"/>
            </w:tcMar>
            <w:vAlign w:val="center"/>
            <w:hideMark/>
          </w:tcPr>
          <w:p w14:paraId="7A37C9B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69" w:type="dxa"/>
            <w:shd w:val="clear" w:color="000000" w:fill="B8CCE4"/>
            <w:tcMar>
              <w:left w:w="28" w:type="dxa"/>
              <w:right w:w="28" w:type="dxa"/>
            </w:tcMar>
            <w:vAlign w:val="center"/>
            <w:hideMark/>
          </w:tcPr>
          <w:p w14:paraId="4942BB4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6" w:type="dxa"/>
            <w:shd w:val="clear" w:color="000000" w:fill="B8CCE4"/>
            <w:tcMar>
              <w:left w:w="28" w:type="dxa"/>
              <w:right w:w="28" w:type="dxa"/>
            </w:tcMar>
            <w:vAlign w:val="center"/>
            <w:hideMark/>
          </w:tcPr>
          <w:p w14:paraId="2016D95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74" w:type="dxa"/>
            <w:shd w:val="clear" w:color="000000" w:fill="B8CCE4"/>
            <w:tcMar>
              <w:left w:w="28" w:type="dxa"/>
              <w:right w:w="28" w:type="dxa"/>
            </w:tcMar>
            <w:vAlign w:val="center"/>
            <w:hideMark/>
          </w:tcPr>
          <w:p w14:paraId="279C12C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29893D07"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10" w:type="dxa"/>
            <w:shd w:val="clear" w:color="000000" w:fill="B8CCE4"/>
            <w:tcMar>
              <w:left w:w="28" w:type="dxa"/>
              <w:right w:w="28" w:type="dxa"/>
            </w:tcMar>
            <w:vAlign w:val="center"/>
            <w:hideMark/>
          </w:tcPr>
          <w:p w14:paraId="10F6FC2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2" w:type="dxa"/>
            <w:shd w:val="clear" w:color="000000" w:fill="B8CCE4"/>
            <w:tcMar>
              <w:left w:w="28" w:type="dxa"/>
              <w:right w:w="28" w:type="dxa"/>
            </w:tcMar>
            <w:vAlign w:val="center"/>
            <w:hideMark/>
          </w:tcPr>
          <w:p w14:paraId="6E33358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24 668,8</w:t>
            </w:r>
          </w:p>
        </w:tc>
        <w:tc>
          <w:tcPr>
            <w:tcW w:w="1096" w:type="dxa"/>
            <w:shd w:val="clear" w:color="000000" w:fill="B8CCE4"/>
            <w:noWrap/>
            <w:tcMar>
              <w:left w:w="28" w:type="dxa"/>
              <w:right w:w="28" w:type="dxa"/>
            </w:tcMar>
            <w:vAlign w:val="center"/>
            <w:hideMark/>
          </w:tcPr>
          <w:p w14:paraId="3D98ACE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3,3%</w:t>
            </w:r>
          </w:p>
        </w:tc>
      </w:tr>
      <w:tr w:rsidR="0051794F" w:rsidRPr="00F475A1" w14:paraId="04371536" w14:textId="77777777" w:rsidTr="00284EAF">
        <w:trPr>
          <w:trHeight w:val="330"/>
        </w:trPr>
        <w:tc>
          <w:tcPr>
            <w:tcW w:w="12428" w:type="dxa"/>
            <w:gridSpan w:val="10"/>
            <w:shd w:val="clear" w:color="000000" w:fill="F2F2F2"/>
            <w:tcMar>
              <w:left w:w="28" w:type="dxa"/>
              <w:right w:w="28" w:type="dxa"/>
            </w:tcMar>
            <w:vAlign w:val="center"/>
            <w:hideMark/>
          </w:tcPr>
          <w:p w14:paraId="070015E1"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Третинні (не муніципальні) будівлі, обладнання/об'єкти</w:t>
            </w:r>
          </w:p>
        </w:tc>
        <w:tc>
          <w:tcPr>
            <w:tcW w:w="1132" w:type="dxa"/>
            <w:shd w:val="clear" w:color="000000" w:fill="F2F2F2"/>
            <w:noWrap/>
            <w:tcMar>
              <w:left w:w="28" w:type="dxa"/>
              <w:right w:w="28" w:type="dxa"/>
            </w:tcMar>
            <w:vAlign w:val="center"/>
            <w:hideMark/>
          </w:tcPr>
          <w:p w14:paraId="2953FFC7"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105 304,2</w:t>
            </w:r>
          </w:p>
        </w:tc>
        <w:tc>
          <w:tcPr>
            <w:tcW w:w="1096" w:type="dxa"/>
            <w:shd w:val="clear" w:color="000000" w:fill="F2F2F2"/>
            <w:noWrap/>
            <w:tcMar>
              <w:left w:w="28" w:type="dxa"/>
              <w:right w:w="28" w:type="dxa"/>
            </w:tcMar>
            <w:vAlign w:val="center"/>
            <w:hideMark/>
          </w:tcPr>
          <w:p w14:paraId="16884120"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14,2%</w:t>
            </w:r>
          </w:p>
        </w:tc>
      </w:tr>
      <w:tr w:rsidR="0051794F" w:rsidRPr="00F475A1" w14:paraId="6BBCC0AE" w14:textId="77777777" w:rsidTr="00284EAF">
        <w:trPr>
          <w:trHeight w:val="927"/>
        </w:trPr>
        <w:tc>
          <w:tcPr>
            <w:tcW w:w="2547" w:type="dxa"/>
            <w:shd w:val="clear" w:color="auto" w:fill="auto"/>
            <w:tcMar>
              <w:left w:w="28" w:type="dxa"/>
              <w:right w:w="28" w:type="dxa"/>
            </w:tcMar>
            <w:vAlign w:val="center"/>
            <w:hideMark/>
          </w:tcPr>
          <w:p w14:paraId="50356F04"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Будівлі, обладнання/об'єкти сфери послуг (не муніципальні)</w:t>
            </w:r>
          </w:p>
        </w:tc>
        <w:tc>
          <w:tcPr>
            <w:tcW w:w="1155" w:type="dxa"/>
            <w:shd w:val="clear" w:color="000000" w:fill="B8CCE4"/>
            <w:tcMar>
              <w:left w:w="28" w:type="dxa"/>
              <w:right w:w="28" w:type="dxa"/>
            </w:tcMar>
            <w:vAlign w:val="center"/>
            <w:hideMark/>
          </w:tcPr>
          <w:p w14:paraId="2CF0C15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953" w:type="dxa"/>
            <w:shd w:val="clear" w:color="000000" w:fill="B8CCE4"/>
            <w:tcMar>
              <w:left w:w="28" w:type="dxa"/>
              <w:right w:w="28" w:type="dxa"/>
            </w:tcMar>
            <w:vAlign w:val="center"/>
            <w:hideMark/>
          </w:tcPr>
          <w:p w14:paraId="2B36457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5C134FF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96" w:type="dxa"/>
            <w:shd w:val="clear" w:color="000000" w:fill="B8CCE4"/>
            <w:tcMar>
              <w:left w:w="28" w:type="dxa"/>
              <w:right w:w="28" w:type="dxa"/>
            </w:tcMar>
            <w:vAlign w:val="center"/>
            <w:hideMark/>
          </w:tcPr>
          <w:p w14:paraId="6BF005A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69" w:type="dxa"/>
            <w:shd w:val="clear" w:color="000000" w:fill="B8CCE4"/>
            <w:tcMar>
              <w:left w:w="28" w:type="dxa"/>
              <w:right w:w="28" w:type="dxa"/>
            </w:tcMar>
            <w:vAlign w:val="center"/>
            <w:hideMark/>
          </w:tcPr>
          <w:p w14:paraId="7216D89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6" w:type="dxa"/>
            <w:shd w:val="clear" w:color="000000" w:fill="B8CCE4"/>
            <w:tcMar>
              <w:left w:w="28" w:type="dxa"/>
              <w:right w:w="28" w:type="dxa"/>
            </w:tcMar>
            <w:vAlign w:val="center"/>
            <w:hideMark/>
          </w:tcPr>
          <w:p w14:paraId="717F5CA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74" w:type="dxa"/>
            <w:shd w:val="clear" w:color="000000" w:fill="B8CCE4"/>
            <w:tcMar>
              <w:left w:w="28" w:type="dxa"/>
              <w:right w:w="28" w:type="dxa"/>
            </w:tcMar>
            <w:vAlign w:val="center"/>
            <w:hideMark/>
          </w:tcPr>
          <w:p w14:paraId="3E13AB5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13A04B7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10" w:type="dxa"/>
            <w:shd w:val="clear" w:color="000000" w:fill="B8CCE4"/>
            <w:tcMar>
              <w:left w:w="28" w:type="dxa"/>
              <w:right w:w="28" w:type="dxa"/>
            </w:tcMar>
            <w:vAlign w:val="center"/>
            <w:hideMark/>
          </w:tcPr>
          <w:p w14:paraId="077C1CE7"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2" w:type="dxa"/>
            <w:shd w:val="clear" w:color="000000" w:fill="B8CCE4"/>
            <w:tcMar>
              <w:left w:w="28" w:type="dxa"/>
              <w:right w:w="28" w:type="dxa"/>
            </w:tcMar>
            <w:vAlign w:val="center"/>
            <w:hideMark/>
          </w:tcPr>
          <w:p w14:paraId="3F6D896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096" w:type="dxa"/>
            <w:shd w:val="clear" w:color="000000" w:fill="B8CCE4"/>
            <w:noWrap/>
            <w:tcMar>
              <w:left w:w="28" w:type="dxa"/>
              <w:right w:w="28" w:type="dxa"/>
            </w:tcMar>
            <w:vAlign w:val="center"/>
            <w:hideMark/>
          </w:tcPr>
          <w:p w14:paraId="683C48A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r>
      <w:tr w:rsidR="0051794F" w:rsidRPr="00F475A1" w14:paraId="58AFD5B1" w14:textId="77777777" w:rsidTr="00284EAF">
        <w:trPr>
          <w:trHeight w:val="300"/>
        </w:trPr>
        <w:tc>
          <w:tcPr>
            <w:tcW w:w="2547" w:type="dxa"/>
            <w:shd w:val="clear" w:color="auto" w:fill="auto"/>
            <w:tcMar>
              <w:left w:w="28" w:type="dxa"/>
              <w:right w:w="28" w:type="dxa"/>
            </w:tcMar>
            <w:vAlign w:val="center"/>
            <w:hideMark/>
          </w:tcPr>
          <w:p w14:paraId="4338B704"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155" w:type="dxa"/>
            <w:shd w:val="clear" w:color="000000" w:fill="B8CCE4"/>
            <w:tcMar>
              <w:left w:w="28" w:type="dxa"/>
              <w:right w:w="28" w:type="dxa"/>
            </w:tcMar>
            <w:vAlign w:val="center"/>
            <w:hideMark/>
          </w:tcPr>
          <w:p w14:paraId="71D1EC3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32 190,2</w:t>
            </w:r>
          </w:p>
        </w:tc>
        <w:tc>
          <w:tcPr>
            <w:tcW w:w="953" w:type="dxa"/>
            <w:shd w:val="clear" w:color="000000" w:fill="B8CCE4"/>
            <w:tcMar>
              <w:left w:w="28" w:type="dxa"/>
              <w:right w:w="28" w:type="dxa"/>
            </w:tcMar>
            <w:vAlign w:val="center"/>
            <w:hideMark/>
          </w:tcPr>
          <w:p w14:paraId="1D5F088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9 568,4</w:t>
            </w:r>
          </w:p>
        </w:tc>
        <w:tc>
          <w:tcPr>
            <w:tcW w:w="1134" w:type="dxa"/>
            <w:shd w:val="clear" w:color="000000" w:fill="B8CCE4"/>
            <w:tcMar>
              <w:left w:w="28" w:type="dxa"/>
              <w:right w:w="28" w:type="dxa"/>
            </w:tcMar>
            <w:vAlign w:val="center"/>
            <w:hideMark/>
          </w:tcPr>
          <w:p w14:paraId="61D76FF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59 740,8</w:t>
            </w:r>
          </w:p>
        </w:tc>
        <w:tc>
          <w:tcPr>
            <w:tcW w:w="1196" w:type="dxa"/>
            <w:shd w:val="clear" w:color="000000" w:fill="B8CCE4"/>
            <w:tcMar>
              <w:left w:w="28" w:type="dxa"/>
              <w:right w:w="28" w:type="dxa"/>
            </w:tcMar>
            <w:vAlign w:val="center"/>
            <w:hideMark/>
          </w:tcPr>
          <w:p w14:paraId="20EF752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69" w:type="dxa"/>
            <w:shd w:val="clear" w:color="000000" w:fill="B8CCE4"/>
            <w:tcMar>
              <w:left w:w="28" w:type="dxa"/>
              <w:right w:w="28" w:type="dxa"/>
            </w:tcMar>
            <w:vAlign w:val="center"/>
            <w:hideMark/>
          </w:tcPr>
          <w:p w14:paraId="1D6D4C6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6" w:type="dxa"/>
            <w:shd w:val="clear" w:color="000000" w:fill="B8CCE4"/>
            <w:tcMar>
              <w:left w:w="28" w:type="dxa"/>
              <w:right w:w="28" w:type="dxa"/>
            </w:tcMar>
            <w:vAlign w:val="center"/>
            <w:hideMark/>
          </w:tcPr>
          <w:p w14:paraId="0517F37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74" w:type="dxa"/>
            <w:shd w:val="clear" w:color="000000" w:fill="B8CCE4"/>
            <w:tcMar>
              <w:left w:w="28" w:type="dxa"/>
              <w:right w:w="28" w:type="dxa"/>
            </w:tcMar>
            <w:vAlign w:val="center"/>
            <w:hideMark/>
          </w:tcPr>
          <w:p w14:paraId="02E3E7F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3 510,0</w:t>
            </w:r>
          </w:p>
        </w:tc>
        <w:tc>
          <w:tcPr>
            <w:tcW w:w="1134" w:type="dxa"/>
            <w:shd w:val="clear" w:color="000000" w:fill="B8CCE4"/>
            <w:tcMar>
              <w:left w:w="28" w:type="dxa"/>
              <w:right w:w="28" w:type="dxa"/>
            </w:tcMar>
            <w:vAlign w:val="center"/>
            <w:hideMark/>
          </w:tcPr>
          <w:p w14:paraId="7C477A8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246,2</w:t>
            </w:r>
          </w:p>
        </w:tc>
        <w:tc>
          <w:tcPr>
            <w:tcW w:w="1110" w:type="dxa"/>
            <w:shd w:val="clear" w:color="000000" w:fill="B8CCE4"/>
            <w:tcMar>
              <w:left w:w="28" w:type="dxa"/>
              <w:right w:w="28" w:type="dxa"/>
            </w:tcMar>
            <w:vAlign w:val="center"/>
            <w:hideMark/>
          </w:tcPr>
          <w:p w14:paraId="5D34479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48,6</w:t>
            </w:r>
          </w:p>
        </w:tc>
        <w:tc>
          <w:tcPr>
            <w:tcW w:w="1132" w:type="dxa"/>
            <w:shd w:val="clear" w:color="000000" w:fill="B8CCE4"/>
            <w:tcMar>
              <w:left w:w="28" w:type="dxa"/>
              <w:right w:w="28" w:type="dxa"/>
            </w:tcMar>
            <w:vAlign w:val="center"/>
            <w:hideMark/>
          </w:tcPr>
          <w:p w14:paraId="39AA4AD6"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105 304,2</w:t>
            </w:r>
          </w:p>
        </w:tc>
        <w:tc>
          <w:tcPr>
            <w:tcW w:w="1096" w:type="dxa"/>
            <w:shd w:val="clear" w:color="000000" w:fill="B8CCE4"/>
            <w:noWrap/>
            <w:tcMar>
              <w:left w:w="28" w:type="dxa"/>
              <w:right w:w="28" w:type="dxa"/>
            </w:tcMar>
            <w:vAlign w:val="center"/>
            <w:hideMark/>
          </w:tcPr>
          <w:p w14:paraId="5505C05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14,2%</w:t>
            </w:r>
          </w:p>
        </w:tc>
      </w:tr>
      <w:tr w:rsidR="0051794F" w:rsidRPr="00F475A1" w14:paraId="46BADE5F" w14:textId="77777777" w:rsidTr="00284EAF">
        <w:trPr>
          <w:trHeight w:val="300"/>
        </w:trPr>
        <w:tc>
          <w:tcPr>
            <w:tcW w:w="2547" w:type="dxa"/>
            <w:shd w:val="clear" w:color="000000" w:fill="F2F2F2"/>
            <w:tcMar>
              <w:left w:w="28" w:type="dxa"/>
              <w:right w:w="28" w:type="dxa"/>
            </w:tcMar>
            <w:vAlign w:val="center"/>
            <w:hideMark/>
          </w:tcPr>
          <w:p w14:paraId="6CA5C136"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Житлові будинки</w:t>
            </w:r>
          </w:p>
        </w:tc>
        <w:tc>
          <w:tcPr>
            <w:tcW w:w="1155" w:type="dxa"/>
            <w:shd w:val="clear" w:color="000000" w:fill="F2F2F2"/>
            <w:tcMar>
              <w:left w:w="28" w:type="dxa"/>
              <w:right w:w="28" w:type="dxa"/>
            </w:tcMar>
            <w:vAlign w:val="center"/>
            <w:hideMark/>
          </w:tcPr>
          <w:p w14:paraId="2DF2339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101 625,4</w:t>
            </w:r>
          </w:p>
        </w:tc>
        <w:tc>
          <w:tcPr>
            <w:tcW w:w="953" w:type="dxa"/>
            <w:shd w:val="clear" w:color="000000" w:fill="F2F2F2"/>
            <w:tcMar>
              <w:left w:w="28" w:type="dxa"/>
              <w:right w:w="28" w:type="dxa"/>
            </w:tcMar>
            <w:vAlign w:val="center"/>
            <w:hideMark/>
          </w:tcPr>
          <w:p w14:paraId="3FB3301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153 486,9</w:t>
            </w:r>
          </w:p>
        </w:tc>
        <w:tc>
          <w:tcPr>
            <w:tcW w:w="1134" w:type="dxa"/>
            <w:shd w:val="clear" w:color="000000" w:fill="F2F2F2"/>
            <w:tcMar>
              <w:left w:w="28" w:type="dxa"/>
              <w:right w:w="28" w:type="dxa"/>
            </w:tcMar>
            <w:vAlign w:val="center"/>
            <w:hideMark/>
          </w:tcPr>
          <w:p w14:paraId="5849516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186 108,3</w:t>
            </w:r>
          </w:p>
        </w:tc>
        <w:tc>
          <w:tcPr>
            <w:tcW w:w="1196" w:type="dxa"/>
            <w:shd w:val="clear" w:color="000000" w:fill="F2F2F2"/>
            <w:tcMar>
              <w:left w:w="28" w:type="dxa"/>
              <w:right w:w="28" w:type="dxa"/>
            </w:tcMar>
            <w:vAlign w:val="center"/>
            <w:hideMark/>
          </w:tcPr>
          <w:p w14:paraId="0FC3BA5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69" w:type="dxa"/>
            <w:shd w:val="clear" w:color="000000" w:fill="F2F2F2"/>
            <w:tcMar>
              <w:left w:w="28" w:type="dxa"/>
              <w:right w:w="28" w:type="dxa"/>
            </w:tcMar>
            <w:vAlign w:val="center"/>
            <w:hideMark/>
          </w:tcPr>
          <w:p w14:paraId="62D0C67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56" w:type="dxa"/>
            <w:shd w:val="clear" w:color="000000" w:fill="F2F2F2"/>
            <w:tcMar>
              <w:left w:w="28" w:type="dxa"/>
              <w:right w:w="28" w:type="dxa"/>
            </w:tcMar>
            <w:vAlign w:val="center"/>
            <w:hideMark/>
          </w:tcPr>
          <w:p w14:paraId="7E59BC4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74" w:type="dxa"/>
            <w:shd w:val="clear" w:color="000000" w:fill="F2F2F2"/>
            <w:tcMar>
              <w:left w:w="28" w:type="dxa"/>
              <w:right w:w="28" w:type="dxa"/>
            </w:tcMar>
            <w:vAlign w:val="center"/>
            <w:hideMark/>
          </w:tcPr>
          <w:p w14:paraId="5399113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1 512,0</w:t>
            </w:r>
          </w:p>
        </w:tc>
        <w:tc>
          <w:tcPr>
            <w:tcW w:w="1134" w:type="dxa"/>
            <w:shd w:val="clear" w:color="000000" w:fill="F2F2F2"/>
            <w:tcMar>
              <w:left w:w="28" w:type="dxa"/>
              <w:right w:w="28" w:type="dxa"/>
            </w:tcMar>
            <w:vAlign w:val="center"/>
            <w:hideMark/>
          </w:tcPr>
          <w:p w14:paraId="3235422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782,2</w:t>
            </w:r>
          </w:p>
        </w:tc>
        <w:tc>
          <w:tcPr>
            <w:tcW w:w="1110" w:type="dxa"/>
            <w:shd w:val="clear" w:color="000000" w:fill="F2F2F2"/>
            <w:tcMar>
              <w:left w:w="28" w:type="dxa"/>
              <w:right w:w="28" w:type="dxa"/>
            </w:tcMar>
            <w:vAlign w:val="center"/>
            <w:hideMark/>
          </w:tcPr>
          <w:p w14:paraId="40383C6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24,1</w:t>
            </w:r>
          </w:p>
        </w:tc>
        <w:tc>
          <w:tcPr>
            <w:tcW w:w="1132" w:type="dxa"/>
            <w:shd w:val="clear" w:color="000000" w:fill="F2F2F2"/>
            <w:tcMar>
              <w:left w:w="28" w:type="dxa"/>
              <w:right w:w="28" w:type="dxa"/>
            </w:tcMar>
            <w:vAlign w:val="center"/>
            <w:hideMark/>
          </w:tcPr>
          <w:p w14:paraId="4871C13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443 538,8</w:t>
            </w:r>
          </w:p>
        </w:tc>
        <w:tc>
          <w:tcPr>
            <w:tcW w:w="1096" w:type="dxa"/>
            <w:shd w:val="clear" w:color="000000" w:fill="F2F2F2"/>
            <w:noWrap/>
            <w:tcMar>
              <w:left w:w="28" w:type="dxa"/>
              <w:right w:w="28" w:type="dxa"/>
            </w:tcMar>
            <w:vAlign w:val="center"/>
            <w:hideMark/>
          </w:tcPr>
          <w:p w14:paraId="4F0D27C0"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59,7%</w:t>
            </w:r>
          </w:p>
        </w:tc>
      </w:tr>
      <w:tr w:rsidR="0051794F" w:rsidRPr="00F475A1" w14:paraId="22948E64" w14:textId="77777777" w:rsidTr="00284EAF">
        <w:trPr>
          <w:trHeight w:val="330"/>
        </w:trPr>
        <w:tc>
          <w:tcPr>
            <w:tcW w:w="12428" w:type="dxa"/>
            <w:gridSpan w:val="10"/>
            <w:shd w:val="clear" w:color="000000" w:fill="F2F2F2"/>
            <w:tcMar>
              <w:left w:w="28" w:type="dxa"/>
              <w:right w:w="28" w:type="dxa"/>
            </w:tcMar>
            <w:vAlign w:val="center"/>
            <w:hideMark/>
          </w:tcPr>
          <w:p w14:paraId="09F1B264"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Транспорт</w:t>
            </w:r>
          </w:p>
        </w:tc>
        <w:tc>
          <w:tcPr>
            <w:tcW w:w="1132" w:type="dxa"/>
            <w:shd w:val="clear" w:color="000000" w:fill="F2F2F2"/>
            <w:noWrap/>
            <w:tcMar>
              <w:left w:w="28" w:type="dxa"/>
              <w:right w:w="28" w:type="dxa"/>
            </w:tcMar>
            <w:vAlign w:val="center"/>
            <w:hideMark/>
          </w:tcPr>
          <w:p w14:paraId="18554B92"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89 947,8</w:t>
            </w:r>
          </w:p>
        </w:tc>
        <w:tc>
          <w:tcPr>
            <w:tcW w:w="1096" w:type="dxa"/>
            <w:shd w:val="clear" w:color="000000" w:fill="F2F2F2"/>
            <w:noWrap/>
            <w:tcMar>
              <w:left w:w="28" w:type="dxa"/>
              <w:right w:w="28" w:type="dxa"/>
            </w:tcMar>
            <w:vAlign w:val="center"/>
            <w:hideMark/>
          </w:tcPr>
          <w:p w14:paraId="1B40DE15"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12,1%</w:t>
            </w:r>
          </w:p>
        </w:tc>
      </w:tr>
      <w:tr w:rsidR="0051794F" w:rsidRPr="00F475A1" w14:paraId="03976086" w14:textId="77777777" w:rsidTr="00284EAF">
        <w:trPr>
          <w:trHeight w:val="600"/>
        </w:trPr>
        <w:tc>
          <w:tcPr>
            <w:tcW w:w="2547" w:type="dxa"/>
            <w:shd w:val="clear" w:color="auto" w:fill="auto"/>
            <w:tcMar>
              <w:left w:w="28" w:type="dxa"/>
              <w:right w:w="28" w:type="dxa"/>
            </w:tcMar>
            <w:vAlign w:val="center"/>
            <w:hideMark/>
          </w:tcPr>
          <w:p w14:paraId="38276619"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Муніципальний транспорт</w:t>
            </w:r>
          </w:p>
        </w:tc>
        <w:tc>
          <w:tcPr>
            <w:tcW w:w="1155" w:type="dxa"/>
            <w:shd w:val="clear" w:color="000000" w:fill="B8CCE4"/>
            <w:tcMar>
              <w:left w:w="28" w:type="dxa"/>
              <w:right w:w="28" w:type="dxa"/>
            </w:tcMar>
            <w:vAlign w:val="center"/>
            <w:hideMark/>
          </w:tcPr>
          <w:p w14:paraId="5A84A9C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953" w:type="dxa"/>
            <w:shd w:val="clear" w:color="000000" w:fill="B8CCE4"/>
            <w:tcMar>
              <w:left w:w="28" w:type="dxa"/>
              <w:right w:w="28" w:type="dxa"/>
            </w:tcMar>
            <w:vAlign w:val="center"/>
            <w:hideMark/>
          </w:tcPr>
          <w:p w14:paraId="2E71B87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5BBF900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96" w:type="dxa"/>
            <w:shd w:val="clear" w:color="000000" w:fill="B8CCE4"/>
            <w:tcMar>
              <w:left w:w="28" w:type="dxa"/>
              <w:right w:w="28" w:type="dxa"/>
            </w:tcMar>
            <w:vAlign w:val="center"/>
            <w:hideMark/>
          </w:tcPr>
          <w:p w14:paraId="5F04C5E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069" w:type="dxa"/>
            <w:shd w:val="clear" w:color="000000" w:fill="B8CCE4"/>
            <w:tcMar>
              <w:left w:w="28" w:type="dxa"/>
              <w:right w:w="28" w:type="dxa"/>
            </w:tcMar>
            <w:vAlign w:val="center"/>
            <w:hideMark/>
          </w:tcPr>
          <w:p w14:paraId="5529816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1 514,6</w:t>
            </w:r>
          </w:p>
        </w:tc>
        <w:tc>
          <w:tcPr>
            <w:tcW w:w="1056" w:type="dxa"/>
            <w:shd w:val="clear" w:color="000000" w:fill="B8CCE4"/>
            <w:tcMar>
              <w:left w:w="28" w:type="dxa"/>
              <w:right w:w="28" w:type="dxa"/>
            </w:tcMar>
            <w:vAlign w:val="center"/>
            <w:hideMark/>
          </w:tcPr>
          <w:p w14:paraId="3455BBE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1 839,5</w:t>
            </w:r>
          </w:p>
        </w:tc>
        <w:tc>
          <w:tcPr>
            <w:tcW w:w="1074" w:type="dxa"/>
            <w:shd w:val="clear" w:color="000000" w:fill="B8CCE4"/>
            <w:tcMar>
              <w:left w:w="28" w:type="dxa"/>
              <w:right w:w="28" w:type="dxa"/>
            </w:tcMar>
            <w:vAlign w:val="center"/>
            <w:hideMark/>
          </w:tcPr>
          <w:p w14:paraId="58179B2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1CA85DD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0224FB2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2" w:type="dxa"/>
            <w:shd w:val="clear" w:color="000000" w:fill="B8CCE4"/>
            <w:tcMar>
              <w:left w:w="28" w:type="dxa"/>
              <w:right w:w="28" w:type="dxa"/>
            </w:tcMar>
            <w:vAlign w:val="center"/>
            <w:hideMark/>
          </w:tcPr>
          <w:p w14:paraId="5FC44FF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3 354,0</w:t>
            </w:r>
          </w:p>
        </w:tc>
        <w:tc>
          <w:tcPr>
            <w:tcW w:w="1096" w:type="dxa"/>
            <w:shd w:val="clear" w:color="000000" w:fill="B8CCE4"/>
            <w:noWrap/>
            <w:tcMar>
              <w:left w:w="28" w:type="dxa"/>
              <w:right w:w="28" w:type="dxa"/>
            </w:tcMar>
            <w:vAlign w:val="center"/>
            <w:hideMark/>
          </w:tcPr>
          <w:p w14:paraId="093CFBD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0,5%</w:t>
            </w:r>
          </w:p>
        </w:tc>
      </w:tr>
      <w:tr w:rsidR="0051794F" w:rsidRPr="00F475A1" w14:paraId="42EEF97F" w14:textId="77777777" w:rsidTr="00284EAF">
        <w:trPr>
          <w:trHeight w:val="600"/>
        </w:trPr>
        <w:tc>
          <w:tcPr>
            <w:tcW w:w="2547" w:type="dxa"/>
            <w:shd w:val="clear" w:color="auto" w:fill="auto"/>
            <w:tcMar>
              <w:left w:w="28" w:type="dxa"/>
              <w:right w:w="28" w:type="dxa"/>
            </w:tcMar>
            <w:vAlign w:val="center"/>
            <w:hideMark/>
          </w:tcPr>
          <w:p w14:paraId="615EA53B"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Громадський транспорт</w:t>
            </w:r>
          </w:p>
        </w:tc>
        <w:tc>
          <w:tcPr>
            <w:tcW w:w="1155" w:type="dxa"/>
            <w:shd w:val="clear" w:color="000000" w:fill="B8CCE4"/>
            <w:tcMar>
              <w:left w:w="28" w:type="dxa"/>
              <w:right w:w="28" w:type="dxa"/>
            </w:tcMar>
            <w:vAlign w:val="center"/>
            <w:hideMark/>
          </w:tcPr>
          <w:p w14:paraId="06F5BD4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8 924,8</w:t>
            </w:r>
          </w:p>
        </w:tc>
        <w:tc>
          <w:tcPr>
            <w:tcW w:w="953" w:type="dxa"/>
            <w:shd w:val="clear" w:color="000000" w:fill="B8CCE4"/>
            <w:tcMar>
              <w:left w:w="28" w:type="dxa"/>
              <w:right w:w="28" w:type="dxa"/>
            </w:tcMar>
            <w:vAlign w:val="center"/>
            <w:hideMark/>
          </w:tcPr>
          <w:p w14:paraId="1C69FA8C"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28BD8C7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18 798,4</w:t>
            </w:r>
          </w:p>
        </w:tc>
        <w:tc>
          <w:tcPr>
            <w:tcW w:w="1196" w:type="dxa"/>
            <w:shd w:val="clear" w:color="000000" w:fill="B8CCE4"/>
            <w:tcMar>
              <w:left w:w="28" w:type="dxa"/>
              <w:right w:w="28" w:type="dxa"/>
            </w:tcMar>
            <w:vAlign w:val="center"/>
            <w:hideMark/>
          </w:tcPr>
          <w:p w14:paraId="0AC2DFF8"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69" w:type="dxa"/>
            <w:shd w:val="clear" w:color="000000" w:fill="B8CCE4"/>
            <w:tcMar>
              <w:left w:w="28" w:type="dxa"/>
              <w:right w:w="28" w:type="dxa"/>
            </w:tcMar>
            <w:vAlign w:val="center"/>
            <w:hideMark/>
          </w:tcPr>
          <w:p w14:paraId="7116D0A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4 596,3</w:t>
            </w:r>
          </w:p>
        </w:tc>
        <w:tc>
          <w:tcPr>
            <w:tcW w:w="1056" w:type="dxa"/>
            <w:shd w:val="clear" w:color="000000" w:fill="B8CCE4"/>
            <w:tcMar>
              <w:left w:w="28" w:type="dxa"/>
              <w:right w:w="28" w:type="dxa"/>
            </w:tcMar>
            <w:vAlign w:val="center"/>
            <w:hideMark/>
          </w:tcPr>
          <w:p w14:paraId="1350AE22"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074" w:type="dxa"/>
            <w:shd w:val="clear" w:color="000000" w:fill="B8CCE4"/>
            <w:tcMar>
              <w:left w:w="28" w:type="dxa"/>
              <w:right w:w="28" w:type="dxa"/>
            </w:tcMar>
            <w:vAlign w:val="center"/>
            <w:hideMark/>
          </w:tcPr>
          <w:p w14:paraId="1934F8D7"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203B033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12F6DD7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2" w:type="dxa"/>
            <w:shd w:val="clear" w:color="000000" w:fill="B8CCE4"/>
            <w:tcMar>
              <w:left w:w="28" w:type="dxa"/>
              <w:right w:w="28" w:type="dxa"/>
            </w:tcMar>
            <w:vAlign w:val="center"/>
            <w:hideMark/>
          </w:tcPr>
          <w:p w14:paraId="239A4C6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32 319,5</w:t>
            </w:r>
          </w:p>
        </w:tc>
        <w:tc>
          <w:tcPr>
            <w:tcW w:w="1096" w:type="dxa"/>
            <w:shd w:val="clear" w:color="000000" w:fill="B8CCE4"/>
            <w:noWrap/>
            <w:tcMar>
              <w:left w:w="28" w:type="dxa"/>
              <w:right w:w="28" w:type="dxa"/>
            </w:tcMar>
            <w:vAlign w:val="center"/>
            <w:hideMark/>
          </w:tcPr>
          <w:p w14:paraId="7172247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4,3%</w:t>
            </w:r>
          </w:p>
        </w:tc>
      </w:tr>
      <w:tr w:rsidR="0051794F" w:rsidRPr="00F475A1" w14:paraId="5D043573" w14:textId="77777777" w:rsidTr="00284EAF">
        <w:trPr>
          <w:trHeight w:val="600"/>
        </w:trPr>
        <w:tc>
          <w:tcPr>
            <w:tcW w:w="2547" w:type="dxa"/>
            <w:shd w:val="clear" w:color="auto" w:fill="auto"/>
            <w:tcMar>
              <w:left w:w="28" w:type="dxa"/>
              <w:right w:w="28" w:type="dxa"/>
            </w:tcMar>
            <w:vAlign w:val="center"/>
            <w:hideMark/>
          </w:tcPr>
          <w:p w14:paraId="64E66390"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Приватний та комерційний транспорт</w:t>
            </w:r>
          </w:p>
        </w:tc>
        <w:tc>
          <w:tcPr>
            <w:tcW w:w="1155" w:type="dxa"/>
            <w:shd w:val="clear" w:color="000000" w:fill="B8CCE4"/>
            <w:tcMar>
              <w:left w:w="28" w:type="dxa"/>
              <w:right w:w="28" w:type="dxa"/>
            </w:tcMar>
            <w:vAlign w:val="center"/>
            <w:hideMark/>
          </w:tcPr>
          <w:p w14:paraId="758670C3"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4,5</w:t>
            </w:r>
          </w:p>
        </w:tc>
        <w:tc>
          <w:tcPr>
            <w:tcW w:w="953" w:type="dxa"/>
            <w:shd w:val="clear" w:color="000000" w:fill="B8CCE4"/>
            <w:tcMar>
              <w:left w:w="28" w:type="dxa"/>
              <w:right w:w="28" w:type="dxa"/>
            </w:tcMar>
            <w:vAlign w:val="center"/>
            <w:hideMark/>
          </w:tcPr>
          <w:p w14:paraId="41A0E6C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54C2E09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405,3</w:t>
            </w:r>
          </w:p>
        </w:tc>
        <w:tc>
          <w:tcPr>
            <w:tcW w:w="1196" w:type="dxa"/>
            <w:shd w:val="clear" w:color="000000" w:fill="B8CCE4"/>
            <w:tcMar>
              <w:left w:w="28" w:type="dxa"/>
              <w:right w:w="28" w:type="dxa"/>
            </w:tcMar>
            <w:vAlign w:val="center"/>
            <w:hideMark/>
          </w:tcPr>
          <w:p w14:paraId="53301CA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10 683,6</w:t>
            </w:r>
          </w:p>
        </w:tc>
        <w:tc>
          <w:tcPr>
            <w:tcW w:w="1069" w:type="dxa"/>
            <w:shd w:val="clear" w:color="000000" w:fill="B8CCE4"/>
            <w:tcMar>
              <w:left w:w="28" w:type="dxa"/>
              <w:right w:w="28" w:type="dxa"/>
            </w:tcMar>
            <w:vAlign w:val="center"/>
            <w:hideMark/>
          </w:tcPr>
          <w:p w14:paraId="77C8649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28 059,2</w:t>
            </w:r>
          </w:p>
        </w:tc>
        <w:tc>
          <w:tcPr>
            <w:tcW w:w="1056" w:type="dxa"/>
            <w:shd w:val="clear" w:color="000000" w:fill="B8CCE4"/>
            <w:tcMar>
              <w:left w:w="28" w:type="dxa"/>
              <w:right w:w="28" w:type="dxa"/>
            </w:tcMar>
            <w:vAlign w:val="center"/>
            <w:hideMark/>
          </w:tcPr>
          <w:p w14:paraId="5DC910C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15 121,6</w:t>
            </w:r>
          </w:p>
        </w:tc>
        <w:tc>
          <w:tcPr>
            <w:tcW w:w="1074" w:type="dxa"/>
            <w:shd w:val="clear" w:color="000000" w:fill="B8CCE4"/>
            <w:tcMar>
              <w:left w:w="28" w:type="dxa"/>
              <w:right w:w="28" w:type="dxa"/>
            </w:tcMar>
            <w:vAlign w:val="center"/>
            <w:hideMark/>
          </w:tcPr>
          <w:p w14:paraId="0596C885"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04973856"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3859008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2" w:type="dxa"/>
            <w:shd w:val="clear" w:color="000000" w:fill="B8CCE4"/>
            <w:tcMar>
              <w:left w:w="28" w:type="dxa"/>
              <w:right w:w="28" w:type="dxa"/>
            </w:tcMar>
            <w:vAlign w:val="center"/>
            <w:hideMark/>
          </w:tcPr>
          <w:p w14:paraId="4976FBBC"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54 274,3</w:t>
            </w:r>
          </w:p>
        </w:tc>
        <w:tc>
          <w:tcPr>
            <w:tcW w:w="1096" w:type="dxa"/>
            <w:shd w:val="clear" w:color="000000" w:fill="B8CCE4"/>
            <w:noWrap/>
            <w:tcMar>
              <w:left w:w="28" w:type="dxa"/>
              <w:right w:w="28" w:type="dxa"/>
            </w:tcMar>
            <w:vAlign w:val="center"/>
            <w:hideMark/>
          </w:tcPr>
          <w:p w14:paraId="74A44551"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7,3%</w:t>
            </w:r>
          </w:p>
        </w:tc>
      </w:tr>
      <w:tr w:rsidR="0051794F" w:rsidRPr="00F475A1" w14:paraId="0E11EE9B" w14:textId="77777777" w:rsidTr="00284EAF">
        <w:trPr>
          <w:trHeight w:val="330"/>
        </w:trPr>
        <w:tc>
          <w:tcPr>
            <w:tcW w:w="12428" w:type="dxa"/>
            <w:gridSpan w:val="10"/>
            <w:shd w:val="clear" w:color="000000" w:fill="F2F2F2"/>
            <w:tcMar>
              <w:left w:w="28" w:type="dxa"/>
              <w:right w:w="28" w:type="dxa"/>
            </w:tcMar>
            <w:vAlign w:val="center"/>
            <w:hideMark/>
          </w:tcPr>
          <w:p w14:paraId="058374E4"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Інші</w:t>
            </w:r>
          </w:p>
        </w:tc>
        <w:tc>
          <w:tcPr>
            <w:tcW w:w="1132" w:type="dxa"/>
            <w:shd w:val="clear" w:color="000000" w:fill="F2F2F2"/>
            <w:noWrap/>
            <w:tcMar>
              <w:left w:w="28" w:type="dxa"/>
              <w:right w:w="28" w:type="dxa"/>
            </w:tcMar>
            <w:vAlign w:val="center"/>
            <w:hideMark/>
          </w:tcPr>
          <w:p w14:paraId="1F2808D3"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0,0</w:t>
            </w:r>
          </w:p>
        </w:tc>
        <w:tc>
          <w:tcPr>
            <w:tcW w:w="1096" w:type="dxa"/>
            <w:shd w:val="clear" w:color="000000" w:fill="F2F2F2"/>
            <w:noWrap/>
            <w:tcMar>
              <w:left w:w="28" w:type="dxa"/>
              <w:right w:w="28" w:type="dxa"/>
            </w:tcMar>
            <w:vAlign w:val="center"/>
            <w:hideMark/>
          </w:tcPr>
          <w:p w14:paraId="5DE750C1"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0,0%</w:t>
            </w:r>
          </w:p>
        </w:tc>
      </w:tr>
      <w:tr w:rsidR="0051794F" w:rsidRPr="00F475A1" w14:paraId="2F2E6C84" w14:textId="77777777" w:rsidTr="00284EAF">
        <w:trPr>
          <w:trHeight w:val="600"/>
        </w:trPr>
        <w:tc>
          <w:tcPr>
            <w:tcW w:w="2547" w:type="dxa"/>
            <w:shd w:val="clear" w:color="auto" w:fill="auto"/>
            <w:tcMar>
              <w:left w:w="28" w:type="dxa"/>
              <w:right w:w="28" w:type="dxa"/>
            </w:tcMar>
            <w:vAlign w:val="center"/>
            <w:hideMark/>
          </w:tcPr>
          <w:p w14:paraId="60FB78C3"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 - управління відходами</w:t>
            </w:r>
          </w:p>
        </w:tc>
        <w:tc>
          <w:tcPr>
            <w:tcW w:w="1155" w:type="dxa"/>
            <w:shd w:val="clear" w:color="000000" w:fill="B8CCE4"/>
            <w:tcMar>
              <w:left w:w="28" w:type="dxa"/>
              <w:right w:w="28" w:type="dxa"/>
            </w:tcMar>
            <w:vAlign w:val="center"/>
            <w:hideMark/>
          </w:tcPr>
          <w:p w14:paraId="2A54C37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953" w:type="dxa"/>
            <w:shd w:val="clear" w:color="000000" w:fill="B8CCE4"/>
            <w:tcMar>
              <w:left w:w="28" w:type="dxa"/>
              <w:right w:w="28" w:type="dxa"/>
            </w:tcMar>
            <w:vAlign w:val="center"/>
            <w:hideMark/>
          </w:tcPr>
          <w:p w14:paraId="10DC1C1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672DEF4C"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196" w:type="dxa"/>
            <w:shd w:val="clear" w:color="000000" w:fill="B8CCE4"/>
            <w:tcMar>
              <w:left w:w="28" w:type="dxa"/>
              <w:right w:w="28" w:type="dxa"/>
            </w:tcMar>
            <w:vAlign w:val="center"/>
            <w:hideMark/>
          </w:tcPr>
          <w:p w14:paraId="6842341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69" w:type="dxa"/>
            <w:shd w:val="clear" w:color="000000" w:fill="B8CCE4"/>
            <w:tcMar>
              <w:left w:w="28" w:type="dxa"/>
              <w:right w:w="28" w:type="dxa"/>
            </w:tcMar>
            <w:vAlign w:val="center"/>
            <w:hideMark/>
          </w:tcPr>
          <w:p w14:paraId="4ED61FE4"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56" w:type="dxa"/>
            <w:shd w:val="clear" w:color="000000" w:fill="B8CCE4"/>
            <w:tcMar>
              <w:left w:w="28" w:type="dxa"/>
              <w:right w:w="28" w:type="dxa"/>
            </w:tcMar>
            <w:vAlign w:val="center"/>
            <w:hideMark/>
          </w:tcPr>
          <w:p w14:paraId="0792422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074" w:type="dxa"/>
            <w:shd w:val="clear" w:color="000000" w:fill="B8CCE4"/>
            <w:tcMar>
              <w:left w:w="28" w:type="dxa"/>
              <w:right w:w="28" w:type="dxa"/>
            </w:tcMar>
            <w:vAlign w:val="center"/>
            <w:hideMark/>
          </w:tcPr>
          <w:p w14:paraId="10FF865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35D2753A"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НІ</w:t>
            </w:r>
          </w:p>
        </w:tc>
        <w:tc>
          <w:tcPr>
            <w:tcW w:w="1110" w:type="dxa"/>
            <w:shd w:val="clear" w:color="000000" w:fill="B8CCE4"/>
            <w:tcMar>
              <w:left w:w="28" w:type="dxa"/>
              <w:right w:w="28" w:type="dxa"/>
            </w:tcMar>
            <w:vAlign w:val="center"/>
            <w:hideMark/>
          </w:tcPr>
          <w:p w14:paraId="65E80AEF"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ВІ</w:t>
            </w:r>
          </w:p>
        </w:tc>
        <w:tc>
          <w:tcPr>
            <w:tcW w:w="1132" w:type="dxa"/>
            <w:shd w:val="clear" w:color="000000" w:fill="B8CCE4"/>
            <w:tcMar>
              <w:left w:w="28" w:type="dxa"/>
              <w:right w:w="28" w:type="dxa"/>
            </w:tcMar>
            <w:vAlign w:val="center"/>
            <w:hideMark/>
          </w:tcPr>
          <w:p w14:paraId="11F85D00"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c>
          <w:tcPr>
            <w:tcW w:w="1096" w:type="dxa"/>
            <w:shd w:val="clear" w:color="000000" w:fill="B8CCE4"/>
            <w:noWrap/>
            <w:tcMar>
              <w:left w:w="28" w:type="dxa"/>
              <w:right w:w="28" w:type="dxa"/>
            </w:tcMar>
            <w:vAlign w:val="center"/>
            <w:hideMark/>
          </w:tcPr>
          <w:p w14:paraId="00148B3E"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0,0%</w:t>
            </w:r>
          </w:p>
        </w:tc>
      </w:tr>
      <w:tr w:rsidR="0051794F" w:rsidRPr="00F475A1" w14:paraId="2D698E9F" w14:textId="77777777" w:rsidTr="00284EAF">
        <w:trPr>
          <w:trHeight w:val="330"/>
        </w:trPr>
        <w:tc>
          <w:tcPr>
            <w:tcW w:w="12428" w:type="dxa"/>
            <w:gridSpan w:val="10"/>
            <w:shd w:val="clear" w:color="000000" w:fill="F2F2F2"/>
            <w:tcMar>
              <w:left w:w="28" w:type="dxa"/>
              <w:right w:w="28" w:type="dxa"/>
            </w:tcMar>
            <w:vAlign w:val="center"/>
            <w:hideMark/>
          </w:tcPr>
          <w:p w14:paraId="2305D721" w14:textId="77777777" w:rsidR="0051794F" w:rsidRPr="00F475A1" w:rsidRDefault="0051794F" w:rsidP="0051794F">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Сектори, що не пов'язані з енергетикою</w:t>
            </w:r>
          </w:p>
        </w:tc>
        <w:tc>
          <w:tcPr>
            <w:tcW w:w="1132" w:type="dxa"/>
            <w:shd w:val="clear" w:color="000000" w:fill="F2F2F2"/>
            <w:noWrap/>
            <w:tcMar>
              <w:left w:w="28" w:type="dxa"/>
              <w:right w:w="28" w:type="dxa"/>
            </w:tcMar>
            <w:vAlign w:val="center"/>
            <w:hideMark/>
          </w:tcPr>
          <w:p w14:paraId="321ABF91"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51 663,2</w:t>
            </w:r>
          </w:p>
        </w:tc>
        <w:tc>
          <w:tcPr>
            <w:tcW w:w="1096" w:type="dxa"/>
            <w:shd w:val="clear" w:color="000000" w:fill="F2F2F2"/>
            <w:noWrap/>
            <w:tcMar>
              <w:left w:w="28" w:type="dxa"/>
              <w:right w:w="28" w:type="dxa"/>
            </w:tcMar>
            <w:vAlign w:val="center"/>
            <w:hideMark/>
          </w:tcPr>
          <w:p w14:paraId="4733E874" w14:textId="77777777" w:rsidR="0051794F" w:rsidRPr="00F475A1" w:rsidRDefault="0051794F" w:rsidP="0051794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7,0%</w:t>
            </w:r>
          </w:p>
        </w:tc>
      </w:tr>
      <w:tr w:rsidR="0051794F" w:rsidRPr="00F475A1" w14:paraId="7D5054D4" w14:textId="77777777" w:rsidTr="00284EAF">
        <w:trPr>
          <w:trHeight w:val="600"/>
        </w:trPr>
        <w:tc>
          <w:tcPr>
            <w:tcW w:w="2547" w:type="dxa"/>
            <w:shd w:val="clear" w:color="auto" w:fill="auto"/>
            <w:tcMar>
              <w:left w:w="28" w:type="dxa"/>
              <w:right w:w="28" w:type="dxa"/>
            </w:tcMar>
            <w:vAlign w:val="center"/>
            <w:hideMark/>
          </w:tcPr>
          <w:p w14:paraId="4591337E" w14:textId="77777777" w:rsidR="0051794F" w:rsidRPr="00F475A1" w:rsidRDefault="0051794F" w:rsidP="0051794F">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Управління ТПВ - дегазація</w:t>
            </w:r>
          </w:p>
        </w:tc>
        <w:tc>
          <w:tcPr>
            <w:tcW w:w="9881" w:type="dxa"/>
            <w:gridSpan w:val="9"/>
            <w:shd w:val="clear" w:color="000000" w:fill="B8CCE4"/>
            <w:tcMar>
              <w:left w:w="28" w:type="dxa"/>
              <w:right w:w="28" w:type="dxa"/>
            </w:tcMar>
            <w:vAlign w:val="center"/>
            <w:hideMark/>
          </w:tcPr>
          <w:p w14:paraId="6E71386B"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 </w:t>
            </w:r>
          </w:p>
        </w:tc>
        <w:tc>
          <w:tcPr>
            <w:tcW w:w="1132" w:type="dxa"/>
            <w:shd w:val="clear" w:color="000000" w:fill="B8CCE4"/>
            <w:tcMar>
              <w:left w:w="28" w:type="dxa"/>
              <w:right w:w="28" w:type="dxa"/>
            </w:tcMar>
            <w:vAlign w:val="center"/>
            <w:hideMark/>
          </w:tcPr>
          <w:p w14:paraId="088E644D"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51 663,2</w:t>
            </w:r>
          </w:p>
        </w:tc>
        <w:tc>
          <w:tcPr>
            <w:tcW w:w="1096" w:type="dxa"/>
            <w:shd w:val="clear" w:color="000000" w:fill="B8CCE4"/>
            <w:noWrap/>
            <w:tcMar>
              <w:left w:w="28" w:type="dxa"/>
              <w:right w:w="28" w:type="dxa"/>
            </w:tcMar>
            <w:vAlign w:val="center"/>
            <w:hideMark/>
          </w:tcPr>
          <w:p w14:paraId="59AA8229" w14:textId="77777777" w:rsidR="0051794F" w:rsidRPr="00F475A1" w:rsidRDefault="0051794F" w:rsidP="0051794F">
            <w:pPr>
              <w:spacing w:after="0" w:line="240" w:lineRule="auto"/>
              <w:jc w:val="center"/>
              <w:rPr>
                <w:rFonts w:ascii="Times New Roman" w:eastAsia="Times New Roman" w:hAnsi="Times New Roman" w:cs="Times New Roman"/>
                <w:color w:val="000000"/>
              </w:rPr>
            </w:pPr>
            <w:r w:rsidRPr="00F475A1">
              <w:rPr>
                <w:rFonts w:ascii="Times New Roman" w:eastAsia="Times New Roman" w:hAnsi="Times New Roman" w:cs="Times New Roman"/>
                <w:color w:val="000000"/>
              </w:rPr>
              <w:t>7,0%</w:t>
            </w:r>
          </w:p>
        </w:tc>
      </w:tr>
      <w:tr w:rsidR="0051794F" w:rsidRPr="00F475A1" w14:paraId="45F84517" w14:textId="77777777" w:rsidTr="00284EAF">
        <w:trPr>
          <w:trHeight w:val="315"/>
        </w:trPr>
        <w:tc>
          <w:tcPr>
            <w:tcW w:w="2547" w:type="dxa"/>
            <w:shd w:val="clear" w:color="auto" w:fill="auto"/>
            <w:tcMar>
              <w:left w:w="28" w:type="dxa"/>
              <w:right w:w="28" w:type="dxa"/>
            </w:tcMar>
            <w:vAlign w:val="center"/>
            <w:hideMark/>
          </w:tcPr>
          <w:p w14:paraId="0DD3457A" w14:textId="77777777" w:rsidR="0051794F" w:rsidRPr="00F475A1" w:rsidRDefault="0051794F" w:rsidP="00284EAF">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Разом</w:t>
            </w:r>
          </w:p>
        </w:tc>
        <w:tc>
          <w:tcPr>
            <w:tcW w:w="1155" w:type="dxa"/>
            <w:shd w:val="clear" w:color="000000" w:fill="FFFFFF"/>
            <w:tcMar>
              <w:left w:w="28" w:type="dxa"/>
              <w:right w:w="28" w:type="dxa"/>
            </w:tcMar>
            <w:vAlign w:val="center"/>
            <w:hideMark/>
          </w:tcPr>
          <w:p w14:paraId="7D1D018E"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176 753,0</w:t>
            </w:r>
          </w:p>
        </w:tc>
        <w:tc>
          <w:tcPr>
            <w:tcW w:w="953" w:type="dxa"/>
            <w:shd w:val="clear" w:color="000000" w:fill="FFFFFF"/>
            <w:tcMar>
              <w:left w:w="28" w:type="dxa"/>
              <w:right w:w="28" w:type="dxa"/>
            </w:tcMar>
            <w:vAlign w:val="center"/>
            <w:hideMark/>
          </w:tcPr>
          <w:p w14:paraId="5CD1932E"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179 021,0</w:t>
            </w:r>
          </w:p>
        </w:tc>
        <w:tc>
          <w:tcPr>
            <w:tcW w:w="1134" w:type="dxa"/>
            <w:shd w:val="clear" w:color="000000" w:fill="FFFFFF"/>
            <w:tcMar>
              <w:left w:w="28" w:type="dxa"/>
              <w:right w:w="28" w:type="dxa"/>
            </w:tcMar>
            <w:vAlign w:val="center"/>
            <w:hideMark/>
          </w:tcPr>
          <w:p w14:paraId="6F082972"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267 368,3</w:t>
            </w:r>
          </w:p>
        </w:tc>
        <w:tc>
          <w:tcPr>
            <w:tcW w:w="1196" w:type="dxa"/>
            <w:shd w:val="clear" w:color="000000" w:fill="FFFFFF"/>
            <w:tcMar>
              <w:left w:w="28" w:type="dxa"/>
              <w:right w:w="28" w:type="dxa"/>
            </w:tcMar>
            <w:vAlign w:val="center"/>
            <w:hideMark/>
          </w:tcPr>
          <w:p w14:paraId="272ADD2C"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10 683,6</w:t>
            </w:r>
          </w:p>
        </w:tc>
        <w:tc>
          <w:tcPr>
            <w:tcW w:w="1069" w:type="dxa"/>
            <w:shd w:val="clear" w:color="000000" w:fill="FFFFFF"/>
            <w:tcMar>
              <w:left w:w="28" w:type="dxa"/>
              <w:right w:w="28" w:type="dxa"/>
            </w:tcMar>
            <w:vAlign w:val="center"/>
            <w:hideMark/>
          </w:tcPr>
          <w:p w14:paraId="3273A40C"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34 170,0</w:t>
            </w:r>
          </w:p>
        </w:tc>
        <w:tc>
          <w:tcPr>
            <w:tcW w:w="1056" w:type="dxa"/>
            <w:shd w:val="clear" w:color="000000" w:fill="FFFFFF"/>
            <w:tcMar>
              <w:left w:w="28" w:type="dxa"/>
              <w:right w:w="28" w:type="dxa"/>
            </w:tcMar>
            <w:vAlign w:val="center"/>
            <w:hideMark/>
          </w:tcPr>
          <w:p w14:paraId="196929A4"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16 961,1</w:t>
            </w:r>
          </w:p>
        </w:tc>
        <w:tc>
          <w:tcPr>
            <w:tcW w:w="1074" w:type="dxa"/>
            <w:shd w:val="clear" w:color="000000" w:fill="FFFFFF"/>
            <w:tcMar>
              <w:left w:w="28" w:type="dxa"/>
              <w:right w:w="28" w:type="dxa"/>
            </w:tcMar>
            <w:vAlign w:val="center"/>
            <w:hideMark/>
          </w:tcPr>
          <w:p w14:paraId="726F44C7"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5 266,2</w:t>
            </w:r>
          </w:p>
        </w:tc>
        <w:tc>
          <w:tcPr>
            <w:tcW w:w="1134" w:type="dxa"/>
            <w:shd w:val="clear" w:color="000000" w:fill="FFFFFF"/>
            <w:tcMar>
              <w:left w:w="28" w:type="dxa"/>
              <w:right w:w="28" w:type="dxa"/>
            </w:tcMar>
            <w:vAlign w:val="center"/>
            <w:hideMark/>
          </w:tcPr>
          <w:p w14:paraId="31AE7C15"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1 028,4</w:t>
            </w:r>
          </w:p>
        </w:tc>
        <w:tc>
          <w:tcPr>
            <w:tcW w:w="1110" w:type="dxa"/>
            <w:shd w:val="clear" w:color="000000" w:fill="FFFFFF"/>
            <w:tcMar>
              <w:left w:w="28" w:type="dxa"/>
              <w:right w:w="28" w:type="dxa"/>
            </w:tcMar>
            <w:vAlign w:val="center"/>
            <w:hideMark/>
          </w:tcPr>
          <w:p w14:paraId="0DDAF9CA" w14:textId="77777777" w:rsidR="0051794F" w:rsidRPr="00F475A1" w:rsidRDefault="0051794F" w:rsidP="00284EAF">
            <w:pPr>
              <w:spacing w:after="0" w:line="240" w:lineRule="auto"/>
              <w:jc w:val="center"/>
              <w:rPr>
                <w:rFonts w:ascii="Times New Roman" w:eastAsia="Times New Roman" w:hAnsi="Times New Roman" w:cs="Times New Roman"/>
                <w:b/>
                <w:bCs/>
                <w:color w:val="000000"/>
              </w:rPr>
            </w:pPr>
            <w:r w:rsidRPr="00F475A1">
              <w:rPr>
                <w:rFonts w:ascii="Times New Roman" w:eastAsia="Times New Roman" w:hAnsi="Times New Roman" w:cs="Times New Roman"/>
                <w:b/>
                <w:bCs/>
                <w:color w:val="000000"/>
              </w:rPr>
              <w:t>72,7</w:t>
            </w:r>
          </w:p>
        </w:tc>
        <w:tc>
          <w:tcPr>
            <w:tcW w:w="1132" w:type="dxa"/>
            <w:shd w:val="clear" w:color="000000" w:fill="FFFFFF"/>
            <w:tcMar>
              <w:left w:w="28" w:type="dxa"/>
              <w:right w:w="28" w:type="dxa"/>
            </w:tcMar>
            <w:vAlign w:val="center"/>
            <w:hideMark/>
          </w:tcPr>
          <w:p w14:paraId="24AD6ACA" w14:textId="77777777" w:rsidR="0051794F" w:rsidRPr="00F475A1" w:rsidRDefault="0051794F" w:rsidP="00284EAF">
            <w:pPr>
              <w:spacing w:after="0" w:line="240" w:lineRule="auto"/>
              <w:jc w:val="center"/>
              <w:rPr>
                <w:rFonts w:ascii="Times New Roman" w:eastAsia="Times New Roman" w:hAnsi="Times New Roman" w:cs="Times New Roman"/>
                <w:b/>
                <w:bCs/>
                <w:color w:val="000000"/>
                <w:sz w:val="24"/>
                <w:szCs w:val="24"/>
              </w:rPr>
            </w:pPr>
            <w:r w:rsidRPr="00F475A1">
              <w:rPr>
                <w:rFonts w:ascii="Times New Roman" w:eastAsia="Times New Roman" w:hAnsi="Times New Roman" w:cs="Times New Roman"/>
                <w:b/>
                <w:bCs/>
                <w:color w:val="000000"/>
                <w:sz w:val="24"/>
                <w:szCs w:val="24"/>
              </w:rPr>
              <w:t>742 987,6</w:t>
            </w:r>
          </w:p>
        </w:tc>
        <w:tc>
          <w:tcPr>
            <w:tcW w:w="1096" w:type="dxa"/>
            <w:shd w:val="clear" w:color="auto" w:fill="auto"/>
            <w:noWrap/>
            <w:tcMar>
              <w:left w:w="28" w:type="dxa"/>
              <w:right w:w="28" w:type="dxa"/>
            </w:tcMar>
            <w:vAlign w:val="center"/>
            <w:hideMark/>
          </w:tcPr>
          <w:p w14:paraId="2BE687E6" w14:textId="77777777" w:rsidR="0051794F" w:rsidRPr="00F475A1" w:rsidRDefault="0051794F" w:rsidP="00284EAF">
            <w:pPr>
              <w:spacing w:after="0" w:line="240" w:lineRule="auto"/>
              <w:jc w:val="right"/>
              <w:rPr>
                <w:rFonts w:ascii="Times New Roman" w:eastAsia="Times New Roman" w:hAnsi="Times New Roman" w:cs="Times New Roman"/>
                <w:b/>
                <w:bCs/>
                <w:color w:val="000000"/>
                <w:sz w:val="24"/>
                <w:szCs w:val="24"/>
              </w:rPr>
            </w:pPr>
            <w:r w:rsidRPr="00F475A1">
              <w:rPr>
                <w:rFonts w:ascii="Times New Roman" w:eastAsia="Times New Roman" w:hAnsi="Times New Roman" w:cs="Times New Roman"/>
                <w:b/>
                <w:bCs/>
                <w:color w:val="000000"/>
                <w:sz w:val="24"/>
                <w:szCs w:val="24"/>
              </w:rPr>
              <w:t>100,0%</w:t>
            </w:r>
          </w:p>
        </w:tc>
      </w:tr>
    </w:tbl>
    <w:p w14:paraId="607F6895" w14:textId="77777777" w:rsidR="0051794F" w:rsidRDefault="0034572D" w:rsidP="00284EA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д</w:t>
      </w:r>
      <w:r>
        <w:rPr>
          <w:rFonts w:ascii="Times New Roman" w:eastAsia="Times New Roman" w:hAnsi="Times New Roman" w:cs="Times New Roman"/>
          <w:color w:val="000000"/>
          <w:sz w:val="24"/>
          <w:szCs w:val="24"/>
        </w:rPr>
        <w:t>іяльність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Pr>
          <w:rFonts w:ascii="Times New Roman" w:eastAsia="Times New Roman" w:hAnsi="Times New Roman" w:cs="Times New Roman"/>
          <w:b/>
          <w:color w:val="000000"/>
          <w:sz w:val="24"/>
          <w:szCs w:val="24"/>
        </w:rPr>
        <w:t xml:space="preserve"> - </w:t>
      </w:r>
      <w:r>
        <w:rPr>
          <w:rFonts w:ascii="Times New Roman" w:eastAsia="Times New Roman" w:hAnsi="Times New Roman" w:cs="Times New Roman"/>
          <w:color w:val="000000"/>
          <w:sz w:val="24"/>
          <w:szCs w:val="24"/>
        </w:rPr>
        <w:t>дані враховано в інших секторах.</w:t>
      </w:r>
    </w:p>
    <w:p w14:paraId="12DC052E" w14:textId="77777777" w:rsidR="00C82386" w:rsidRDefault="0034572D" w:rsidP="00284EAF">
      <w:pPr>
        <w:rPr>
          <w:rFonts w:ascii="Times New Roman" w:eastAsia="Times New Roman" w:hAnsi="Times New Roman" w:cs="Times New Roman"/>
          <w:b/>
          <w:color w:val="000000"/>
          <w:sz w:val="28"/>
          <w:szCs w:val="28"/>
        </w:rPr>
      </w:pPr>
      <w:bookmarkStart w:id="55" w:name="_heading=h.4k668n3" w:colFirst="0" w:colLast="0"/>
      <w:bookmarkEnd w:id="55"/>
      <w:r>
        <w:rPr>
          <w:rFonts w:ascii="Times New Roman" w:eastAsia="Times New Roman" w:hAnsi="Times New Roman" w:cs="Times New Roman"/>
          <w:b/>
          <w:color w:val="000000"/>
          <w:sz w:val="28"/>
          <w:szCs w:val="28"/>
        </w:rPr>
        <w:br w:type="page"/>
      </w:r>
      <w:r w:rsidR="00E66F64">
        <w:rPr>
          <w:rFonts w:ascii="Times New Roman" w:eastAsia="Times New Roman" w:hAnsi="Times New Roman" w:cs="Times New Roman"/>
          <w:b/>
          <w:color w:val="000000"/>
          <w:sz w:val="28"/>
          <w:szCs w:val="28"/>
        </w:rPr>
        <w:lastRenderedPageBreak/>
        <w:t xml:space="preserve">РОЗДІЛ 5. МОНІТОРИНГОВИЙ КАДАСТР ВИКИДІВ ЗА 2020 Р. </w:t>
      </w:r>
    </w:p>
    <w:p w14:paraId="1DBF8284" w14:textId="77777777" w:rsidR="00C82386" w:rsidRDefault="00E66F64">
      <w:pPr>
        <w:keepNext/>
        <w:keepLines/>
        <w:numPr>
          <w:ilvl w:val="1"/>
          <w:numId w:val="24"/>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56" w:name="_heading=h.2zbgiuw" w:colFirst="0" w:colLast="0"/>
      <w:bookmarkEnd w:id="56"/>
      <w:r>
        <w:rPr>
          <w:rFonts w:ascii="Times New Roman" w:eastAsia="Times New Roman" w:hAnsi="Times New Roman" w:cs="Times New Roman"/>
          <w:b/>
          <w:color w:val="000000"/>
          <w:sz w:val="24"/>
          <w:szCs w:val="24"/>
        </w:rPr>
        <w:t>Споживання енергоресурсів в натуральних одиницях у 2020 р.</w:t>
      </w:r>
    </w:p>
    <w:p w14:paraId="56FEBC65" w14:textId="77777777" w:rsidR="00C82386" w:rsidRDefault="00E66F64" w:rsidP="00843515">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Дані споживання енергоресурсів у визначених секторах МКВ зібрані під</w:t>
      </w:r>
      <w:r w:rsidR="0084351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час опитувань кінцевих споживачів енергії та енергопостачальників, а для сектору приватного транспорту було проведено окремий розрахунок (методика розрахунку наведена в Додатку 1). </w:t>
      </w:r>
    </w:p>
    <w:p w14:paraId="058E629C" w14:textId="77777777" w:rsidR="00C82386" w:rsidRDefault="00E66F64">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5.1.</w:t>
      </w:r>
    </w:p>
    <w:p w14:paraId="4269AE1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Кадастр споживання енергоресурсів у натуральних показниках для обраних секторів кінцевих споживачів за базовий 2020 р.</w:t>
      </w:r>
    </w:p>
    <w:tbl>
      <w:tblPr>
        <w:tblW w:w="14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2"/>
        <w:gridCol w:w="1355"/>
        <w:gridCol w:w="1221"/>
        <w:gridCol w:w="1391"/>
        <w:gridCol w:w="1421"/>
        <w:gridCol w:w="1089"/>
        <w:gridCol w:w="1075"/>
        <w:gridCol w:w="1792"/>
        <w:gridCol w:w="1546"/>
        <w:gridCol w:w="1110"/>
      </w:tblGrid>
      <w:tr w:rsidR="00F475A1" w:rsidRPr="00F475A1" w14:paraId="00510225" w14:textId="77777777" w:rsidTr="00846850">
        <w:trPr>
          <w:trHeight w:val="330"/>
        </w:trPr>
        <w:tc>
          <w:tcPr>
            <w:tcW w:w="2682" w:type="dxa"/>
            <w:vMerge w:val="restart"/>
            <w:shd w:val="clear" w:color="auto" w:fill="auto"/>
            <w:vAlign w:val="center"/>
            <w:hideMark/>
          </w:tcPr>
          <w:p w14:paraId="6B47D99B"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Сектори кінцевих споживачів енергоресурсів</w:t>
            </w:r>
          </w:p>
        </w:tc>
        <w:tc>
          <w:tcPr>
            <w:tcW w:w="12000" w:type="dxa"/>
            <w:gridSpan w:val="9"/>
            <w:shd w:val="clear" w:color="auto" w:fill="auto"/>
            <w:vAlign w:val="center"/>
            <w:hideMark/>
          </w:tcPr>
          <w:p w14:paraId="3E73ECD2"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Обсяги споживання енергоресурсів, натуральні показники</w:t>
            </w:r>
          </w:p>
        </w:tc>
      </w:tr>
      <w:tr w:rsidR="00F475A1" w:rsidRPr="00F475A1" w14:paraId="3EA147B0" w14:textId="77777777" w:rsidTr="00846850">
        <w:trPr>
          <w:trHeight w:val="330"/>
        </w:trPr>
        <w:tc>
          <w:tcPr>
            <w:tcW w:w="2682" w:type="dxa"/>
            <w:vMerge/>
            <w:vAlign w:val="center"/>
            <w:hideMark/>
          </w:tcPr>
          <w:p w14:paraId="3ECBEE5A" w14:textId="77777777" w:rsidR="00F475A1" w:rsidRPr="00F475A1" w:rsidRDefault="00F475A1" w:rsidP="00F475A1">
            <w:pPr>
              <w:spacing w:after="0" w:line="240" w:lineRule="auto"/>
              <w:rPr>
                <w:rFonts w:ascii="Times New Roman" w:eastAsia="Times New Roman" w:hAnsi="Times New Roman" w:cs="Times New Roman"/>
                <w:b/>
                <w:bCs/>
              </w:rPr>
            </w:pPr>
          </w:p>
        </w:tc>
        <w:tc>
          <w:tcPr>
            <w:tcW w:w="1355" w:type="dxa"/>
            <w:vMerge w:val="restart"/>
            <w:shd w:val="clear" w:color="auto" w:fill="auto"/>
            <w:vAlign w:val="center"/>
            <w:hideMark/>
          </w:tcPr>
          <w:p w14:paraId="3083D348"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Електрична енергія</w:t>
            </w:r>
          </w:p>
        </w:tc>
        <w:tc>
          <w:tcPr>
            <w:tcW w:w="1221" w:type="dxa"/>
            <w:vMerge w:val="restart"/>
            <w:shd w:val="clear" w:color="auto" w:fill="auto"/>
            <w:vAlign w:val="center"/>
            <w:hideMark/>
          </w:tcPr>
          <w:p w14:paraId="4C4D3830"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Теплова енергія</w:t>
            </w:r>
          </w:p>
        </w:tc>
        <w:tc>
          <w:tcPr>
            <w:tcW w:w="8314" w:type="dxa"/>
            <w:gridSpan w:val="6"/>
            <w:shd w:val="clear" w:color="auto" w:fill="auto"/>
            <w:vAlign w:val="center"/>
            <w:hideMark/>
          </w:tcPr>
          <w:p w14:paraId="49716AC5"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Викопні види палива</w:t>
            </w:r>
          </w:p>
        </w:tc>
        <w:tc>
          <w:tcPr>
            <w:tcW w:w="1110" w:type="dxa"/>
            <w:vMerge w:val="restart"/>
            <w:shd w:val="clear" w:color="auto" w:fill="auto"/>
            <w:vAlign w:val="center"/>
            <w:hideMark/>
          </w:tcPr>
          <w:p w14:paraId="1F19DF8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Деревина (дрова, щепа, пелети)</w:t>
            </w:r>
          </w:p>
        </w:tc>
      </w:tr>
      <w:tr w:rsidR="00F475A1" w:rsidRPr="00F475A1" w14:paraId="0825714A" w14:textId="77777777" w:rsidTr="00846850">
        <w:trPr>
          <w:trHeight w:val="912"/>
        </w:trPr>
        <w:tc>
          <w:tcPr>
            <w:tcW w:w="2682" w:type="dxa"/>
            <w:vMerge/>
            <w:vAlign w:val="center"/>
            <w:hideMark/>
          </w:tcPr>
          <w:p w14:paraId="4C47F843" w14:textId="77777777" w:rsidR="00F475A1" w:rsidRPr="00F475A1" w:rsidRDefault="00F475A1" w:rsidP="00F475A1">
            <w:pPr>
              <w:spacing w:after="0" w:line="240" w:lineRule="auto"/>
              <w:rPr>
                <w:rFonts w:ascii="Times New Roman" w:eastAsia="Times New Roman" w:hAnsi="Times New Roman" w:cs="Times New Roman"/>
                <w:b/>
                <w:bCs/>
              </w:rPr>
            </w:pPr>
          </w:p>
        </w:tc>
        <w:tc>
          <w:tcPr>
            <w:tcW w:w="1355" w:type="dxa"/>
            <w:vMerge/>
            <w:vAlign w:val="center"/>
            <w:hideMark/>
          </w:tcPr>
          <w:p w14:paraId="000C0D91" w14:textId="77777777" w:rsidR="00F475A1" w:rsidRPr="00F475A1" w:rsidRDefault="00F475A1" w:rsidP="00F475A1">
            <w:pPr>
              <w:spacing w:after="0" w:line="240" w:lineRule="auto"/>
              <w:rPr>
                <w:rFonts w:ascii="Times New Roman" w:eastAsia="Times New Roman" w:hAnsi="Times New Roman" w:cs="Times New Roman"/>
              </w:rPr>
            </w:pPr>
          </w:p>
        </w:tc>
        <w:tc>
          <w:tcPr>
            <w:tcW w:w="1221" w:type="dxa"/>
            <w:vMerge/>
            <w:vAlign w:val="center"/>
            <w:hideMark/>
          </w:tcPr>
          <w:p w14:paraId="69712461" w14:textId="77777777" w:rsidR="00F475A1" w:rsidRPr="00F475A1" w:rsidRDefault="00F475A1" w:rsidP="00F475A1">
            <w:pPr>
              <w:spacing w:after="0" w:line="240" w:lineRule="auto"/>
              <w:rPr>
                <w:rFonts w:ascii="Times New Roman" w:eastAsia="Times New Roman" w:hAnsi="Times New Roman" w:cs="Times New Roman"/>
              </w:rPr>
            </w:pPr>
          </w:p>
        </w:tc>
        <w:tc>
          <w:tcPr>
            <w:tcW w:w="1391" w:type="dxa"/>
            <w:shd w:val="clear" w:color="auto" w:fill="auto"/>
            <w:vAlign w:val="center"/>
            <w:hideMark/>
          </w:tcPr>
          <w:p w14:paraId="348D79A1" w14:textId="77777777" w:rsidR="00F475A1" w:rsidRPr="00F475A1" w:rsidRDefault="00070D50" w:rsidP="00F475A1">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421" w:type="dxa"/>
            <w:shd w:val="clear" w:color="auto" w:fill="auto"/>
            <w:vAlign w:val="center"/>
            <w:hideMark/>
          </w:tcPr>
          <w:p w14:paraId="327FD52E" w14:textId="77777777" w:rsidR="00F475A1" w:rsidRPr="00F475A1" w:rsidRDefault="00F475A1" w:rsidP="00846850">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Скраплений газ (</w:t>
            </w:r>
            <w:r w:rsidR="00846850">
              <w:rPr>
                <w:rFonts w:ascii="Times New Roman" w:eastAsia="Times New Roman" w:hAnsi="Times New Roman" w:cs="Times New Roman"/>
              </w:rPr>
              <w:t>п</w:t>
            </w:r>
            <w:r w:rsidRPr="00F475A1">
              <w:rPr>
                <w:rFonts w:ascii="Times New Roman" w:eastAsia="Times New Roman" w:hAnsi="Times New Roman" w:cs="Times New Roman"/>
              </w:rPr>
              <w:t>ропан-бутан)</w:t>
            </w:r>
          </w:p>
        </w:tc>
        <w:tc>
          <w:tcPr>
            <w:tcW w:w="1089" w:type="dxa"/>
            <w:shd w:val="clear" w:color="auto" w:fill="auto"/>
            <w:vAlign w:val="center"/>
            <w:hideMark/>
          </w:tcPr>
          <w:p w14:paraId="6D22085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Дизель</w:t>
            </w:r>
          </w:p>
        </w:tc>
        <w:tc>
          <w:tcPr>
            <w:tcW w:w="1075" w:type="dxa"/>
            <w:shd w:val="clear" w:color="auto" w:fill="auto"/>
            <w:vAlign w:val="center"/>
            <w:hideMark/>
          </w:tcPr>
          <w:p w14:paraId="4DA61DFC"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Бензин</w:t>
            </w:r>
          </w:p>
        </w:tc>
        <w:tc>
          <w:tcPr>
            <w:tcW w:w="1792" w:type="dxa"/>
            <w:shd w:val="clear" w:color="auto" w:fill="auto"/>
            <w:vAlign w:val="center"/>
            <w:hideMark/>
          </w:tcPr>
          <w:p w14:paraId="78D9317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Вугілля кам'яне (суббітумінозне)</w:t>
            </w:r>
          </w:p>
        </w:tc>
        <w:tc>
          <w:tcPr>
            <w:tcW w:w="1546" w:type="dxa"/>
            <w:shd w:val="clear" w:color="auto" w:fill="auto"/>
            <w:vAlign w:val="center"/>
            <w:hideMark/>
          </w:tcPr>
          <w:p w14:paraId="3F4BE27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Торф (брикети, напівбрикети)</w:t>
            </w:r>
          </w:p>
        </w:tc>
        <w:tc>
          <w:tcPr>
            <w:tcW w:w="1110" w:type="dxa"/>
            <w:vMerge/>
            <w:vAlign w:val="center"/>
            <w:hideMark/>
          </w:tcPr>
          <w:p w14:paraId="5D3CFF92" w14:textId="77777777" w:rsidR="00F475A1" w:rsidRPr="00F475A1" w:rsidRDefault="00F475A1" w:rsidP="00F475A1">
            <w:pPr>
              <w:spacing w:after="0" w:line="240" w:lineRule="auto"/>
              <w:rPr>
                <w:rFonts w:ascii="Times New Roman" w:eastAsia="Times New Roman" w:hAnsi="Times New Roman" w:cs="Times New Roman"/>
              </w:rPr>
            </w:pPr>
          </w:p>
        </w:tc>
      </w:tr>
      <w:tr w:rsidR="00F475A1" w:rsidRPr="00F475A1" w14:paraId="770CDD8D" w14:textId="77777777" w:rsidTr="00846850">
        <w:trPr>
          <w:trHeight w:val="390"/>
        </w:trPr>
        <w:tc>
          <w:tcPr>
            <w:tcW w:w="2682" w:type="dxa"/>
            <w:vMerge/>
            <w:vAlign w:val="center"/>
            <w:hideMark/>
          </w:tcPr>
          <w:p w14:paraId="1F77D0EB" w14:textId="77777777" w:rsidR="00F475A1" w:rsidRPr="00F475A1" w:rsidRDefault="00F475A1" w:rsidP="00F475A1">
            <w:pPr>
              <w:spacing w:after="0" w:line="240" w:lineRule="auto"/>
              <w:rPr>
                <w:rFonts w:ascii="Times New Roman" w:eastAsia="Times New Roman" w:hAnsi="Times New Roman" w:cs="Times New Roman"/>
                <w:b/>
                <w:bCs/>
              </w:rPr>
            </w:pPr>
          </w:p>
        </w:tc>
        <w:tc>
          <w:tcPr>
            <w:tcW w:w="1355" w:type="dxa"/>
            <w:shd w:val="clear" w:color="000000" w:fill="D9D9D9"/>
            <w:vAlign w:val="center"/>
            <w:hideMark/>
          </w:tcPr>
          <w:p w14:paraId="5296813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1221" w:type="dxa"/>
            <w:shd w:val="clear" w:color="000000" w:fill="D9D9D9"/>
            <w:vAlign w:val="center"/>
            <w:hideMark/>
          </w:tcPr>
          <w:p w14:paraId="72E7FD8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Гкал</w:t>
            </w:r>
          </w:p>
        </w:tc>
        <w:tc>
          <w:tcPr>
            <w:tcW w:w="1391" w:type="dxa"/>
            <w:shd w:val="clear" w:color="000000" w:fill="D9D9D9"/>
            <w:vAlign w:val="center"/>
            <w:hideMark/>
          </w:tcPr>
          <w:p w14:paraId="48F55EF5"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тис.м</w:t>
            </w:r>
            <w:r w:rsidRPr="00F475A1">
              <w:rPr>
                <w:rFonts w:ascii="Times New Roman" w:eastAsia="Times New Roman" w:hAnsi="Times New Roman" w:cs="Times New Roman"/>
                <w:sz w:val="24"/>
                <w:szCs w:val="24"/>
                <w:vertAlign w:val="superscript"/>
              </w:rPr>
              <w:t>3</w:t>
            </w:r>
          </w:p>
        </w:tc>
        <w:tc>
          <w:tcPr>
            <w:tcW w:w="1421" w:type="dxa"/>
            <w:shd w:val="clear" w:color="000000" w:fill="D9D9D9"/>
            <w:vAlign w:val="center"/>
            <w:hideMark/>
          </w:tcPr>
          <w:p w14:paraId="0848CB3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м</w:t>
            </w:r>
            <w:r w:rsidRPr="00F475A1">
              <w:rPr>
                <w:rFonts w:ascii="Times New Roman" w:eastAsia="Times New Roman" w:hAnsi="Times New Roman" w:cs="Times New Roman"/>
                <w:sz w:val="24"/>
                <w:szCs w:val="24"/>
                <w:vertAlign w:val="superscript"/>
              </w:rPr>
              <w:t>3</w:t>
            </w:r>
          </w:p>
        </w:tc>
        <w:tc>
          <w:tcPr>
            <w:tcW w:w="1089" w:type="dxa"/>
            <w:shd w:val="clear" w:color="000000" w:fill="D9D9D9"/>
            <w:vAlign w:val="center"/>
            <w:hideMark/>
          </w:tcPr>
          <w:p w14:paraId="6BA92AF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075" w:type="dxa"/>
            <w:shd w:val="clear" w:color="000000" w:fill="D9D9D9"/>
            <w:vAlign w:val="center"/>
            <w:hideMark/>
          </w:tcPr>
          <w:p w14:paraId="53E216B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792" w:type="dxa"/>
            <w:shd w:val="clear" w:color="000000" w:fill="D9D9D9"/>
            <w:noWrap/>
            <w:vAlign w:val="center"/>
            <w:hideMark/>
          </w:tcPr>
          <w:p w14:paraId="238EC50C"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546" w:type="dxa"/>
            <w:shd w:val="clear" w:color="000000" w:fill="D9D9D9"/>
            <w:noWrap/>
            <w:vAlign w:val="center"/>
            <w:hideMark/>
          </w:tcPr>
          <w:p w14:paraId="372A3148"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c>
          <w:tcPr>
            <w:tcW w:w="1110" w:type="dxa"/>
            <w:shd w:val="clear" w:color="000000" w:fill="D9D9D9"/>
            <w:vAlign w:val="center"/>
            <w:hideMark/>
          </w:tcPr>
          <w:p w14:paraId="68B15B6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тонн</w:t>
            </w:r>
          </w:p>
        </w:tc>
      </w:tr>
      <w:tr w:rsidR="00F475A1" w:rsidRPr="00F475A1" w14:paraId="623E6E42" w14:textId="77777777" w:rsidTr="00846850">
        <w:trPr>
          <w:trHeight w:val="435"/>
        </w:trPr>
        <w:tc>
          <w:tcPr>
            <w:tcW w:w="14682" w:type="dxa"/>
            <w:gridSpan w:val="10"/>
            <w:shd w:val="clear" w:color="000000" w:fill="F2F2F2"/>
            <w:vAlign w:val="center"/>
            <w:hideMark/>
          </w:tcPr>
          <w:p w14:paraId="439C6794" w14:textId="77777777" w:rsidR="00F475A1" w:rsidRPr="00F475A1" w:rsidRDefault="00F475A1" w:rsidP="00F475A1">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Муніципальні будівлі, обладнання/об'єкти</w:t>
            </w:r>
          </w:p>
        </w:tc>
      </w:tr>
      <w:tr w:rsidR="00F475A1" w:rsidRPr="00F475A1" w14:paraId="556C486D" w14:textId="77777777" w:rsidTr="00846850">
        <w:trPr>
          <w:trHeight w:val="615"/>
        </w:trPr>
        <w:tc>
          <w:tcPr>
            <w:tcW w:w="2682" w:type="dxa"/>
            <w:shd w:val="clear" w:color="auto" w:fill="auto"/>
            <w:vAlign w:val="center"/>
            <w:hideMark/>
          </w:tcPr>
          <w:p w14:paraId="1018BD7C"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Муніципальні будівлі, обладнання/об'єкти</w:t>
            </w:r>
          </w:p>
        </w:tc>
        <w:tc>
          <w:tcPr>
            <w:tcW w:w="1355" w:type="dxa"/>
            <w:shd w:val="clear" w:color="000000" w:fill="D8E4BC"/>
            <w:vAlign w:val="center"/>
            <w:hideMark/>
          </w:tcPr>
          <w:p w14:paraId="2029F9E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10 617,8</w:t>
            </w:r>
          </w:p>
        </w:tc>
        <w:tc>
          <w:tcPr>
            <w:tcW w:w="1221" w:type="dxa"/>
            <w:shd w:val="clear" w:color="000000" w:fill="D8E4BC"/>
            <w:vAlign w:val="center"/>
            <w:hideMark/>
          </w:tcPr>
          <w:p w14:paraId="056564D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27 633,3</w:t>
            </w:r>
          </w:p>
        </w:tc>
        <w:tc>
          <w:tcPr>
            <w:tcW w:w="1391" w:type="dxa"/>
            <w:shd w:val="clear" w:color="000000" w:fill="D8E4BC"/>
            <w:vAlign w:val="center"/>
            <w:hideMark/>
          </w:tcPr>
          <w:p w14:paraId="1DDB70D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756,9</w:t>
            </w:r>
          </w:p>
        </w:tc>
        <w:tc>
          <w:tcPr>
            <w:tcW w:w="1421" w:type="dxa"/>
            <w:shd w:val="clear" w:color="000000" w:fill="D8E4BC"/>
            <w:vAlign w:val="center"/>
            <w:hideMark/>
          </w:tcPr>
          <w:p w14:paraId="0684B9E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89" w:type="dxa"/>
            <w:shd w:val="clear" w:color="000000" w:fill="D8E4BC"/>
            <w:vAlign w:val="center"/>
            <w:hideMark/>
          </w:tcPr>
          <w:p w14:paraId="2CDDA06D"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75" w:type="dxa"/>
            <w:shd w:val="clear" w:color="000000" w:fill="D8E4BC"/>
            <w:vAlign w:val="center"/>
            <w:hideMark/>
          </w:tcPr>
          <w:p w14:paraId="4D603B95"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792" w:type="dxa"/>
            <w:shd w:val="clear" w:color="000000" w:fill="D8E4BC"/>
            <w:vAlign w:val="center"/>
            <w:hideMark/>
          </w:tcPr>
          <w:p w14:paraId="7FDA8FA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57,2</w:t>
            </w:r>
          </w:p>
        </w:tc>
        <w:tc>
          <w:tcPr>
            <w:tcW w:w="1546" w:type="dxa"/>
            <w:shd w:val="clear" w:color="000000" w:fill="D8E4BC"/>
            <w:vAlign w:val="center"/>
            <w:hideMark/>
          </w:tcPr>
          <w:p w14:paraId="7EC4FEC8"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666F430D"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2967,2</w:t>
            </w:r>
          </w:p>
        </w:tc>
      </w:tr>
      <w:tr w:rsidR="00F475A1" w:rsidRPr="00F475A1" w14:paraId="3079EF43" w14:textId="77777777" w:rsidTr="00846850">
        <w:trPr>
          <w:trHeight w:val="615"/>
        </w:trPr>
        <w:tc>
          <w:tcPr>
            <w:tcW w:w="2682" w:type="dxa"/>
            <w:shd w:val="clear" w:color="auto" w:fill="auto"/>
            <w:vAlign w:val="center"/>
            <w:hideMark/>
          </w:tcPr>
          <w:p w14:paraId="36235D5B"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Муніципальне освітлення</w:t>
            </w:r>
          </w:p>
        </w:tc>
        <w:tc>
          <w:tcPr>
            <w:tcW w:w="1355" w:type="dxa"/>
            <w:shd w:val="clear" w:color="000000" w:fill="D8E4BC"/>
            <w:vAlign w:val="center"/>
            <w:hideMark/>
          </w:tcPr>
          <w:p w14:paraId="05C14B25"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1 949,0</w:t>
            </w:r>
          </w:p>
        </w:tc>
        <w:tc>
          <w:tcPr>
            <w:tcW w:w="1221" w:type="dxa"/>
            <w:shd w:val="clear" w:color="000000" w:fill="D8E4BC"/>
            <w:vAlign w:val="center"/>
            <w:hideMark/>
          </w:tcPr>
          <w:p w14:paraId="636C912C"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391" w:type="dxa"/>
            <w:shd w:val="clear" w:color="000000" w:fill="D8E4BC"/>
            <w:vAlign w:val="center"/>
            <w:hideMark/>
          </w:tcPr>
          <w:p w14:paraId="570A30C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421" w:type="dxa"/>
            <w:shd w:val="clear" w:color="000000" w:fill="D8E4BC"/>
            <w:vAlign w:val="center"/>
            <w:hideMark/>
          </w:tcPr>
          <w:p w14:paraId="3CFF374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89" w:type="dxa"/>
            <w:shd w:val="clear" w:color="000000" w:fill="D8E4BC"/>
            <w:vAlign w:val="center"/>
            <w:hideMark/>
          </w:tcPr>
          <w:p w14:paraId="25F8CD4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75" w:type="dxa"/>
            <w:shd w:val="clear" w:color="000000" w:fill="D8E4BC"/>
            <w:vAlign w:val="center"/>
            <w:hideMark/>
          </w:tcPr>
          <w:p w14:paraId="54E8DE6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792" w:type="dxa"/>
            <w:shd w:val="clear" w:color="000000" w:fill="D8E4BC"/>
            <w:vAlign w:val="center"/>
            <w:hideMark/>
          </w:tcPr>
          <w:p w14:paraId="04A8468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546" w:type="dxa"/>
            <w:shd w:val="clear" w:color="000000" w:fill="D8E4BC"/>
            <w:vAlign w:val="center"/>
            <w:hideMark/>
          </w:tcPr>
          <w:p w14:paraId="46A62BE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6FEE9FE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r>
      <w:tr w:rsidR="00F475A1" w:rsidRPr="00F475A1" w14:paraId="74910CB0" w14:textId="77777777" w:rsidTr="00846850">
        <w:trPr>
          <w:trHeight w:val="315"/>
        </w:trPr>
        <w:tc>
          <w:tcPr>
            <w:tcW w:w="2682" w:type="dxa"/>
            <w:shd w:val="clear" w:color="auto" w:fill="auto"/>
            <w:vAlign w:val="center"/>
            <w:hideMark/>
          </w:tcPr>
          <w:p w14:paraId="50DC9E9A"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355" w:type="dxa"/>
            <w:shd w:val="clear" w:color="000000" w:fill="D8E4BC"/>
            <w:vAlign w:val="center"/>
            <w:hideMark/>
          </w:tcPr>
          <w:p w14:paraId="3ABD5BCD"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29 465,3</w:t>
            </w:r>
          </w:p>
        </w:tc>
        <w:tc>
          <w:tcPr>
            <w:tcW w:w="1221" w:type="dxa"/>
            <w:shd w:val="clear" w:color="000000" w:fill="D8E4BC"/>
            <w:vAlign w:val="center"/>
            <w:hideMark/>
          </w:tcPr>
          <w:p w14:paraId="0D77A9D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391" w:type="dxa"/>
            <w:shd w:val="clear" w:color="000000" w:fill="D8E4BC"/>
            <w:vAlign w:val="center"/>
            <w:hideMark/>
          </w:tcPr>
          <w:p w14:paraId="42BBFCF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421" w:type="dxa"/>
            <w:shd w:val="clear" w:color="000000" w:fill="D8E4BC"/>
            <w:vAlign w:val="center"/>
            <w:hideMark/>
          </w:tcPr>
          <w:p w14:paraId="40E56C3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89" w:type="dxa"/>
            <w:shd w:val="clear" w:color="000000" w:fill="D8E4BC"/>
            <w:vAlign w:val="center"/>
            <w:hideMark/>
          </w:tcPr>
          <w:p w14:paraId="3C75994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75" w:type="dxa"/>
            <w:shd w:val="clear" w:color="000000" w:fill="D8E4BC"/>
            <w:vAlign w:val="center"/>
            <w:hideMark/>
          </w:tcPr>
          <w:p w14:paraId="0686191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792" w:type="dxa"/>
            <w:shd w:val="clear" w:color="000000" w:fill="D8E4BC"/>
            <w:vAlign w:val="center"/>
            <w:hideMark/>
          </w:tcPr>
          <w:p w14:paraId="617CD76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546" w:type="dxa"/>
            <w:shd w:val="clear" w:color="000000" w:fill="D8E4BC"/>
            <w:vAlign w:val="center"/>
            <w:hideMark/>
          </w:tcPr>
          <w:p w14:paraId="0D605AA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44831A3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r>
      <w:tr w:rsidR="00F475A1" w:rsidRPr="00F475A1" w14:paraId="5D310759" w14:textId="77777777" w:rsidTr="00846850">
        <w:trPr>
          <w:trHeight w:val="405"/>
        </w:trPr>
        <w:tc>
          <w:tcPr>
            <w:tcW w:w="14682" w:type="dxa"/>
            <w:gridSpan w:val="10"/>
            <w:shd w:val="clear" w:color="auto" w:fill="auto"/>
            <w:vAlign w:val="center"/>
            <w:hideMark/>
          </w:tcPr>
          <w:p w14:paraId="7BA0A6EF" w14:textId="77777777" w:rsidR="00F475A1" w:rsidRPr="00F475A1" w:rsidRDefault="00F475A1" w:rsidP="00F475A1">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Третинні (не муніципальні) будівлі, обладнання/об'єкти</w:t>
            </w:r>
          </w:p>
        </w:tc>
      </w:tr>
      <w:tr w:rsidR="00F475A1" w:rsidRPr="00F475A1" w14:paraId="38930A09" w14:textId="77777777" w:rsidTr="00846850">
        <w:trPr>
          <w:trHeight w:val="1215"/>
        </w:trPr>
        <w:tc>
          <w:tcPr>
            <w:tcW w:w="2682" w:type="dxa"/>
            <w:shd w:val="clear" w:color="auto" w:fill="auto"/>
            <w:vAlign w:val="center"/>
            <w:hideMark/>
          </w:tcPr>
          <w:p w14:paraId="3CF3CA28"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Будівлі, обладнання/об'єкти сфери послуг (не муніципальні)</w:t>
            </w:r>
          </w:p>
        </w:tc>
        <w:tc>
          <w:tcPr>
            <w:tcW w:w="1355" w:type="dxa"/>
            <w:shd w:val="clear" w:color="000000" w:fill="D8E4BC"/>
            <w:vAlign w:val="center"/>
            <w:hideMark/>
          </w:tcPr>
          <w:p w14:paraId="6F9F3EC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221" w:type="dxa"/>
            <w:shd w:val="clear" w:color="000000" w:fill="D8E4BC"/>
            <w:vAlign w:val="center"/>
            <w:hideMark/>
          </w:tcPr>
          <w:p w14:paraId="4B38B88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391" w:type="dxa"/>
            <w:shd w:val="clear" w:color="000000" w:fill="D8E4BC"/>
            <w:vAlign w:val="center"/>
            <w:hideMark/>
          </w:tcPr>
          <w:p w14:paraId="5A0CEC1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421" w:type="dxa"/>
            <w:shd w:val="clear" w:color="000000" w:fill="D8E4BC"/>
            <w:vAlign w:val="center"/>
            <w:hideMark/>
          </w:tcPr>
          <w:p w14:paraId="3CC9F34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89" w:type="dxa"/>
            <w:shd w:val="clear" w:color="000000" w:fill="D8E4BC"/>
            <w:vAlign w:val="center"/>
            <w:hideMark/>
          </w:tcPr>
          <w:p w14:paraId="2A873BE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75" w:type="dxa"/>
            <w:shd w:val="clear" w:color="000000" w:fill="D8E4BC"/>
            <w:vAlign w:val="center"/>
            <w:hideMark/>
          </w:tcPr>
          <w:p w14:paraId="21127EA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792" w:type="dxa"/>
            <w:shd w:val="clear" w:color="000000" w:fill="D8E4BC"/>
            <w:vAlign w:val="center"/>
            <w:hideMark/>
          </w:tcPr>
          <w:p w14:paraId="5D910C0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546" w:type="dxa"/>
            <w:shd w:val="clear" w:color="000000" w:fill="D8E4BC"/>
            <w:vAlign w:val="center"/>
            <w:hideMark/>
          </w:tcPr>
          <w:p w14:paraId="2086659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110" w:type="dxa"/>
            <w:shd w:val="clear" w:color="000000" w:fill="D8E4BC"/>
            <w:vAlign w:val="center"/>
            <w:hideMark/>
          </w:tcPr>
          <w:p w14:paraId="5EF35865"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r>
      <w:tr w:rsidR="00F475A1" w:rsidRPr="00F475A1" w14:paraId="1B008035" w14:textId="77777777" w:rsidTr="00846850">
        <w:trPr>
          <w:trHeight w:val="315"/>
        </w:trPr>
        <w:tc>
          <w:tcPr>
            <w:tcW w:w="2682" w:type="dxa"/>
            <w:shd w:val="clear" w:color="auto" w:fill="auto"/>
            <w:vAlign w:val="center"/>
            <w:hideMark/>
          </w:tcPr>
          <w:p w14:paraId="7BF4D1F5"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w:t>
            </w:r>
          </w:p>
        </w:tc>
        <w:tc>
          <w:tcPr>
            <w:tcW w:w="1355" w:type="dxa"/>
            <w:shd w:val="clear" w:color="000000" w:fill="D8E4BC"/>
            <w:vAlign w:val="center"/>
            <w:hideMark/>
          </w:tcPr>
          <w:p w14:paraId="7A27AA4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74 090,7</w:t>
            </w:r>
          </w:p>
        </w:tc>
        <w:tc>
          <w:tcPr>
            <w:tcW w:w="1221" w:type="dxa"/>
            <w:shd w:val="clear" w:color="000000" w:fill="D8E4BC"/>
            <w:vAlign w:val="center"/>
            <w:hideMark/>
          </w:tcPr>
          <w:p w14:paraId="5EBC2C73"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12 347,0</w:t>
            </w:r>
          </w:p>
        </w:tc>
        <w:tc>
          <w:tcPr>
            <w:tcW w:w="1391" w:type="dxa"/>
            <w:shd w:val="clear" w:color="000000" w:fill="D8E4BC"/>
            <w:vAlign w:val="center"/>
            <w:hideMark/>
          </w:tcPr>
          <w:p w14:paraId="74021CB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19 688,3</w:t>
            </w:r>
          </w:p>
        </w:tc>
        <w:tc>
          <w:tcPr>
            <w:tcW w:w="1421" w:type="dxa"/>
            <w:shd w:val="clear" w:color="000000" w:fill="D8E4BC"/>
            <w:vAlign w:val="center"/>
            <w:hideMark/>
          </w:tcPr>
          <w:p w14:paraId="101418E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89" w:type="dxa"/>
            <w:shd w:val="clear" w:color="000000" w:fill="D8E4BC"/>
            <w:vAlign w:val="center"/>
            <w:hideMark/>
          </w:tcPr>
          <w:p w14:paraId="6E0D3FE5"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75" w:type="dxa"/>
            <w:shd w:val="clear" w:color="000000" w:fill="D8E4BC"/>
            <w:vAlign w:val="center"/>
            <w:hideMark/>
          </w:tcPr>
          <w:p w14:paraId="0D59217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792" w:type="dxa"/>
            <w:shd w:val="clear" w:color="000000" w:fill="D8E4BC"/>
            <w:vAlign w:val="center"/>
            <w:hideMark/>
          </w:tcPr>
          <w:p w14:paraId="2F64993C"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1 576,4</w:t>
            </w:r>
          </w:p>
        </w:tc>
        <w:tc>
          <w:tcPr>
            <w:tcW w:w="1546" w:type="dxa"/>
            <w:shd w:val="clear" w:color="000000" w:fill="D8E4BC"/>
            <w:vAlign w:val="center"/>
            <w:hideMark/>
          </w:tcPr>
          <w:p w14:paraId="41575A9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8,5</w:t>
            </w:r>
          </w:p>
        </w:tc>
        <w:tc>
          <w:tcPr>
            <w:tcW w:w="1110" w:type="dxa"/>
            <w:shd w:val="clear" w:color="000000" w:fill="D8E4BC"/>
            <w:vAlign w:val="center"/>
            <w:hideMark/>
          </w:tcPr>
          <w:p w14:paraId="4F3ABA0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31 477,2</w:t>
            </w:r>
          </w:p>
        </w:tc>
      </w:tr>
      <w:tr w:rsidR="00F475A1" w:rsidRPr="00F475A1" w14:paraId="1919D937" w14:textId="77777777" w:rsidTr="00846850">
        <w:trPr>
          <w:trHeight w:val="315"/>
        </w:trPr>
        <w:tc>
          <w:tcPr>
            <w:tcW w:w="2682" w:type="dxa"/>
            <w:shd w:val="clear" w:color="000000" w:fill="F2F2F2"/>
            <w:vAlign w:val="center"/>
            <w:hideMark/>
          </w:tcPr>
          <w:p w14:paraId="7D4331EA" w14:textId="77777777" w:rsidR="00F475A1" w:rsidRPr="00F475A1" w:rsidRDefault="00F475A1" w:rsidP="00F475A1">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Житлові будинки</w:t>
            </w:r>
          </w:p>
        </w:tc>
        <w:tc>
          <w:tcPr>
            <w:tcW w:w="1355" w:type="dxa"/>
            <w:shd w:val="clear" w:color="000000" w:fill="D8E4BC"/>
            <w:vAlign w:val="center"/>
            <w:hideMark/>
          </w:tcPr>
          <w:p w14:paraId="15DED4D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199 629,2</w:t>
            </w:r>
          </w:p>
        </w:tc>
        <w:tc>
          <w:tcPr>
            <w:tcW w:w="1221" w:type="dxa"/>
            <w:shd w:val="clear" w:color="000000" w:fill="D8E4BC"/>
            <w:vAlign w:val="center"/>
            <w:hideMark/>
          </w:tcPr>
          <w:p w14:paraId="20983F9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323 014,0</w:t>
            </w:r>
          </w:p>
        </w:tc>
        <w:tc>
          <w:tcPr>
            <w:tcW w:w="1391" w:type="dxa"/>
            <w:shd w:val="clear" w:color="000000" w:fill="D8E4BC"/>
            <w:vAlign w:val="center"/>
            <w:hideMark/>
          </w:tcPr>
          <w:p w14:paraId="0BCCEEA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52 642,5</w:t>
            </w:r>
          </w:p>
        </w:tc>
        <w:tc>
          <w:tcPr>
            <w:tcW w:w="1421" w:type="dxa"/>
            <w:shd w:val="clear" w:color="000000" w:fill="D8E4BC"/>
            <w:vAlign w:val="center"/>
            <w:hideMark/>
          </w:tcPr>
          <w:p w14:paraId="4FED6D1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89" w:type="dxa"/>
            <w:shd w:val="clear" w:color="000000" w:fill="D8E4BC"/>
            <w:vAlign w:val="center"/>
            <w:hideMark/>
          </w:tcPr>
          <w:p w14:paraId="627EEA10"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075" w:type="dxa"/>
            <w:shd w:val="clear" w:color="000000" w:fill="D8E4BC"/>
            <w:vAlign w:val="center"/>
            <w:hideMark/>
          </w:tcPr>
          <w:p w14:paraId="39E6586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792" w:type="dxa"/>
            <w:shd w:val="clear" w:color="000000" w:fill="D8E4BC"/>
            <w:vAlign w:val="center"/>
            <w:hideMark/>
          </w:tcPr>
          <w:p w14:paraId="54DB4E0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0,0</w:t>
            </w:r>
          </w:p>
        </w:tc>
        <w:tc>
          <w:tcPr>
            <w:tcW w:w="1546" w:type="dxa"/>
            <w:shd w:val="clear" w:color="000000" w:fill="D8E4BC"/>
            <w:vAlign w:val="center"/>
            <w:hideMark/>
          </w:tcPr>
          <w:p w14:paraId="7C4D22C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0,0</w:t>
            </w:r>
          </w:p>
        </w:tc>
        <w:tc>
          <w:tcPr>
            <w:tcW w:w="1110" w:type="dxa"/>
            <w:shd w:val="clear" w:color="000000" w:fill="D8E4BC"/>
            <w:vAlign w:val="center"/>
            <w:hideMark/>
          </w:tcPr>
          <w:p w14:paraId="363B398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2750,6</w:t>
            </w:r>
          </w:p>
        </w:tc>
      </w:tr>
      <w:tr w:rsidR="00F475A1" w:rsidRPr="00F475A1" w14:paraId="410E5082" w14:textId="77777777" w:rsidTr="00846850">
        <w:trPr>
          <w:trHeight w:val="330"/>
        </w:trPr>
        <w:tc>
          <w:tcPr>
            <w:tcW w:w="14682" w:type="dxa"/>
            <w:gridSpan w:val="10"/>
            <w:shd w:val="clear" w:color="000000" w:fill="F2F2F2"/>
            <w:vAlign w:val="center"/>
            <w:hideMark/>
          </w:tcPr>
          <w:p w14:paraId="0FAED42C" w14:textId="77777777" w:rsidR="00F475A1" w:rsidRPr="00F475A1" w:rsidRDefault="00F475A1" w:rsidP="00F475A1">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Транспорт</w:t>
            </w:r>
          </w:p>
        </w:tc>
      </w:tr>
      <w:tr w:rsidR="00F475A1" w:rsidRPr="00F475A1" w14:paraId="64B96400" w14:textId="77777777" w:rsidTr="00846850">
        <w:trPr>
          <w:trHeight w:val="615"/>
        </w:trPr>
        <w:tc>
          <w:tcPr>
            <w:tcW w:w="2682" w:type="dxa"/>
            <w:shd w:val="clear" w:color="auto" w:fill="auto"/>
            <w:vAlign w:val="center"/>
            <w:hideMark/>
          </w:tcPr>
          <w:p w14:paraId="5D3371BA"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Муніципальний транспорт</w:t>
            </w:r>
          </w:p>
        </w:tc>
        <w:tc>
          <w:tcPr>
            <w:tcW w:w="1355" w:type="dxa"/>
            <w:shd w:val="clear" w:color="000000" w:fill="D8E4BC"/>
            <w:vAlign w:val="center"/>
            <w:hideMark/>
          </w:tcPr>
          <w:p w14:paraId="199ED8F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221" w:type="dxa"/>
            <w:shd w:val="clear" w:color="000000" w:fill="D8E4BC"/>
            <w:vAlign w:val="center"/>
            <w:hideMark/>
          </w:tcPr>
          <w:p w14:paraId="7DF75BBD"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0,0</w:t>
            </w:r>
          </w:p>
        </w:tc>
        <w:tc>
          <w:tcPr>
            <w:tcW w:w="1391" w:type="dxa"/>
            <w:shd w:val="clear" w:color="000000" w:fill="D8E4BC"/>
            <w:vAlign w:val="center"/>
            <w:hideMark/>
          </w:tcPr>
          <w:p w14:paraId="15876F3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38,8</w:t>
            </w:r>
          </w:p>
        </w:tc>
        <w:tc>
          <w:tcPr>
            <w:tcW w:w="1421" w:type="dxa"/>
            <w:shd w:val="clear" w:color="000000" w:fill="D8E4BC"/>
            <w:vAlign w:val="center"/>
            <w:hideMark/>
          </w:tcPr>
          <w:p w14:paraId="07C1D60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201,9</w:t>
            </w:r>
          </w:p>
        </w:tc>
        <w:tc>
          <w:tcPr>
            <w:tcW w:w="1089" w:type="dxa"/>
            <w:shd w:val="clear" w:color="000000" w:fill="D8E4BC"/>
            <w:vAlign w:val="center"/>
            <w:hideMark/>
          </w:tcPr>
          <w:p w14:paraId="323C0CC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553,5</w:t>
            </w:r>
          </w:p>
        </w:tc>
        <w:tc>
          <w:tcPr>
            <w:tcW w:w="1075" w:type="dxa"/>
            <w:shd w:val="clear" w:color="000000" w:fill="D8E4BC"/>
            <w:vAlign w:val="center"/>
            <w:hideMark/>
          </w:tcPr>
          <w:p w14:paraId="44C3FAE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215,3</w:t>
            </w:r>
          </w:p>
        </w:tc>
        <w:tc>
          <w:tcPr>
            <w:tcW w:w="1792" w:type="dxa"/>
            <w:shd w:val="clear" w:color="000000" w:fill="D8E4BC"/>
            <w:vAlign w:val="center"/>
            <w:hideMark/>
          </w:tcPr>
          <w:p w14:paraId="2D7D2F0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546" w:type="dxa"/>
            <w:shd w:val="clear" w:color="000000" w:fill="D8E4BC"/>
            <w:vAlign w:val="center"/>
            <w:hideMark/>
          </w:tcPr>
          <w:p w14:paraId="3681375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1634053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r>
      <w:tr w:rsidR="00F475A1" w:rsidRPr="00F475A1" w14:paraId="25D4254B" w14:textId="77777777" w:rsidTr="00846850">
        <w:trPr>
          <w:trHeight w:val="615"/>
        </w:trPr>
        <w:tc>
          <w:tcPr>
            <w:tcW w:w="2682" w:type="dxa"/>
            <w:shd w:val="clear" w:color="auto" w:fill="auto"/>
            <w:vAlign w:val="center"/>
            <w:hideMark/>
          </w:tcPr>
          <w:p w14:paraId="373E3D5A"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lastRenderedPageBreak/>
              <w:t>- Громадський транспорт</w:t>
            </w:r>
          </w:p>
        </w:tc>
        <w:tc>
          <w:tcPr>
            <w:tcW w:w="1355" w:type="dxa"/>
            <w:shd w:val="clear" w:color="000000" w:fill="D8E4BC"/>
            <w:vAlign w:val="center"/>
            <w:hideMark/>
          </w:tcPr>
          <w:p w14:paraId="69C4680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10 341,9</w:t>
            </w:r>
          </w:p>
        </w:tc>
        <w:tc>
          <w:tcPr>
            <w:tcW w:w="1221" w:type="dxa"/>
            <w:shd w:val="clear" w:color="000000" w:fill="D8E4BC"/>
            <w:vAlign w:val="center"/>
            <w:hideMark/>
          </w:tcPr>
          <w:p w14:paraId="2ED6E50D"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391" w:type="dxa"/>
            <w:shd w:val="clear" w:color="000000" w:fill="D8E4BC"/>
            <w:vAlign w:val="center"/>
            <w:hideMark/>
          </w:tcPr>
          <w:p w14:paraId="051DF2C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26 117,8</w:t>
            </w:r>
          </w:p>
        </w:tc>
        <w:tc>
          <w:tcPr>
            <w:tcW w:w="1421" w:type="dxa"/>
            <w:shd w:val="clear" w:color="000000" w:fill="D8E4BC"/>
            <w:vAlign w:val="center"/>
            <w:hideMark/>
          </w:tcPr>
          <w:p w14:paraId="68F7619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0,0</w:t>
            </w:r>
          </w:p>
        </w:tc>
        <w:tc>
          <w:tcPr>
            <w:tcW w:w="1089" w:type="dxa"/>
            <w:shd w:val="clear" w:color="000000" w:fill="D8E4BC"/>
            <w:vAlign w:val="center"/>
            <w:hideMark/>
          </w:tcPr>
          <w:p w14:paraId="756862A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1 076,3</w:t>
            </w:r>
          </w:p>
        </w:tc>
        <w:tc>
          <w:tcPr>
            <w:tcW w:w="1075" w:type="dxa"/>
            <w:shd w:val="clear" w:color="000000" w:fill="D8E4BC"/>
            <w:vAlign w:val="center"/>
            <w:hideMark/>
          </w:tcPr>
          <w:p w14:paraId="409E923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0,0</w:t>
            </w:r>
          </w:p>
        </w:tc>
        <w:tc>
          <w:tcPr>
            <w:tcW w:w="1792" w:type="dxa"/>
            <w:shd w:val="clear" w:color="000000" w:fill="D8E4BC"/>
            <w:vAlign w:val="center"/>
            <w:hideMark/>
          </w:tcPr>
          <w:p w14:paraId="1E5C1C2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546" w:type="dxa"/>
            <w:shd w:val="clear" w:color="000000" w:fill="D8E4BC"/>
            <w:vAlign w:val="center"/>
            <w:hideMark/>
          </w:tcPr>
          <w:p w14:paraId="4EAFD0C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49E9B51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r>
      <w:tr w:rsidR="00F475A1" w:rsidRPr="00F475A1" w14:paraId="1F89218F" w14:textId="77777777" w:rsidTr="00846850">
        <w:trPr>
          <w:trHeight w:val="615"/>
        </w:trPr>
        <w:tc>
          <w:tcPr>
            <w:tcW w:w="2682" w:type="dxa"/>
            <w:shd w:val="clear" w:color="auto" w:fill="auto"/>
            <w:vAlign w:val="center"/>
            <w:hideMark/>
          </w:tcPr>
          <w:p w14:paraId="56A77919"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Приватний та комерційний транспорт</w:t>
            </w:r>
          </w:p>
        </w:tc>
        <w:tc>
          <w:tcPr>
            <w:tcW w:w="1355" w:type="dxa"/>
            <w:shd w:val="clear" w:color="000000" w:fill="D8E4BC"/>
            <w:vAlign w:val="center"/>
            <w:hideMark/>
          </w:tcPr>
          <w:p w14:paraId="71DD9F87"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1161,0</w:t>
            </w:r>
          </w:p>
        </w:tc>
        <w:tc>
          <w:tcPr>
            <w:tcW w:w="1221" w:type="dxa"/>
            <w:shd w:val="clear" w:color="000000" w:fill="D8E4BC"/>
            <w:vAlign w:val="center"/>
            <w:hideMark/>
          </w:tcPr>
          <w:p w14:paraId="5E3DEA03"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391" w:type="dxa"/>
            <w:shd w:val="clear" w:color="000000" w:fill="D8E4BC"/>
            <w:vAlign w:val="center"/>
            <w:hideMark/>
          </w:tcPr>
          <w:p w14:paraId="08476B8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167,1</w:t>
            </w:r>
          </w:p>
        </w:tc>
        <w:tc>
          <w:tcPr>
            <w:tcW w:w="1421" w:type="dxa"/>
            <w:shd w:val="clear" w:color="000000" w:fill="D8E4BC"/>
            <w:vAlign w:val="center"/>
            <w:hideMark/>
          </w:tcPr>
          <w:p w14:paraId="36F5E0B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5 696,0</w:t>
            </w:r>
          </w:p>
        </w:tc>
        <w:tc>
          <w:tcPr>
            <w:tcW w:w="1089" w:type="dxa"/>
            <w:shd w:val="clear" w:color="000000" w:fill="D8E4BC"/>
            <w:vAlign w:val="center"/>
            <w:hideMark/>
          </w:tcPr>
          <w:p w14:paraId="11BB3DFA"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7 729,5</w:t>
            </w:r>
          </w:p>
        </w:tc>
        <w:tc>
          <w:tcPr>
            <w:tcW w:w="1075" w:type="dxa"/>
            <w:shd w:val="clear" w:color="000000" w:fill="D8E4BC"/>
            <w:vAlign w:val="center"/>
            <w:hideMark/>
          </w:tcPr>
          <w:p w14:paraId="574563B4"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4 058,2</w:t>
            </w:r>
          </w:p>
        </w:tc>
        <w:tc>
          <w:tcPr>
            <w:tcW w:w="1792" w:type="dxa"/>
            <w:shd w:val="clear" w:color="000000" w:fill="D8E4BC"/>
            <w:vAlign w:val="center"/>
            <w:hideMark/>
          </w:tcPr>
          <w:p w14:paraId="1C0EDFF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546" w:type="dxa"/>
            <w:shd w:val="clear" w:color="000000" w:fill="D8E4BC"/>
            <w:vAlign w:val="center"/>
            <w:hideMark/>
          </w:tcPr>
          <w:p w14:paraId="01B2A59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3D87D87E"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r>
      <w:tr w:rsidR="00F475A1" w:rsidRPr="00F475A1" w14:paraId="29F4C4CB" w14:textId="77777777" w:rsidTr="00846850">
        <w:trPr>
          <w:trHeight w:val="375"/>
        </w:trPr>
        <w:tc>
          <w:tcPr>
            <w:tcW w:w="14682" w:type="dxa"/>
            <w:gridSpan w:val="10"/>
            <w:shd w:val="clear" w:color="000000" w:fill="F2F2F2"/>
            <w:vAlign w:val="center"/>
            <w:hideMark/>
          </w:tcPr>
          <w:p w14:paraId="6AD935E0" w14:textId="77777777" w:rsidR="00F475A1" w:rsidRPr="00F475A1" w:rsidRDefault="00F475A1" w:rsidP="00F475A1">
            <w:pPr>
              <w:spacing w:after="0" w:line="240" w:lineRule="auto"/>
              <w:rPr>
                <w:rFonts w:ascii="Times New Roman" w:eastAsia="Times New Roman" w:hAnsi="Times New Roman" w:cs="Times New Roman"/>
                <w:b/>
                <w:bCs/>
              </w:rPr>
            </w:pPr>
            <w:r w:rsidRPr="00F475A1">
              <w:rPr>
                <w:rFonts w:ascii="Times New Roman" w:eastAsia="Times New Roman" w:hAnsi="Times New Roman" w:cs="Times New Roman"/>
                <w:b/>
                <w:bCs/>
              </w:rPr>
              <w:t>Інші</w:t>
            </w:r>
          </w:p>
        </w:tc>
      </w:tr>
      <w:tr w:rsidR="00F475A1" w:rsidRPr="00F475A1" w14:paraId="392FE55F" w14:textId="77777777" w:rsidTr="00846850">
        <w:trPr>
          <w:trHeight w:val="615"/>
        </w:trPr>
        <w:tc>
          <w:tcPr>
            <w:tcW w:w="2682" w:type="dxa"/>
            <w:shd w:val="clear" w:color="auto" w:fill="auto"/>
            <w:vAlign w:val="center"/>
            <w:hideMark/>
          </w:tcPr>
          <w:p w14:paraId="2E2E614F" w14:textId="77777777" w:rsidR="00F475A1" w:rsidRPr="00F475A1" w:rsidRDefault="00F475A1" w:rsidP="00F475A1">
            <w:pPr>
              <w:spacing w:after="0" w:line="240" w:lineRule="auto"/>
              <w:ind w:firstLineChars="200" w:firstLine="440"/>
              <w:rPr>
                <w:rFonts w:ascii="Times New Roman" w:eastAsia="Times New Roman" w:hAnsi="Times New Roman" w:cs="Times New Roman"/>
              </w:rPr>
            </w:pPr>
            <w:r w:rsidRPr="00F475A1">
              <w:rPr>
                <w:rFonts w:ascii="Times New Roman" w:eastAsia="Times New Roman" w:hAnsi="Times New Roman" w:cs="Times New Roman"/>
              </w:rPr>
              <w:t>- Інші - управління відходами</w:t>
            </w:r>
          </w:p>
        </w:tc>
        <w:tc>
          <w:tcPr>
            <w:tcW w:w="1355" w:type="dxa"/>
            <w:shd w:val="clear" w:color="000000" w:fill="D8E4BC"/>
            <w:vAlign w:val="center"/>
            <w:hideMark/>
          </w:tcPr>
          <w:p w14:paraId="4457EB11"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221" w:type="dxa"/>
            <w:shd w:val="clear" w:color="000000" w:fill="D8E4BC"/>
            <w:vAlign w:val="center"/>
            <w:hideMark/>
          </w:tcPr>
          <w:p w14:paraId="7BE1BD12"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391" w:type="dxa"/>
            <w:shd w:val="clear" w:color="000000" w:fill="D8E4BC"/>
            <w:vAlign w:val="center"/>
            <w:hideMark/>
          </w:tcPr>
          <w:p w14:paraId="1E1F49D6"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1 693,5</w:t>
            </w:r>
          </w:p>
        </w:tc>
        <w:tc>
          <w:tcPr>
            <w:tcW w:w="1421" w:type="dxa"/>
            <w:shd w:val="clear" w:color="000000" w:fill="D8E4BC"/>
            <w:vAlign w:val="center"/>
            <w:hideMark/>
          </w:tcPr>
          <w:p w14:paraId="3160589B"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89" w:type="dxa"/>
            <w:shd w:val="clear" w:color="000000" w:fill="D8E4BC"/>
            <w:vAlign w:val="center"/>
            <w:hideMark/>
          </w:tcPr>
          <w:p w14:paraId="5833FF2F"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075" w:type="dxa"/>
            <w:shd w:val="clear" w:color="000000" w:fill="D8E4BC"/>
            <w:vAlign w:val="center"/>
            <w:hideMark/>
          </w:tcPr>
          <w:p w14:paraId="5DD195D9"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c>
          <w:tcPr>
            <w:tcW w:w="1792" w:type="dxa"/>
            <w:shd w:val="clear" w:color="000000" w:fill="D8E4BC"/>
            <w:vAlign w:val="center"/>
            <w:hideMark/>
          </w:tcPr>
          <w:p w14:paraId="4C6E95A0"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546" w:type="dxa"/>
            <w:shd w:val="clear" w:color="000000" w:fill="D8E4BC"/>
            <w:vAlign w:val="center"/>
            <w:hideMark/>
          </w:tcPr>
          <w:p w14:paraId="496EF543"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НІ</w:t>
            </w:r>
          </w:p>
        </w:tc>
        <w:tc>
          <w:tcPr>
            <w:tcW w:w="1110" w:type="dxa"/>
            <w:shd w:val="clear" w:color="000000" w:fill="D8E4BC"/>
            <w:vAlign w:val="center"/>
            <w:hideMark/>
          </w:tcPr>
          <w:p w14:paraId="40C3F8E3" w14:textId="77777777" w:rsidR="00F475A1" w:rsidRPr="00F475A1" w:rsidRDefault="00F475A1" w:rsidP="00F475A1">
            <w:pPr>
              <w:spacing w:after="0" w:line="240" w:lineRule="auto"/>
              <w:jc w:val="center"/>
              <w:rPr>
                <w:rFonts w:ascii="Times New Roman" w:eastAsia="Times New Roman" w:hAnsi="Times New Roman" w:cs="Times New Roman"/>
              </w:rPr>
            </w:pPr>
            <w:r w:rsidRPr="00F475A1">
              <w:rPr>
                <w:rFonts w:ascii="Times New Roman" w:eastAsia="Times New Roman" w:hAnsi="Times New Roman" w:cs="Times New Roman"/>
              </w:rPr>
              <w:t>ВІ</w:t>
            </w:r>
          </w:p>
        </w:tc>
      </w:tr>
      <w:tr w:rsidR="00F475A1" w:rsidRPr="00F475A1" w14:paraId="464AF2B8" w14:textId="77777777" w:rsidTr="00846850">
        <w:trPr>
          <w:trHeight w:val="315"/>
        </w:trPr>
        <w:tc>
          <w:tcPr>
            <w:tcW w:w="2682" w:type="dxa"/>
            <w:shd w:val="clear" w:color="auto" w:fill="auto"/>
            <w:vAlign w:val="center"/>
            <w:hideMark/>
          </w:tcPr>
          <w:p w14:paraId="7D7F3D3B" w14:textId="77777777" w:rsidR="00F475A1" w:rsidRPr="00F475A1" w:rsidRDefault="00F475A1" w:rsidP="00F475A1">
            <w:pPr>
              <w:spacing w:after="0" w:line="240" w:lineRule="auto"/>
              <w:jc w:val="right"/>
              <w:rPr>
                <w:rFonts w:ascii="Times New Roman" w:eastAsia="Times New Roman" w:hAnsi="Times New Roman" w:cs="Times New Roman"/>
                <w:b/>
                <w:bCs/>
              </w:rPr>
            </w:pPr>
            <w:r w:rsidRPr="00F475A1">
              <w:rPr>
                <w:rFonts w:ascii="Times New Roman" w:eastAsia="Times New Roman" w:hAnsi="Times New Roman" w:cs="Times New Roman"/>
                <w:b/>
                <w:bCs/>
              </w:rPr>
              <w:t>Разом</w:t>
            </w:r>
          </w:p>
        </w:tc>
        <w:tc>
          <w:tcPr>
            <w:tcW w:w="1355" w:type="dxa"/>
            <w:shd w:val="clear" w:color="000000" w:fill="D8E4BC"/>
            <w:vAlign w:val="center"/>
            <w:hideMark/>
          </w:tcPr>
          <w:p w14:paraId="155D0AD4"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327 254,9</w:t>
            </w:r>
          </w:p>
        </w:tc>
        <w:tc>
          <w:tcPr>
            <w:tcW w:w="1221" w:type="dxa"/>
            <w:shd w:val="clear" w:color="000000" w:fill="D8E4BC"/>
            <w:vAlign w:val="center"/>
            <w:hideMark/>
          </w:tcPr>
          <w:p w14:paraId="2D752D60"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362 994,3</w:t>
            </w:r>
          </w:p>
        </w:tc>
        <w:tc>
          <w:tcPr>
            <w:tcW w:w="1391" w:type="dxa"/>
            <w:shd w:val="clear" w:color="000000" w:fill="D8E4BC"/>
            <w:vAlign w:val="center"/>
            <w:hideMark/>
          </w:tcPr>
          <w:p w14:paraId="035A84DC"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101 104,9</w:t>
            </w:r>
          </w:p>
        </w:tc>
        <w:tc>
          <w:tcPr>
            <w:tcW w:w="1421" w:type="dxa"/>
            <w:shd w:val="clear" w:color="000000" w:fill="D8E4BC"/>
            <w:vAlign w:val="center"/>
            <w:hideMark/>
          </w:tcPr>
          <w:p w14:paraId="42A79C40"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5 897,9</w:t>
            </w:r>
          </w:p>
        </w:tc>
        <w:tc>
          <w:tcPr>
            <w:tcW w:w="1089" w:type="dxa"/>
            <w:shd w:val="clear" w:color="000000" w:fill="D8E4BC"/>
            <w:vAlign w:val="center"/>
            <w:hideMark/>
          </w:tcPr>
          <w:p w14:paraId="33222329"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9 359,3</w:t>
            </w:r>
          </w:p>
        </w:tc>
        <w:tc>
          <w:tcPr>
            <w:tcW w:w="1075" w:type="dxa"/>
            <w:shd w:val="clear" w:color="000000" w:fill="D8E4BC"/>
            <w:vAlign w:val="center"/>
            <w:hideMark/>
          </w:tcPr>
          <w:p w14:paraId="3FABA28D"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4 273,5</w:t>
            </w:r>
          </w:p>
        </w:tc>
        <w:tc>
          <w:tcPr>
            <w:tcW w:w="1792" w:type="dxa"/>
            <w:shd w:val="clear" w:color="000000" w:fill="D8E4BC"/>
            <w:vAlign w:val="center"/>
            <w:hideMark/>
          </w:tcPr>
          <w:p w14:paraId="3687E014"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1 633,6</w:t>
            </w:r>
          </w:p>
        </w:tc>
        <w:tc>
          <w:tcPr>
            <w:tcW w:w="1546" w:type="dxa"/>
            <w:shd w:val="clear" w:color="000000" w:fill="D8E4BC"/>
            <w:vAlign w:val="center"/>
            <w:hideMark/>
          </w:tcPr>
          <w:p w14:paraId="15AC257A"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8,5</w:t>
            </w:r>
          </w:p>
        </w:tc>
        <w:tc>
          <w:tcPr>
            <w:tcW w:w="1110" w:type="dxa"/>
            <w:shd w:val="clear" w:color="000000" w:fill="D8E4BC"/>
            <w:vAlign w:val="center"/>
            <w:hideMark/>
          </w:tcPr>
          <w:p w14:paraId="0826745E" w14:textId="77777777" w:rsidR="00F475A1" w:rsidRPr="00F475A1" w:rsidRDefault="00F475A1" w:rsidP="00F475A1">
            <w:pPr>
              <w:spacing w:after="0" w:line="240" w:lineRule="auto"/>
              <w:jc w:val="center"/>
              <w:rPr>
                <w:rFonts w:ascii="Times New Roman" w:eastAsia="Times New Roman" w:hAnsi="Times New Roman" w:cs="Times New Roman"/>
                <w:b/>
                <w:bCs/>
              </w:rPr>
            </w:pPr>
            <w:r w:rsidRPr="00F475A1">
              <w:rPr>
                <w:rFonts w:ascii="Times New Roman" w:eastAsia="Times New Roman" w:hAnsi="Times New Roman" w:cs="Times New Roman"/>
                <w:b/>
                <w:bCs/>
              </w:rPr>
              <w:t>37 194,9</w:t>
            </w:r>
          </w:p>
        </w:tc>
      </w:tr>
    </w:tbl>
    <w:p w14:paraId="444E5C01" w14:textId="77777777" w:rsidR="00F475A1" w:rsidRDefault="00846850" w:rsidP="00846850">
      <w:pP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д</w:t>
      </w:r>
      <w:r>
        <w:rPr>
          <w:rFonts w:ascii="Times New Roman" w:eastAsia="Times New Roman" w:hAnsi="Times New Roman" w:cs="Times New Roman"/>
          <w:color w:val="000000"/>
          <w:sz w:val="24"/>
          <w:szCs w:val="24"/>
        </w:rPr>
        <w:t>іяльність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Pr>
          <w:rFonts w:ascii="Times New Roman" w:eastAsia="Times New Roman" w:hAnsi="Times New Roman" w:cs="Times New Roman"/>
          <w:b/>
          <w:color w:val="000000"/>
          <w:sz w:val="24"/>
          <w:szCs w:val="24"/>
        </w:rPr>
        <w:t xml:space="preserve"> - </w:t>
      </w:r>
      <w:r>
        <w:rPr>
          <w:rFonts w:ascii="Times New Roman" w:eastAsia="Times New Roman" w:hAnsi="Times New Roman" w:cs="Times New Roman"/>
          <w:color w:val="000000"/>
          <w:sz w:val="24"/>
          <w:szCs w:val="24"/>
        </w:rPr>
        <w:t>дані враховано в інших секторах.</w:t>
      </w:r>
    </w:p>
    <w:p w14:paraId="0D2C6011" w14:textId="77777777" w:rsidR="00846850" w:rsidRDefault="00846850" w:rsidP="00846850">
      <w:pPr>
        <w:spacing w:after="0"/>
        <w:jc w:val="both"/>
        <w:rPr>
          <w:rFonts w:ascii="Times New Roman" w:eastAsia="Times New Roman" w:hAnsi="Times New Roman" w:cs="Times New Roman"/>
          <w:sz w:val="24"/>
          <w:szCs w:val="24"/>
        </w:rPr>
      </w:pPr>
    </w:p>
    <w:p w14:paraId="7A6E2D83" w14:textId="77777777" w:rsidR="00C82386" w:rsidRDefault="00E66F64">
      <w:pPr>
        <w:keepNext/>
        <w:keepLines/>
        <w:numPr>
          <w:ilvl w:val="1"/>
          <w:numId w:val="24"/>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57" w:name="_heading=h.1egqt2p" w:colFirst="0" w:colLast="0"/>
      <w:bookmarkEnd w:id="57"/>
      <w:r>
        <w:rPr>
          <w:rFonts w:ascii="Times New Roman" w:eastAsia="Times New Roman" w:hAnsi="Times New Roman" w:cs="Times New Roman"/>
          <w:b/>
          <w:color w:val="000000"/>
          <w:sz w:val="24"/>
          <w:szCs w:val="24"/>
        </w:rPr>
        <w:t>Споживання енергоресурсів в МВт‧год у 2020 р.</w:t>
      </w:r>
    </w:p>
    <w:p w14:paraId="6FD4E369" w14:textId="77777777" w:rsidR="00C82386" w:rsidRDefault="004341E7">
      <w:pPr>
        <w:spacing w:after="0" w:line="240" w:lineRule="auto"/>
        <w:rPr>
          <w:rFonts w:ascii="Times New Roman" w:eastAsia="Times New Roman" w:hAnsi="Times New Roman" w:cs="Times New Roman"/>
          <w:sz w:val="24"/>
          <w:szCs w:val="24"/>
        </w:rPr>
      </w:pPr>
      <w:sdt>
        <w:sdtPr>
          <w:tag w:val="goog_rdk_75"/>
          <w:id w:val="-1402825933"/>
        </w:sdtPr>
        <w:sdtEndPr/>
        <w:sdtContent>
          <w:r w:rsidR="00E66F64">
            <w:rPr>
              <w:rFonts w:ascii="Gungsuh" w:eastAsia="Gungsuh" w:hAnsi="Gungsuh" w:cs="Gungsuh"/>
              <w:sz w:val="24"/>
              <w:szCs w:val="24"/>
            </w:rPr>
            <w:t>Коефіцієнти переведення з натуральних показників споживання енергоресурсів в МВт∙год наведені в пункті 4.3.</w:t>
          </w:r>
        </w:sdtContent>
      </w:sdt>
    </w:p>
    <w:p w14:paraId="552537D7" w14:textId="77777777" w:rsidR="00C82386" w:rsidRDefault="00E66F64">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5.2.</w:t>
      </w:r>
    </w:p>
    <w:p w14:paraId="0FDC2753" w14:textId="77777777" w:rsidR="00C82386" w:rsidRDefault="004341E7">
      <w:pPr>
        <w:spacing w:after="0"/>
        <w:jc w:val="center"/>
      </w:pPr>
      <w:sdt>
        <w:sdtPr>
          <w:tag w:val="goog_rdk_76"/>
          <w:id w:val="1497074650"/>
        </w:sdtPr>
        <w:sdtEndPr/>
        <w:sdtContent>
          <w:r w:rsidR="00E66F64">
            <w:rPr>
              <w:rFonts w:ascii="Gungsuh" w:eastAsia="Gungsuh" w:hAnsi="Gungsuh" w:cs="Gungsuh"/>
              <w:sz w:val="24"/>
              <w:szCs w:val="24"/>
            </w:rPr>
            <w:t>Кадастр споживання енергоресурсів для обраних секторів кінцевих споживачів у 2020 р., МВт∙год.</w:t>
          </w:r>
        </w:sdtContent>
      </w:sdt>
    </w:p>
    <w:tbl>
      <w:tblPr>
        <w:tblW w:w="14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5"/>
        <w:gridCol w:w="1159"/>
        <w:gridCol w:w="993"/>
        <w:gridCol w:w="1134"/>
        <w:gridCol w:w="1275"/>
        <w:gridCol w:w="993"/>
        <w:gridCol w:w="992"/>
        <w:gridCol w:w="1134"/>
        <w:gridCol w:w="992"/>
        <w:gridCol w:w="1108"/>
        <w:gridCol w:w="1252"/>
        <w:gridCol w:w="939"/>
      </w:tblGrid>
      <w:tr w:rsidR="00846850" w:rsidRPr="00846850" w14:paraId="1BFAD3B4" w14:textId="77777777" w:rsidTr="00846850">
        <w:trPr>
          <w:trHeight w:val="330"/>
        </w:trPr>
        <w:tc>
          <w:tcPr>
            <w:tcW w:w="2805" w:type="dxa"/>
            <w:vMerge w:val="restart"/>
            <w:shd w:val="clear" w:color="auto" w:fill="auto"/>
            <w:tcMar>
              <w:left w:w="28" w:type="dxa"/>
              <w:right w:w="28" w:type="dxa"/>
            </w:tcMar>
            <w:vAlign w:val="center"/>
            <w:hideMark/>
          </w:tcPr>
          <w:p w14:paraId="0BDD4411" w14:textId="77777777" w:rsidR="00846850" w:rsidRPr="00846850" w:rsidRDefault="00846850" w:rsidP="00846850">
            <w:pPr>
              <w:spacing w:after="0" w:line="240" w:lineRule="auto"/>
              <w:jc w:val="center"/>
              <w:rPr>
                <w:rFonts w:ascii="Times New Roman" w:eastAsia="Times New Roman" w:hAnsi="Times New Roman" w:cs="Times New Roman"/>
                <w:b/>
                <w:bCs/>
              </w:rPr>
            </w:pPr>
            <w:r w:rsidRPr="00846850">
              <w:rPr>
                <w:rFonts w:ascii="Times New Roman" w:eastAsia="Times New Roman" w:hAnsi="Times New Roman" w:cs="Times New Roman"/>
                <w:b/>
                <w:bCs/>
              </w:rPr>
              <w:t>Сектори кінцевих споживачів енергоресурсів</w:t>
            </w:r>
          </w:p>
        </w:tc>
        <w:tc>
          <w:tcPr>
            <w:tcW w:w="11971" w:type="dxa"/>
            <w:gridSpan w:val="11"/>
            <w:shd w:val="clear" w:color="auto" w:fill="auto"/>
            <w:tcMar>
              <w:left w:w="28" w:type="dxa"/>
              <w:right w:w="28" w:type="dxa"/>
            </w:tcMar>
            <w:vAlign w:val="center"/>
            <w:hideMark/>
          </w:tcPr>
          <w:p w14:paraId="4288FA65" w14:textId="77777777" w:rsidR="00846850" w:rsidRPr="00846850" w:rsidRDefault="00846850" w:rsidP="00846850">
            <w:pPr>
              <w:spacing w:after="0" w:line="240" w:lineRule="auto"/>
              <w:jc w:val="center"/>
              <w:rPr>
                <w:rFonts w:ascii="Times New Roman" w:eastAsia="Times New Roman" w:hAnsi="Times New Roman" w:cs="Times New Roman"/>
                <w:b/>
                <w:bCs/>
              </w:rPr>
            </w:pPr>
            <w:r w:rsidRPr="00846850">
              <w:rPr>
                <w:rFonts w:ascii="Times New Roman" w:eastAsia="Times New Roman" w:hAnsi="Times New Roman" w:cs="Times New Roman"/>
                <w:b/>
                <w:bCs/>
              </w:rPr>
              <w:t>Обсяги споживання енергоресурсів</w:t>
            </w:r>
          </w:p>
        </w:tc>
      </w:tr>
      <w:tr w:rsidR="00846850" w:rsidRPr="00846850" w14:paraId="51B3016D" w14:textId="77777777" w:rsidTr="00846850">
        <w:trPr>
          <w:trHeight w:val="330"/>
        </w:trPr>
        <w:tc>
          <w:tcPr>
            <w:tcW w:w="2805" w:type="dxa"/>
            <w:vMerge/>
            <w:tcMar>
              <w:left w:w="28" w:type="dxa"/>
              <w:right w:w="28" w:type="dxa"/>
            </w:tcMar>
            <w:vAlign w:val="center"/>
            <w:hideMark/>
          </w:tcPr>
          <w:p w14:paraId="00986029" w14:textId="77777777" w:rsidR="00846850" w:rsidRPr="00846850" w:rsidRDefault="00846850" w:rsidP="00846850">
            <w:pPr>
              <w:spacing w:after="0" w:line="240" w:lineRule="auto"/>
              <w:rPr>
                <w:rFonts w:ascii="Times New Roman" w:eastAsia="Times New Roman" w:hAnsi="Times New Roman" w:cs="Times New Roman"/>
                <w:b/>
                <w:bCs/>
              </w:rPr>
            </w:pPr>
          </w:p>
        </w:tc>
        <w:tc>
          <w:tcPr>
            <w:tcW w:w="1159" w:type="dxa"/>
            <w:vMerge w:val="restart"/>
            <w:shd w:val="clear" w:color="auto" w:fill="auto"/>
            <w:tcMar>
              <w:left w:w="28" w:type="dxa"/>
              <w:right w:w="28" w:type="dxa"/>
            </w:tcMar>
            <w:vAlign w:val="center"/>
            <w:hideMark/>
          </w:tcPr>
          <w:p w14:paraId="70ADA81C"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Електрична енергія</w:t>
            </w:r>
          </w:p>
        </w:tc>
        <w:tc>
          <w:tcPr>
            <w:tcW w:w="993" w:type="dxa"/>
            <w:vMerge w:val="restart"/>
            <w:shd w:val="clear" w:color="auto" w:fill="auto"/>
            <w:tcMar>
              <w:left w:w="28" w:type="dxa"/>
              <w:right w:w="28" w:type="dxa"/>
            </w:tcMar>
            <w:vAlign w:val="center"/>
            <w:hideMark/>
          </w:tcPr>
          <w:p w14:paraId="5117223F"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Теплова енергія</w:t>
            </w:r>
          </w:p>
        </w:tc>
        <w:tc>
          <w:tcPr>
            <w:tcW w:w="6520" w:type="dxa"/>
            <w:gridSpan w:val="6"/>
            <w:shd w:val="clear" w:color="auto" w:fill="auto"/>
            <w:tcMar>
              <w:left w:w="28" w:type="dxa"/>
              <w:right w:w="28" w:type="dxa"/>
            </w:tcMar>
            <w:vAlign w:val="center"/>
            <w:hideMark/>
          </w:tcPr>
          <w:p w14:paraId="7F89BBCD" w14:textId="77777777" w:rsidR="00846850" w:rsidRPr="00846850" w:rsidRDefault="00846850" w:rsidP="00846850">
            <w:pPr>
              <w:spacing w:after="0" w:line="240" w:lineRule="auto"/>
              <w:jc w:val="center"/>
              <w:rPr>
                <w:rFonts w:ascii="Times New Roman" w:eastAsia="Times New Roman" w:hAnsi="Times New Roman" w:cs="Times New Roman"/>
                <w:b/>
                <w:bCs/>
              </w:rPr>
            </w:pPr>
            <w:r w:rsidRPr="00846850">
              <w:rPr>
                <w:rFonts w:ascii="Times New Roman" w:eastAsia="Times New Roman" w:hAnsi="Times New Roman" w:cs="Times New Roman"/>
                <w:b/>
                <w:bCs/>
              </w:rPr>
              <w:t>Викопні види палива</w:t>
            </w:r>
          </w:p>
        </w:tc>
        <w:tc>
          <w:tcPr>
            <w:tcW w:w="1108" w:type="dxa"/>
            <w:vMerge w:val="restart"/>
            <w:shd w:val="clear" w:color="auto" w:fill="auto"/>
            <w:tcMar>
              <w:left w:w="28" w:type="dxa"/>
              <w:right w:w="28" w:type="dxa"/>
            </w:tcMar>
            <w:vAlign w:val="center"/>
            <w:hideMark/>
          </w:tcPr>
          <w:p w14:paraId="61F69D68"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Деревина (дрова, щепа, пелети)</w:t>
            </w:r>
          </w:p>
        </w:tc>
        <w:tc>
          <w:tcPr>
            <w:tcW w:w="2191" w:type="dxa"/>
            <w:gridSpan w:val="2"/>
            <w:vMerge w:val="restart"/>
            <w:shd w:val="clear" w:color="auto" w:fill="auto"/>
            <w:noWrap/>
            <w:tcMar>
              <w:left w:w="28" w:type="dxa"/>
              <w:right w:w="28" w:type="dxa"/>
            </w:tcMar>
            <w:vAlign w:val="center"/>
            <w:hideMark/>
          </w:tcPr>
          <w:p w14:paraId="4D019B6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Разом</w:t>
            </w:r>
          </w:p>
        </w:tc>
      </w:tr>
      <w:tr w:rsidR="00846850" w:rsidRPr="00846850" w14:paraId="38BF9897" w14:textId="77777777" w:rsidTr="00846850">
        <w:trPr>
          <w:trHeight w:val="1260"/>
        </w:trPr>
        <w:tc>
          <w:tcPr>
            <w:tcW w:w="2805" w:type="dxa"/>
            <w:vMerge/>
            <w:tcMar>
              <w:left w:w="28" w:type="dxa"/>
              <w:right w:w="28" w:type="dxa"/>
            </w:tcMar>
            <w:vAlign w:val="center"/>
            <w:hideMark/>
          </w:tcPr>
          <w:p w14:paraId="5B4A91FB" w14:textId="77777777" w:rsidR="00846850" w:rsidRPr="00846850" w:rsidRDefault="00846850" w:rsidP="00846850">
            <w:pPr>
              <w:spacing w:after="0" w:line="240" w:lineRule="auto"/>
              <w:rPr>
                <w:rFonts w:ascii="Times New Roman" w:eastAsia="Times New Roman" w:hAnsi="Times New Roman" w:cs="Times New Roman"/>
                <w:b/>
                <w:bCs/>
              </w:rPr>
            </w:pPr>
          </w:p>
        </w:tc>
        <w:tc>
          <w:tcPr>
            <w:tcW w:w="1159" w:type="dxa"/>
            <w:vMerge/>
            <w:tcMar>
              <w:left w:w="28" w:type="dxa"/>
              <w:right w:w="28" w:type="dxa"/>
            </w:tcMar>
            <w:vAlign w:val="center"/>
            <w:hideMark/>
          </w:tcPr>
          <w:p w14:paraId="56CF2CCA" w14:textId="77777777" w:rsidR="00846850" w:rsidRPr="00846850" w:rsidRDefault="00846850" w:rsidP="00846850">
            <w:pPr>
              <w:spacing w:after="0" w:line="240" w:lineRule="auto"/>
              <w:rPr>
                <w:rFonts w:ascii="Times New Roman" w:eastAsia="Times New Roman" w:hAnsi="Times New Roman" w:cs="Times New Roman"/>
              </w:rPr>
            </w:pPr>
          </w:p>
        </w:tc>
        <w:tc>
          <w:tcPr>
            <w:tcW w:w="993" w:type="dxa"/>
            <w:vMerge/>
            <w:tcMar>
              <w:left w:w="28" w:type="dxa"/>
              <w:right w:w="28" w:type="dxa"/>
            </w:tcMar>
            <w:vAlign w:val="center"/>
            <w:hideMark/>
          </w:tcPr>
          <w:p w14:paraId="64F61CB8" w14:textId="77777777" w:rsidR="00846850" w:rsidRPr="00846850" w:rsidRDefault="00846850" w:rsidP="00846850">
            <w:pPr>
              <w:spacing w:after="0" w:line="240" w:lineRule="auto"/>
              <w:rPr>
                <w:rFonts w:ascii="Times New Roman" w:eastAsia="Times New Roman" w:hAnsi="Times New Roman" w:cs="Times New Roman"/>
              </w:rPr>
            </w:pPr>
          </w:p>
        </w:tc>
        <w:tc>
          <w:tcPr>
            <w:tcW w:w="1134" w:type="dxa"/>
            <w:shd w:val="clear" w:color="auto" w:fill="auto"/>
            <w:tcMar>
              <w:left w:w="28" w:type="dxa"/>
              <w:right w:w="28" w:type="dxa"/>
            </w:tcMar>
            <w:vAlign w:val="center"/>
            <w:hideMark/>
          </w:tcPr>
          <w:p w14:paraId="50B8A8CB" w14:textId="77777777" w:rsidR="00846850" w:rsidRPr="00846850" w:rsidRDefault="00846850" w:rsidP="0084685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275" w:type="dxa"/>
            <w:shd w:val="clear" w:color="auto" w:fill="auto"/>
            <w:tcMar>
              <w:left w:w="28" w:type="dxa"/>
              <w:right w:w="28" w:type="dxa"/>
            </w:tcMar>
            <w:vAlign w:val="center"/>
            <w:hideMark/>
          </w:tcPr>
          <w:p w14:paraId="57304771" w14:textId="77777777" w:rsidR="00846850" w:rsidRPr="00846850" w:rsidRDefault="00846850" w:rsidP="0084685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Скраплений газ (п</w:t>
            </w:r>
            <w:r w:rsidRPr="00846850">
              <w:rPr>
                <w:rFonts w:ascii="Times New Roman" w:eastAsia="Times New Roman" w:hAnsi="Times New Roman" w:cs="Times New Roman"/>
              </w:rPr>
              <w:t>ропан-бутан)</w:t>
            </w:r>
          </w:p>
        </w:tc>
        <w:tc>
          <w:tcPr>
            <w:tcW w:w="993" w:type="dxa"/>
            <w:shd w:val="clear" w:color="auto" w:fill="auto"/>
            <w:tcMar>
              <w:left w:w="28" w:type="dxa"/>
              <w:right w:w="28" w:type="dxa"/>
            </w:tcMar>
            <w:vAlign w:val="center"/>
            <w:hideMark/>
          </w:tcPr>
          <w:p w14:paraId="72318FC4"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Дизель</w:t>
            </w:r>
          </w:p>
        </w:tc>
        <w:tc>
          <w:tcPr>
            <w:tcW w:w="992" w:type="dxa"/>
            <w:shd w:val="clear" w:color="auto" w:fill="auto"/>
            <w:tcMar>
              <w:left w:w="28" w:type="dxa"/>
              <w:right w:w="28" w:type="dxa"/>
            </w:tcMar>
            <w:vAlign w:val="center"/>
            <w:hideMark/>
          </w:tcPr>
          <w:p w14:paraId="72654A9C"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Бензин</w:t>
            </w:r>
          </w:p>
        </w:tc>
        <w:tc>
          <w:tcPr>
            <w:tcW w:w="1134" w:type="dxa"/>
            <w:shd w:val="clear" w:color="auto" w:fill="auto"/>
            <w:tcMar>
              <w:left w:w="28" w:type="dxa"/>
              <w:right w:w="28" w:type="dxa"/>
            </w:tcMar>
            <w:vAlign w:val="center"/>
            <w:hideMark/>
          </w:tcPr>
          <w:p w14:paraId="32EC3EFB"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Вугілля кам'яне (суббітумінозне)</w:t>
            </w:r>
          </w:p>
        </w:tc>
        <w:tc>
          <w:tcPr>
            <w:tcW w:w="992" w:type="dxa"/>
            <w:shd w:val="clear" w:color="auto" w:fill="auto"/>
            <w:tcMar>
              <w:left w:w="28" w:type="dxa"/>
              <w:right w:w="28" w:type="dxa"/>
            </w:tcMar>
            <w:vAlign w:val="center"/>
            <w:hideMark/>
          </w:tcPr>
          <w:p w14:paraId="2C38E3D9"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Торф (брикети, напів</w:t>
            </w:r>
            <w:r>
              <w:rPr>
                <w:rFonts w:ascii="Times New Roman" w:eastAsia="Times New Roman" w:hAnsi="Times New Roman" w:cs="Times New Roman"/>
              </w:rPr>
              <w:t>-</w:t>
            </w:r>
            <w:r w:rsidRPr="00846850">
              <w:rPr>
                <w:rFonts w:ascii="Times New Roman" w:eastAsia="Times New Roman" w:hAnsi="Times New Roman" w:cs="Times New Roman"/>
              </w:rPr>
              <w:t>брикети)</w:t>
            </w:r>
          </w:p>
        </w:tc>
        <w:tc>
          <w:tcPr>
            <w:tcW w:w="1108" w:type="dxa"/>
            <w:vMerge/>
            <w:tcMar>
              <w:left w:w="28" w:type="dxa"/>
              <w:right w:w="28" w:type="dxa"/>
            </w:tcMar>
            <w:vAlign w:val="center"/>
            <w:hideMark/>
          </w:tcPr>
          <w:p w14:paraId="1D89CC4F" w14:textId="77777777" w:rsidR="00846850" w:rsidRPr="00846850" w:rsidRDefault="00846850" w:rsidP="00846850">
            <w:pPr>
              <w:spacing w:after="0" w:line="240" w:lineRule="auto"/>
              <w:rPr>
                <w:rFonts w:ascii="Times New Roman" w:eastAsia="Times New Roman" w:hAnsi="Times New Roman" w:cs="Times New Roman"/>
                <w:color w:val="000000"/>
              </w:rPr>
            </w:pPr>
          </w:p>
        </w:tc>
        <w:tc>
          <w:tcPr>
            <w:tcW w:w="2191" w:type="dxa"/>
            <w:gridSpan w:val="2"/>
            <w:vMerge/>
            <w:tcMar>
              <w:left w:w="28" w:type="dxa"/>
              <w:right w:w="28" w:type="dxa"/>
            </w:tcMar>
            <w:vAlign w:val="center"/>
            <w:hideMark/>
          </w:tcPr>
          <w:p w14:paraId="4A6FA952" w14:textId="77777777" w:rsidR="00846850" w:rsidRPr="00846850" w:rsidRDefault="00846850" w:rsidP="00846850">
            <w:pPr>
              <w:spacing w:after="0" w:line="240" w:lineRule="auto"/>
              <w:rPr>
                <w:rFonts w:ascii="Times New Roman" w:eastAsia="Times New Roman" w:hAnsi="Times New Roman" w:cs="Times New Roman"/>
                <w:color w:val="000000"/>
              </w:rPr>
            </w:pPr>
          </w:p>
        </w:tc>
      </w:tr>
      <w:tr w:rsidR="00846850" w:rsidRPr="00846850" w14:paraId="40C4BA61" w14:textId="77777777" w:rsidTr="00846850">
        <w:trPr>
          <w:trHeight w:val="300"/>
        </w:trPr>
        <w:tc>
          <w:tcPr>
            <w:tcW w:w="2805" w:type="dxa"/>
            <w:vMerge/>
            <w:tcMar>
              <w:left w:w="28" w:type="dxa"/>
              <w:right w:w="28" w:type="dxa"/>
            </w:tcMar>
            <w:vAlign w:val="center"/>
            <w:hideMark/>
          </w:tcPr>
          <w:p w14:paraId="294D9E9E" w14:textId="77777777" w:rsidR="00846850" w:rsidRPr="00846850" w:rsidRDefault="00846850" w:rsidP="00846850">
            <w:pPr>
              <w:spacing w:after="0" w:line="240" w:lineRule="auto"/>
              <w:rPr>
                <w:rFonts w:ascii="Times New Roman" w:eastAsia="Times New Roman" w:hAnsi="Times New Roman" w:cs="Times New Roman"/>
                <w:b/>
                <w:bCs/>
              </w:rPr>
            </w:pPr>
          </w:p>
        </w:tc>
        <w:tc>
          <w:tcPr>
            <w:tcW w:w="1159" w:type="dxa"/>
            <w:shd w:val="clear" w:color="000000" w:fill="FFFF99"/>
            <w:tcMar>
              <w:left w:w="28" w:type="dxa"/>
              <w:right w:w="28" w:type="dxa"/>
            </w:tcMar>
            <w:vAlign w:val="center"/>
            <w:hideMark/>
          </w:tcPr>
          <w:p w14:paraId="21CACAFF"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993" w:type="dxa"/>
            <w:shd w:val="clear" w:color="000000" w:fill="FFFF99"/>
            <w:tcMar>
              <w:left w:w="28" w:type="dxa"/>
              <w:right w:w="28" w:type="dxa"/>
            </w:tcMar>
            <w:vAlign w:val="center"/>
            <w:hideMark/>
          </w:tcPr>
          <w:p w14:paraId="7BDA69EE"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1134" w:type="dxa"/>
            <w:shd w:val="clear" w:color="000000" w:fill="FFFF99"/>
            <w:tcMar>
              <w:left w:w="28" w:type="dxa"/>
              <w:right w:w="28" w:type="dxa"/>
            </w:tcMar>
            <w:vAlign w:val="center"/>
            <w:hideMark/>
          </w:tcPr>
          <w:p w14:paraId="051ED2BD"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1275" w:type="dxa"/>
            <w:shd w:val="clear" w:color="000000" w:fill="FFFF99"/>
            <w:tcMar>
              <w:left w:w="28" w:type="dxa"/>
              <w:right w:w="28" w:type="dxa"/>
            </w:tcMar>
            <w:vAlign w:val="center"/>
            <w:hideMark/>
          </w:tcPr>
          <w:p w14:paraId="0A875922"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993" w:type="dxa"/>
            <w:shd w:val="clear" w:color="000000" w:fill="FFFF99"/>
            <w:tcMar>
              <w:left w:w="28" w:type="dxa"/>
              <w:right w:w="28" w:type="dxa"/>
            </w:tcMar>
            <w:vAlign w:val="center"/>
            <w:hideMark/>
          </w:tcPr>
          <w:p w14:paraId="057310DF"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992" w:type="dxa"/>
            <w:shd w:val="clear" w:color="000000" w:fill="FFFF99"/>
            <w:tcMar>
              <w:left w:w="28" w:type="dxa"/>
              <w:right w:w="28" w:type="dxa"/>
            </w:tcMar>
            <w:vAlign w:val="center"/>
            <w:hideMark/>
          </w:tcPr>
          <w:p w14:paraId="2A5AF23C"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1134" w:type="dxa"/>
            <w:shd w:val="clear" w:color="000000" w:fill="FFFF99"/>
            <w:tcMar>
              <w:left w:w="28" w:type="dxa"/>
              <w:right w:w="28" w:type="dxa"/>
            </w:tcMar>
            <w:vAlign w:val="center"/>
            <w:hideMark/>
          </w:tcPr>
          <w:p w14:paraId="7E0BBC9D"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992" w:type="dxa"/>
            <w:shd w:val="clear" w:color="000000" w:fill="FFFF99"/>
            <w:tcMar>
              <w:left w:w="28" w:type="dxa"/>
              <w:right w:w="28" w:type="dxa"/>
            </w:tcMar>
            <w:vAlign w:val="center"/>
            <w:hideMark/>
          </w:tcPr>
          <w:p w14:paraId="234FC48E"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1108" w:type="dxa"/>
            <w:shd w:val="clear" w:color="000000" w:fill="FFFF99"/>
            <w:tcMar>
              <w:left w:w="28" w:type="dxa"/>
              <w:right w:w="28" w:type="dxa"/>
            </w:tcMar>
            <w:vAlign w:val="center"/>
            <w:hideMark/>
          </w:tcPr>
          <w:p w14:paraId="46343641"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1252" w:type="dxa"/>
            <w:shd w:val="clear" w:color="000000" w:fill="FFFF99"/>
            <w:tcMar>
              <w:left w:w="28" w:type="dxa"/>
              <w:right w:w="28" w:type="dxa"/>
            </w:tcMar>
            <w:vAlign w:val="center"/>
            <w:hideMark/>
          </w:tcPr>
          <w:p w14:paraId="5C123E11"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МВт.год</w:t>
            </w:r>
          </w:p>
        </w:tc>
        <w:tc>
          <w:tcPr>
            <w:tcW w:w="939" w:type="dxa"/>
            <w:shd w:val="clear" w:color="000000" w:fill="FFFF99"/>
            <w:tcMar>
              <w:left w:w="28" w:type="dxa"/>
              <w:right w:w="28" w:type="dxa"/>
            </w:tcMar>
            <w:vAlign w:val="center"/>
            <w:hideMark/>
          </w:tcPr>
          <w:p w14:paraId="42E405F1" w14:textId="77777777" w:rsidR="00846850" w:rsidRPr="00846850" w:rsidRDefault="00846850" w:rsidP="00846850">
            <w:pPr>
              <w:spacing w:after="0" w:line="240" w:lineRule="auto"/>
              <w:jc w:val="center"/>
              <w:rPr>
                <w:rFonts w:ascii="Times New Roman" w:eastAsia="Times New Roman" w:hAnsi="Times New Roman" w:cs="Times New Roman"/>
              </w:rPr>
            </w:pPr>
            <w:r w:rsidRPr="00846850">
              <w:rPr>
                <w:rFonts w:ascii="Times New Roman" w:eastAsia="Times New Roman" w:hAnsi="Times New Roman" w:cs="Times New Roman"/>
              </w:rPr>
              <w:t>%</w:t>
            </w:r>
          </w:p>
        </w:tc>
      </w:tr>
      <w:tr w:rsidR="00846850" w:rsidRPr="00846850" w14:paraId="749ED255" w14:textId="77777777" w:rsidTr="00846850">
        <w:trPr>
          <w:trHeight w:val="330"/>
        </w:trPr>
        <w:tc>
          <w:tcPr>
            <w:tcW w:w="12585" w:type="dxa"/>
            <w:gridSpan w:val="10"/>
            <w:shd w:val="clear" w:color="000000" w:fill="F2F2F2"/>
            <w:tcMar>
              <w:left w:w="28" w:type="dxa"/>
              <w:right w:w="28" w:type="dxa"/>
            </w:tcMar>
            <w:vAlign w:val="center"/>
            <w:hideMark/>
          </w:tcPr>
          <w:p w14:paraId="562EEE2F" w14:textId="77777777" w:rsidR="00846850" w:rsidRPr="00846850" w:rsidRDefault="00846850" w:rsidP="00846850">
            <w:pPr>
              <w:spacing w:after="0" w:line="240" w:lineRule="auto"/>
              <w:rPr>
                <w:rFonts w:ascii="Times New Roman" w:eastAsia="Times New Roman" w:hAnsi="Times New Roman" w:cs="Times New Roman"/>
                <w:b/>
                <w:bCs/>
              </w:rPr>
            </w:pPr>
            <w:r w:rsidRPr="00846850">
              <w:rPr>
                <w:rFonts w:ascii="Times New Roman" w:eastAsia="Times New Roman" w:hAnsi="Times New Roman" w:cs="Times New Roman"/>
                <w:b/>
                <w:bCs/>
              </w:rPr>
              <w:t>Муніципальні будівлі, обладнання/об'єкти</w:t>
            </w:r>
          </w:p>
        </w:tc>
        <w:tc>
          <w:tcPr>
            <w:tcW w:w="1252" w:type="dxa"/>
            <w:shd w:val="clear" w:color="000000" w:fill="F2F2F2"/>
            <w:noWrap/>
            <w:tcMar>
              <w:left w:w="28" w:type="dxa"/>
              <w:right w:w="28" w:type="dxa"/>
            </w:tcMar>
            <w:vAlign w:val="center"/>
            <w:hideMark/>
          </w:tcPr>
          <w:p w14:paraId="61745DD5"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93 842,3</w:t>
            </w:r>
          </w:p>
        </w:tc>
        <w:tc>
          <w:tcPr>
            <w:tcW w:w="939" w:type="dxa"/>
            <w:shd w:val="clear" w:color="000000" w:fill="F2F2F2"/>
            <w:noWrap/>
            <w:tcMar>
              <w:left w:w="28" w:type="dxa"/>
              <w:right w:w="28" w:type="dxa"/>
            </w:tcMar>
            <w:vAlign w:val="center"/>
            <w:hideMark/>
          </w:tcPr>
          <w:p w14:paraId="4840AFA3"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4,5%</w:t>
            </w:r>
          </w:p>
        </w:tc>
      </w:tr>
      <w:tr w:rsidR="00846850" w:rsidRPr="00846850" w14:paraId="0A22D424" w14:textId="77777777" w:rsidTr="00846850">
        <w:trPr>
          <w:trHeight w:val="600"/>
        </w:trPr>
        <w:tc>
          <w:tcPr>
            <w:tcW w:w="2805" w:type="dxa"/>
            <w:shd w:val="clear" w:color="auto" w:fill="auto"/>
            <w:tcMar>
              <w:left w:w="28" w:type="dxa"/>
              <w:right w:w="28" w:type="dxa"/>
            </w:tcMar>
            <w:vAlign w:val="center"/>
            <w:hideMark/>
          </w:tcPr>
          <w:p w14:paraId="0BF80A15"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Муніципальні будівлі, обладнання/об'єкти</w:t>
            </w:r>
          </w:p>
        </w:tc>
        <w:tc>
          <w:tcPr>
            <w:tcW w:w="1159" w:type="dxa"/>
            <w:shd w:val="clear" w:color="000000" w:fill="FFFF99"/>
            <w:tcMar>
              <w:left w:w="28" w:type="dxa"/>
              <w:right w:w="28" w:type="dxa"/>
            </w:tcMar>
            <w:vAlign w:val="center"/>
            <w:hideMark/>
          </w:tcPr>
          <w:p w14:paraId="45A77D3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10 617,8</w:t>
            </w:r>
          </w:p>
        </w:tc>
        <w:tc>
          <w:tcPr>
            <w:tcW w:w="993" w:type="dxa"/>
            <w:shd w:val="clear" w:color="000000" w:fill="FFFF99"/>
            <w:tcMar>
              <w:left w:w="28" w:type="dxa"/>
              <w:right w:w="28" w:type="dxa"/>
            </w:tcMar>
            <w:vAlign w:val="center"/>
            <w:hideMark/>
          </w:tcPr>
          <w:p w14:paraId="457B08D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32 137,5</w:t>
            </w:r>
          </w:p>
        </w:tc>
        <w:tc>
          <w:tcPr>
            <w:tcW w:w="1134" w:type="dxa"/>
            <w:shd w:val="clear" w:color="000000" w:fill="FFFF99"/>
            <w:tcMar>
              <w:left w:w="28" w:type="dxa"/>
              <w:right w:w="28" w:type="dxa"/>
            </w:tcMar>
            <w:vAlign w:val="center"/>
            <w:hideMark/>
          </w:tcPr>
          <w:p w14:paraId="1C0FB90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7 107,3</w:t>
            </w:r>
          </w:p>
        </w:tc>
        <w:tc>
          <w:tcPr>
            <w:tcW w:w="1275" w:type="dxa"/>
            <w:shd w:val="clear" w:color="000000" w:fill="FFFF99"/>
            <w:tcMar>
              <w:left w:w="28" w:type="dxa"/>
              <w:right w:w="28" w:type="dxa"/>
            </w:tcMar>
            <w:vAlign w:val="center"/>
            <w:hideMark/>
          </w:tcPr>
          <w:p w14:paraId="223980C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3" w:type="dxa"/>
            <w:shd w:val="clear" w:color="000000" w:fill="FFFF99"/>
            <w:tcMar>
              <w:left w:w="28" w:type="dxa"/>
              <w:right w:w="28" w:type="dxa"/>
            </w:tcMar>
            <w:vAlign w:val="center"/>
            <w:hideMark/>
          </w:tcPr>
          <w:p w14:paraId="130F3B1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4A5A126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7C80023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331,5</w:t>
            </w:r>
          </w:p>
        </w:tc>
        <w:tc>
          <w:tcPr>
            <w:tcW w:w="992" w:type="dxa"/>
            <w:shd w:val="clear" w:color="000000" w:fill="FFFF99"/>
            <w:tcMar>
              <w:left w:w="28" w:type="dxa"/>
              <w:right w:w="28" w:type="dxa"/>
            </w:tcMar>
            <w:vAlign w:val="center"/>
            <w:hideMark/>
          </w:tcPr>
          <w:p w14:paraId="55E18577"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47CA1AB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12 233,8</w:t>
            </w:r>
          </w:p>
        </w:tc>
        <w:tc>
          <w:tcPr>
            <w:tcW w:w="1252" w:type="dxa"/>
            <w:shd w:val="clear" w:color="000000" w:fill="FFFF99"/>
            <w:tcMar>
              <w:left w:w="28" w:type="dxa"/>
              <w:right w:w="28" w:type="dxa"/>
            </w:tcMar>
            <w:vAlign w:val="center"/>
            <w:hideMark/>
          </w:tcPr>
          <w:p w14:paraId="2F70D62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62 428,0</w:t>
            </w:r>
          </w:p>
        </w:tc>
        <w:tc>
          <w:tcPr>
            <w:tcW w:w="939" w:type="dxa"/>
            <w:shd w:val="clear" w:color="000000" w:fill="FFFF99"/>
            <w:noWrap/>
            <w:tcMar>
              <w:left w:w="28" w:type="dxa"/>
              <w:right w:w="28" w:type="dxa"/>
            </w:tcMar>
            <w:vAlign w:val="center"/>
            <w:hideMark/>
          </w:tcPr>
          <w:p w14:paraId="16D5261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3,0%</w:t>
            </w:r>
          </w:p>
        </w:tc>
      </w:tr>
      <w:tr w:rsidR="00846850" w:rsidRPr="00846850" w14:paraId="658154BD" w14:textId="77777777" w:rsidTr="00846850">
        <w:trPr>
          <w:trHeight w:val="600"/>
        </w:trPr>
        <w:tc>
          <w:tcPr>
            <w:tcW w:w="2805" w:type="dxa"/>
            <w:shd w:val="clear" w:color="auto" w:fill="auto"/>
            <w:tcMar>
              <w:left w:w="28" w:type="dxa"/>
              <w:right w:w="28" w:type="dxa"/>
            </w:tcMar>
            <w:vAlign w:val="center"/>
            <w:hideMark/>
          </w:tcPr>
          <w:p w14:paraId="75311AC1"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Муніципальне освітлення</w:t>
            </w:r>
          </w:p>
        </w:tc>
        <w:tc>
          <w:tcPr>
            <w:tcW w:w="1159" w:type="dxa"/>
            <w:shd w:val="clear" w:color="000000" w:fill="FFFF99"/>
            <w:tcMar>
              <w:left w:w="28" w:type="dxa"/>
              <w:right w:w="28" w:type="dxa"/>
            </w:tcMar>
            <w:vAlign w:val="center"/>
            <w:hideMark/>
          </w:tcPr>
          <w:p w14:paraId="77DC485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1 949,0</w:t>
            </w:r>
          </w:p>
        </w:tc>
        <w:tc>
          <w:tcPr>
            <w:tcW w:w="993" w:type="dxa"/>
            <w:shd w:val="clear" w:color="000000" w:fill="FFFF99"/>
            <w:tcMar>
              <w:left w:w="28" w:type="dxa"/>
              <w:right w:w="28" w:type="dxa"/>
            </w:tcMar>
            <w:vAlign w:val="center"/>
            <w:hideMark/>
          </w:tcPr>
          <w:p w14:paraId="58D0E12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6059F55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275" w:type="dxa"/>
            <w:shd w:val="clear" w:color="000000" w:fill="FFFF99"/>
            <w:tcMar>
              <w:left w:w="28" w:type="dxa"/>
              <w:right w:w="28" w:type="dxa"/>
            </w:tcMar>
            <w:vAlign w:val="center"/>
            <w:hideMark/>
          </w:tcPr>
          <w:p w14:paraId="7625436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3" w:type="dxa"/>
            <w:shd w:val="clear" w:color="000000" w:fill="FFFF99"/>
            <w:tcMar>
              <w:left w:w="28" w:type="dxa"/>
              <w:right w:w="28" w:type="dxa"/>
            </w:tcMar>
            <w:vAlign w:val="center"/>
            <w:hideMark/>
          </w:tcPr>
          <w:p w14:paraId="0E98710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09342D6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31BF5DF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15842BB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0A8CD4C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252" w:type="dxa"/>
            <w:shd w:val="clear" w:color="000000" w:fill="FFFF99"/>
            <w:tcMar>
              <w:left w:w="28" w:type="dxa"/>
              <w:right w:w="28" w:type="dxa"/>
            </w:tcMar>
            <w:vAlign w:val="center"/>
            <w:hideMark/>
          </w:tcPr>
          <w:p w14:paraId="57CCC2D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1 949,0</w:t>
            </w:r>
          </w:p>
        </w:tc>
        <w:tc>
          <w:tcPr>
            <w:tcW w:w="939" w:type="dxa"/>
            <w:shd w:val="clear" w:color="000000" w:fill="FFFF99"/>
            <w:noWrap/>
            <w:tcMar>
              <w:left w:w="28" w:type="dxa"/>
              <w:right w:w="28" w:type="dxa"/>
            </w:tcMar>
            <w:vAlign w:val="center"/>
            <w:hideMark/>
          </w:tcPr>
          <w:p w14:paraId="655ABFE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0,1%</w:t>
            </w:r>
          </w:p>
        </w:tc>
      </w:tr>
      <w:tr w:rsidR="00846850" w:rsidRPr="00846850" w14:paraId="458DF346" w14:textId="77777777" w:rsidTr="00846850">
        <w:trPr>
          <w:trHeight w:val="300"/>
        </w:trPr>
        <w:tc>
          <w:tcPr>
            <w:tcW w:w="2805" w:type="dxa"/>
            <w:shd w:val="clear" w:color="auto" w:fill="auto"/>
            <w:tcMar>
              <w:left w:w="28" w:type="dxa"/>
              <w:right w:w="28" w:type="dxa"/>
            </w:tcMar>
            <w:vAlign w:val="center"/>
            <w:hideMark/>
          </w:tcPr>
          <w:p w14:paraId="2D9CC39B"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Інші</w:t>
            </w:r>
          </w:p>
        </w:tc>
        <w:tc>
          <w:tcPr>
            <w:tcW w:w="1159" w:type="dxa"/>
            <w:shd w:val="clear" w:color="000000" w:fill="FFFF99"/>
            <w:tcMar>
              <w:left w:w="28" w:type="dxa"/>
              <w:right w:w="28" w:type="dxa"/>
            </w:tcMar>
            <w:vAlign w:val="center"/>
            <w:hideMark/>
          </w:tcPr>
          <w:p w14:paraId="7208EF3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29 465,3</w:t>
            </w:r>
          </w:p>
        </w:tc>
        <w:tc>
          <w:tcPr>
            <w:tcW w:w="993" w:type="dxa"/>
            <w:shd w:val="clear" w:color="000000" w:fill="FFFF99"/>
            <w:tcMar>
              <w:left w:w="28" w:type="dxa"/>
              <w:right w:w="28" w:type="dxa"/>
            </w:tcMar>
            <w:vAlign w:val="center"/>
            <w:hideMark/>
          </w:tcPr>
          <w:p w14:paraId="5BCD1B7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34" w:type="dxa"/>
            <w:shd w:val="clear" w:color="000000" w:fill="FFFF99"/>
            <w:tcMar>
              <w:left w:w="28" w:type="dxa"/>
              <w:right w:w="28" w:type="dxa"/>
            </w:tcMar>
            <w:vAlign w:val="center"/>
            <w:hideMark/>
          </w:tcPr>
          <w:p w14:paraId="66A491C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275" w:type="dxa"/>
            <w:shd w:val="clear" w:color="000000" w:fill="FFFF99"/>
            <w:tcMar>
              <w:left w:w="28" w:type="dxa"/>
              <w:right w:w="28" w:type="dxa"/>
            </w:tcMar>
            <w:vAlign w:val="center"/>
            <w:hideMark/>
          </w:tcPr>
          <w:p w14:paraId="527A6E4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3" w:type="dxa"/>
            <w:shd w:val="clear" w:color="000000" w:fill="FFFF99"/>
            <w:tcMar>
              <w:left w:w="28" w:type="dxa"/>
              <w:right w:w="28" w:type="dxa"/>
            </w:tcMar>
            <w:vAlign w:val="center"/>
            <w:hideMark/>
          </w:tcPr>
          <w:p w14:paraId="3DE600A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2" w:type="dxa"/>
            <w:shd w:val="clear" w:color="000000" w:fill="FFFF99"/>
            <w:tcMar>
              <w:left w:w="28" w:type="dxa"/>
              <w:right w:w="28" w:type="dxa"/>
            </w:tcMar>
            <w:vAlign w:val="center"/>
            <w:hideMark/>
          </w:tcPr>
          <w:p w14:paraId="3BB3AC2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34" w:type="dxa"/>
            <w:shd w:val="clear" w:color="000000" w:fill="FFFF99"/>
            <w:tcMar>
              <w:left w:w="28" w:type="dxa"/>
              <w:right w:w="28" w:type="dxa"/>
            </w:tcMar>
            <w:vAlign w:val="center"/>
            <w:hideMark/>
          </w:tcPr>
          <w:p w14:paraId="76DF674B"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2" w:type="dxa"/>
            <w:shd w:val="clear" w:color="000000" w:fill="FFFF99"/>
            <w:tcMar>
              <w:left w:w="28" w:type="dxa"/>
              <w:right w:w="28" w:type="dxa"/>
            </w:tcMar>
            <w:vAlign w:val="center"/>
            <w:hideMark/>
          </w:tcPr>
          <w:p w14:paraId="738AAB5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29DD308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252" w:type="dxa"/>
            <w:shd w:val="clear" w:color="000000" w:fill="FFFF99"/>
            <w:tcMar>
              <w:left w:w="28" w:type="dxa"/>
              <w:right w:w="28" w:type="dxa"/>
            </w:tcMar>
            <w:vAlign w:val="center"/>
            <w:hideMark/>
          </w:tcPr>
          <w:p w14:paraId="259C97B9"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29 465,3</w:t>
            </w:r>
          </w:p>
        </w:tc>
        <w:tc>
          <w:tcPr>
            <w:tcW w:w="939" w:type="dxa"/>
            <w:shd w:val="clear" w:color="000000" w:fill="FFFF99"/>
            <w:noWrap/>
            <w:tcMar>
              <w:left w:w="28" w:type="dxa"/>
              <w:right w:w="28" w:type="dxa"/>
            </w:tcMar>
            <w:vAlign w:val="center"/>
            <w:hideMark/>
          </w:tcPr>
          <w:p w14:paraId="03754969"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1,4%</w:t>
            </w:r>
          </w:p>
        </w:tc>
      </w:tr>
      <w:tr w:rsidR="00846850" w:rsidRPr="00846850" w14:paraId="5AB8B8BC" w14:textId="77777777" w:rsidTr="00846850">
        <w:trPr>
          <w:trHeight w:val="330"/>
        </w:trPr>
        <w:tc>
          <w:tcPr>
            <w:tcW w:w="12585" w:type="dxa"/>
            <w:gridSpan w:val="10"/>
            <w:shd w:val="clear" w:color="000000" w:fill="F2F2F2"/>
            <w:tcMar>
              <w:left w:w="28" w:type="dxa"/>
              <w:right w:w="28" w:type="dxa"/>
            </w:tcMar>
            <w:vAlign w:val="center"/>
            <w:hideMark/>
          </w:tcPr>
          <w:p w14:paraId="71BA8BC2" w14:textId="77777777" w:rsidR="00846850" w:rsidRPr="00846850" w:rsidRDefault="00846850" w:rsidP="00846850">
            <w:pPr>
              <w:spacing w:after="0" w:line="240" w:lineRule="auto"/>
              <w:rPr>
                <w:rFonts w:ascii="Times New Roman" w:eastAsia="Times New Roman" w:hAnsi="Times New Roman" w:cs="Times New Roman"/>
                <w:b/>
                <w:bCs/>
              </w:rPr>
            </w:pPr>
            <w:r w:rsidRPr="00846850">
              <w:rPr>
                <w:rFonts w:ascii="Times New Roman" w:eastAsia="Times New Roman" w:hAnsi="Times New Roman" w:cs="Times New Roman"/>
                <w:b/>
                <w:bCs/>
              </w:rPr>
              <w:t>Третинні (не муніципальні) будівлі, обладнання/об'єкти</w:t>
            </w:r>
          </w:p>
        </w:tc>
        <w:tc>
          <w:tcPr>
            <w:tcW w:w="1252" w:type="dxa"/>
            <w:shd w:val="clear" w:color="000000" w:fill="F2F2F2"/>
            <w:noWrap/>
            <w:tcMar>
              <w:left w:w="28" w:type="dxa"/>
              <w:right w:w="28" w:type="dxa"/>
            </w:tcMar>
            <w:vAlign w:val="center"/>
            <w:hideMark/>
          </w:tcPr>
          <w:p w14:paraId="1C908EAF"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412 269,7</w:t>
            </w:r>
          </w:p>
        </w:tc>
        <w:tc>
          <w:tcPr>
            <w:tcW w:w="939" w:type="dxa"/>
            <w:shd w:val="clear" w:color="000000" w:fill="F2F2F2"/>
            <w:noWrap/>
            <w:tcMar>
              <w:left w:w="28" w:type="dxa"/>
              <w:right w:w="28" w:type="dxa"/>
            </w:tcMar>
            <w:vAlign w:val="center"/>
            <w:hideMark/>
          </w:tcPr>
          <w:p w14:paraId="70BE9721"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19,9%</w:t>
            </w:r>
          </w:p>
        </w:tc>
      </w:tr>
      <w:tr w:rsidR="00846850" w:rsidRPr="00846850" w14:paraId="4F3AC39E" w14:textId="77777777" w:rsidTr="00846850">
        <w:trPr>
          <w:trHeight w:val="1200"/>
        </w:trPr>
        <w:tc>
          <w:tcPr>
            <w:tcW w:w="2805" w:type="dxa"/>
            <w:shd w:val="clear" w:color="auto" w:fill="auto"/>
            <w:tcMar>
              <w:left w:w="28" w:type="dxa"/>
              <w:right w:w="28" w:type="dxa"/>
            </w:tcMar>
            <w:vAlign w:val="center"/>
            <w:hideMark/>
          </w:tcPr>
          <w:p w14:paraId="7B93E5ED"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lastRenderedPageBreak/>
              <w:t>- Будівлі, обладнання/об'єкти сфери послуг (не муніципальні)</w:t>
            </w:r>
          </w:p>
        </w:tc>
        <w:tc>
          <w:tcPr>
            <w:tcW w:w="1159" w:type="dxa"/>
            <w:shd w:val="clear" w:color="000000" w:fill="FFFF99"/>
            <w:tcMar>
              <w:left w:w="28" w:type="dxa"/>
              <w:right w:w="28" w:type="dxa"/>
            </w:tcMar>
            <w:vAlign w:val="center"/>
            <w:hideMark/>
          </w:tcPr>
          <w:p w14:paraId="73E8A8E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3" w:type="dxa"/>
            <w:shd w:val="clear" w:color="000000" w:fill="FFFF99"/>
            <w:tcMar>
              <w:left w:w="28" w:type="dxa"/>
              <w:right w:w="28" w:type="dxa"/>
            </w:tcMar>
            <w:vAlign w:val="center"/>
            <w:hideMark/>
          </w:tcPr>
          <w:p w14:paraId="3FA5D22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34" w:type="dxa"/>
            <w:shd w:val="clear" w:color="000000" w:fill="FFFF99"/>
            <w:tcMar>
              <w:left w:w="28" w:type="dxa"/>
              <w:right w:w="28" w:type="dxa"/>
            </w:tcMar>
            <w:vAlign w:val="center"/>
            <w:hideMark/>
          </w:tcPr>
          <w:p w14:paraId="577B3F30"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275" w:type="dxa"/>
            <w:shd w:val="clear" w:color="000000" w:fill="FFFF99"/>
            <w:tcMar>
              <w:left w:w="28" w:type="dxa"/>
              <w:right w:w="28" w:type="dxa"/>
            </w:tcMar>
            <w:vAlign w:val="center"/>
            <w:hideMark/>
          </w:tcPr>
          <w:p w14:paraId="2E33F04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3" w:type="dxa"/>
            <w:shd w:val="clear" w:color="000000" w:fill="FFFF99"/>
            <w:tcMar>
              <w:left w:w="28" w:type="dxa"/>
              <w:right w:w="28" w:type="dxa"/>
            </w:tcMar>
            <w:vAlign w:val="center"/>
            <w:hideMark/>
          </w:tcPr>
          <w:p w14:paraId="199687F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2" w:type="dxa"/>
            <w:shd w:val="clear" w:color="000000" w:fill="FFFF99"/>
            <w:tcMar>
              <w:left w:w="28" w:type="dxa"/>
              <w:right w:w="28" w:type="dxa"/>
            </w:tcMar>
            <w:vAlign w:val="center"/>
            <w:hideMark/>
          </w:tcPr>
          <w:p w14:paraId="3EEB38AB"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34" w:type="dxa"/>
            <w:shd w:val="clear" w:color="000000" w:fill="FFFF99"/>
            <w:tcMar>
              <w:left w:w="28" w:type="dxa"/>
              <w:right w:w="28" w:type="dxa"/>
            </w:tcMar>
            <w:vAlign w:val="center"/>
            <w:hideMark/>
          </w:tcPr>
          <w:p w14:paraId="60E9D07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2" w:type="dxa"/>
            <w:shd w:val="clear" w:color="000000" w:fill="FFFF99"/>
            <w:tcMar>
              <w:left w:w="28" w:type="dxa"/>
              <w:right w:w="28" w:type="dxa"/>
            </w:tcMar>
            <w:vAlign w:val="center"/>
            <w:hideMark/>
          </w:tcPr>
          <w:p w14:paraId="04EF1EA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08" w:type="dxa"/>
            <w:shd w:val="clear" w:color="000000" w:fill="FFFF99"/>
            <w:tcMar>
              <w:left w:w="28" w:type="dxa"/>
              <w:right w:w="28" w:type="dxa"/>
            </w:tcMar>
            <w:vAlign w:val="center"/>
            <w:hideMark/>
          </w:tcPr>
          <w:p w14:paraId="6476BF3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252" w:type="dxa"/>
            <w:shd w:val="clear" w:color="000000" w:fill="FFFF99"/>
            <w:noWrap/>
            <w:tcMar>
              <w:left w:w="28" w:type="dxa"/>
              <w:right w:w="28" w:type="dxa"/>
            </w:tcMar>
            <w:vAlign w:val="center"/>
            <w:hideMark/>
          </w:tcPr>
          <w:p w14:paraId="3A92415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939" w:type="dxa"/>
            <w:shd w:val="clear" w:color="000000" w:fill="FFFF99"/>
            <w:noWrap/>
            <w:tcMar>
              <w:left w:w="28" w:type="dxa"/>
              <w:right w:w="28" w:type="dxa"/>
            </w:tcMar>
            <w:vAlign w:val="center"/>
            <w:hideMark/>
          </w:tcPr>
          <w:p w14:paraId="17E1DF28"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r>
      <w:tr w:rsidR="00846850" w:rsidRPr="00846850" w14:paraId="4C0524E2" w14:textId="77777777" w:rsidTr="00846850">
        <w:trPr>
          <w:trHeight w:val="300"/>
        </w:trPr>
        <w:tc>
          <w:tcPr>
            <w:tcW w:w="2805" w:type="dxa"/>
            <w:shd w:val="clear" w:color="auto" w:fill="auto"/>
            <w:tcMar>
              <w:left w:w="28" w:type="dxa"/>
              <w:right w:w="28" w:type="dxa"/>
            </w:tcMar>
            <w:vAlign w:val="center"/>
            <w:hideMark/>
          </w:tcPr>
          <w:p w14:paraId="1C6F662F"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Інші</w:t>
            </w:r>
          </w:p>
        </w:tc>
        <w:tc>
          <w:tcPr>
            <w:tcW w:w="1159" w:type="dxa"/>
            <w:shd w:val="clear" w:color="000000" w:fill="FFFF99"/>
            <w:tcMar>
              <w:left w:w="28" w:type="dxa"/>
              <w:right w:w="28" w:type="dxa"/>
            </w:tcMar>
            <w:vAlign w:val="center"/>
            <w:hideMark/>
          </w:tcPr>
          <w:p w14:paraId="78AFCE1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74 090,7</w:t>
            </w:r>
          </w:p>
        </w:tc>
        <w:tc>
          <w:tcPr>
            <w:tcW w:w="993" w:type="dxa"/>
            <w:shd w:val="clear" w:color="000000" w:fill="FFFF99"/>
            <w:tcMar>
              <w:left w:w="28" w:type="dxa"/>
              <w:right w:w="28" w:type="dxa"/>
            </w:tcMar>
            <w:vAlign w:val="center"/>
            <w:hideMark/>
          </w:tcPr>
          <w:p w14:paraId="0B836C2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14 359,6</w:t>
            </w:r>
          </w:p>
        </w:tc>
        <w:tc>
          <w:tcPr>
            <w:tcW w:w="1134" w:type="dxa"/>
            <w:shd w:val="clear" w:color="000000" w:fill="FFFF99"/>
            <w:tcMar>
              <w:left w:w="28" w:type="dxa"/>
              <w:right w:w="28" w:type="dxa"/>
            </w:tcMar>
            <w:vAlign w:val="center"/>
            <w:hideMark/>
          </w:tcPr>
          <w:p w14:paraId="4BD9F05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184 873,1</w:t>
            </w:r>
          </w:p>
        </w:tc>
        <w:tc>
          <w:tcPr>
            <w:tcW w:w="1275" w:type="dxa"/>
            <w:shd w:val="clear" w:color="000000" w:fill="FFFF99"/>
            <w:tcMar>
              <w:left w:w="28" w:type="dxa"/>
              <w:right w:w="28" w:type="dxa"/>
            </w:tcMar>
            <w:vAlign w:val="center"/>
            <w:hideMark/>
          </w:tcPr>
          <w:p w14:paraId="02E6D67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3" w:type="dxa"/>
            <w:shd w:val="clear" w:color="000000" w:fill="FFFF99"/>
            <w:tcMar>
              <w:left w:w="28" w:type="dxa"/>
              <w:right w:w="28" w:type="dxa"/>
            </w:tcMar>
            <w:vAlign w:val="center"/>
            <w:hideMark/>
          </w:tcPr>
          <w:p w14:paraId="6CBF1D7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7AD9ACC7"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0BC643B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9 143,1</w:t>
            </w:r>
          </w:p>
        </w:tc>
        <w:tc>
          <w:tcPr>
            <w:tcW w:w="992" w:type="dxa"/>
            <w:shd w:val="clear" w:color="000000" w:fill="FFFF99"/>
            <w:tcMar>
              <w:left w:w="28" w:type="dxa"/>
              <w:right w:w="28" w:type="dxa"/>
            </w:tcMar>
            <w:vAlign w:val="center"/>
            <w:hideMark/>
          </w:tcPr>
          <w:p w14:paraId="5020428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23,0</w:t>
            </w:r>
          </w:p>
        </w:tc>
        <w:tc>
          <w:tcPr>
            <w:tcW w:w="1108" w:type="dxa"/>
            <w:shd w:val="clear" w:color="000000" w:fill="FFFF99"/>
            <w:tcMar>
              <w:left w:w="28" w:type="dxa"/>
              <w:right w:w="28" w:type="dxa"/>
            </w:tcMar>
            <w:vAlign w:val="center"/>
            <w:hideMark/>
          </w:tcPr>
          <w:p w14:paraId="00A4413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129 780,3</w:t>
            </w:r>
          </w:p>
        </w:tc>
        <w:tc>
          <w:tcPr>
            <w:tcW w:w="1252" w:type="dxa"/>
            <w:shd w:val="clear" w:color="000000" w:fill="FFFF99"/>
            <w:noWrap/>
            <w:tcMar>
              <w:left w:w="28" w:type="dxa"/>
              <w:right w:w="28" w:type="dxa"/>
            </w:tcMar>
            <w:vAlign w:val="center"/>
            <w:hideMark/>
          </w:tcPr>
          <w:p w14:paraId="386648C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412 269,7</w:t>
            </w:r>
          </w:p>
        </w:tc>
        <w:tc>
          <w:tcPr>
            <w:tcW w:w="939" w:type="dxa"/>
            <w:shd w:val="clear" w:color="000000" w:fill="FFFF99"/>
            <w:noWrap/>
            <w:tcMar>
              <w:left w:w="28" w:type="dxa"/>
              <w:right w:w="28" w:type="dxa"/>
            </w:tcMar>
            <w:vAlign w:val="center"/>
            <w:hideMark/>
          </w:tcPr>
          <w:p w14:paraId="4702A87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19,9%</w:t>
            </w:r>
          </w:p>
        </w:tc>
      </w:tr>
      <w:tr w:rsidR="00846850" w:rsidRPr="00846850" w14:paraId="53E0680F" w14:textId="77777777" w:rsidTr="00846850">
        <w:trPr>
          <w:trHeight w:val="300"/>
        </w:trPr>
        <w:tc>
          <w:tcPr>
            <w:tcW w:w="2805" w:type="dxa"/>
            <w:shd w:val="clear" w:color="000000" w:fill="F2F2F2"/>
            <w:tcMar>
              <w:left w:w="28" w:type="dxa"/>
              <w:right w:w="28" w:type="dxa"/>
            </w:tcMar>
            <w:vAlign w:val="center"/>
            <w:hideMark/>
          </w:tcPr>
          <w:p w14:paraId="7C64DB86" w14:textId="77777777" w:rsidR="00846850" w:rsidRPr="00846850" w:rsidRDefault="00846850" w:rsidP="00846850">
            <w:pPr>
              <w:spacing w:after="0" w:line="240" w:lineRule="auto"/>
              <w:rPr>
                <w:rFonts w:ascii="Times New Roman" w:eastAsia="Times New Roman" w:hAnsi="Times New Roman" w:cs="Times New Roman"/>
                <w:b/>
                <w:bCs/>
              </w:rPr>
            </w:pPr>
            <w:r w:rsidRPr="00846850">
              <w:rPr>
                <w:rFonts w:ascii="Times New Roman" w:eastAsia="Times New Roman" w:hAnsi="Times New Roman" w:cs="Times New Roman"/>
                <w:b/>
                <w:bCs/>
              </w:rPr>
              <w:t>Житлові будинки</w:t>
            </w:r>
          </w:p>
        </w:tc>
        <w:tc>
          <w:tcPr>
            <w:tcW w:w="1159" w:type="dxa"/>
            <w:shd w:val="clear" w:color="000000" w:fill="F2F2F2"/>
            <w:tcMar>
              <w:left w:w="28" w:type="dxa"/>
              <w:right w:w="28" w:type="dxa"/>
            </w:tcMar>
            <w:vAlign w:val="center"/>
            <w:hideMark/>
          </w:tcPr>
          <w:p w14:paraId="44469353"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199 629,2</w:t>
            </w:r>
          </w:p>
        </w:tc>
        <w:tc>
          <w:tcPr>
            <w:tcW w:w="993" w:type="dxa"/>
            <w:shd w:val="clear" w:color="000000" w:fill="F2F2F2"/>
            <w:tcMar>
              <w:left w:w="28" w:type="dxa"/>
              <w:right w:w="28" w:type="dxa"/>
            </w:tcMar>
            <w:vAlign w:val="center"/>
            <w:hideMark/>
          </w:tcPr>
          <w:p w14:paraId="628EA38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375 665,3</w:t>
            </w:r>
          </w:p>
        </w:tc>
        <w:tc>
          <w:tcPr>
            <w:tcW w:w="1134" w:type="dxa"/>
            <w:shd w:val="clear" w:color="000000" w:fill="F2F2F2"/>
            <w:tcMar>
              <w:left w:w="28" w:type="dxa"/>
              <w:right w:w="28" w:type="dxa"/>
            </w:tcMar>
            <w:vAlign w:val="center"/>
            <w:hideMark/>
          </w:tcPr>
          <w:p w14:paraId="1523693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494 313,1</w:t>
            </w:r>
          </w:p>
        </w:tc>
        <w:tc>
          <w:tcPr>
            <w:tcW w:w="1275" w:type="dxa"/>
            <w:shd w:val="clear" w:color="000000" w:fill="F2F2F2"/>
            <w:tcMar>
              <w:left w:w="28" w:type="dxa"/>
              <w:right w:w="28" w:type="dxa"/>
            </w:tcMar>
            <w:vAlign w:val="center"/>
            <w:hideMark/>
          </w:tcPr>
          <w:p w14:paraId="0A8895F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3" w:type="dxa"/>
            <w:shd w:val="clear" w:color="000000" w:fill="F2F2F2"/>
            <w:tcMar>
              <w:left w:w="28" w:type="dxa"/>
              <w:right w:w="28" w:type="dxa"/>
            </w:tcMar>
            <w:vAlign w:val="center"/>
            <w:hideMark/>
          </w:tcPr>
          <w:p w14:paraId="34EEBC10"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2F2F2"/>
            <w:tcMar>
              <w:left w:w="28" w:type="dxa"/>
              <w:right w:w="28" w:type="dxa"/>
            </w:tcMar>
            <w:vAlign w:val="center"/>
            <w:hideMark/>
          </w:tcPr>
          <w:p w14:paraId="45B191A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2F2F2"/>
            <w:tcMar>
              <w:left w:w="28" w:type="dxa"/>
              <w:right w:w="28" w:type="dxa"/>
            </w:tcMar>
            <w:vAlign w:val="center"/>
            <w:hideMark/>
          </w:tcPr>
          <w:p w14:paraId="482D4CF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992" w:type="dxa"/>
            <w:shd w:val="clear" w:color="000000" w:fill="F2F2F2"/>
            <w:tcMar>
              <w:left w:w="28" w:type="dxa"/>
              <w:right w:w="28" w:type="dxa"/>
            </w:tcMar>
            <w:vAlign w:val="center"/>
            <w:hideMark/>
          </w:tcPr>
          <w:p w14:paraId="0CEF9540"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1108" w:type="dxa"/>
            <w:shd w:val="clear" w:color="000000" w:fill="F2F2F2"/>
            <w:tcMar>
              <w:left w:w="28" w:type="dxa"/>
              <w:right w:w="28" w:type="dxa"/>
            </w:tcMar>
            <w:vAlign w:val="center"/>
            <w:hideMark/>
          </w:tcPr>
          <w:p w14:paraId="5E3D7E1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11 340,5</w:t>
            </w:r>
          </w:p>
        </w:tc>
        <w:tc>
          <w:tcPr>
            <w:tcW w:w="1252" w:type="dxa"/>
            <w:shd w:val="clear" w:color="000000" w:fill="F2F2F2"/>
            <w:noWrap/>
            <w:tcMar>
              <w:left w:w="28" w:type="dxa"/>
              <w:right w:w="28" w:type="dxa"/>
            </w:tcMar>
            <w:vAlign w:val="center"/>
            <w:hideMark/>
          </w:tcPr>
          <w:p w14:paraId="781AD08E"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1 080 948,1</w:t>
            </w:r>
          </w:p>
        </w:tc>
        <w:tc>
          <w:tcPr>
            <w:tcW w:w="939" w:type="dxa"/>
            <w:shd w:val="clear" w:color="000000" w:fill="F2F2F2"/>
            <w:noWrap/>
            <w:tcMar>
              <w:left w:w="28" w:type="dxa"/>
              <w:right w:w="28" w:type="dxa"/>
            </w:tcMar>
            <w:vAlign w:val="center"/>
            <w:hideMark/>
          </w:tcPr>
          <w:p w14:paraId="37BFCB20"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52,2%</w:t>
            </w:r>
          </w:p>
        </w:tc>
      </w:tr>
      <w:tr w:rsidR="00846850" w:rsidRPr="00846850" w14:paraId="137A9691" w14:textId="77777777" w:rsidTr="00846850">
        <w:trPr>
          <w:trHeight w:val="330"/>
        </w:trPr>
        <w:tc>
          <w:tcPr>
            <w:tcW w:w="12585" w:type="dxa"/>
            <w:gridSpan w:val="10"/>
            <w:shd w:val="clear" w:color="000000" w:fill="F2F2F2"/>
            <w:tcMar>
              <w:left w:w="28" w:type="dxa"/>
              <w:right w:w="28" w:type="dxa"/>
            </w:tcMar>
            <w:vAlign w:val="center"/>
            <w:hideMark/>
          </w:tcPr>
          <w:p w14:paraId="6304F4B1" w14:textId="77777777" w:rsidR="00846850" w:rsidRPr="00846850" w:rsidRDefault="00846850" w:rsidP="00846850">
            <w:pPr>
              <w:spacing w:after="0" w:line="240" w:lineRule="auto"/>
              <w:rPr>
                <w:rFonts w:ascii="Times New Roman" w:eastAsia="Times New Roman" w:hAnsi="Times New Roman" w:cs="Times New Roman"/>
                <w:b/>
                <w:bCs/>
              </w:rPr>
            </w:pPr>
            <w:r w:rsidRPr="00846850">
              <w:rPr>
                <w:rFonts w:ascii="Times New Roman" w:eastAsia="Times New Roman" w:hAnsi="Times New Roman" w:cs="Times New Roman"/>
                <w:b/>
                <w:bCs/>
              </w:rPr>
              <w:t>Транспорт</w:t>
            </w:r>
          </w:p>
        </w:tc>
        <w:tc>
          <w:tcPr>
            <w:tcW w:w="1252" w:type="dxa"/>
            <w:shd w:val="clear" w:color="000000" w:fill="F2F2F2"/>
            <w:noWrap/>
            <w:tcMar>
              <w:left w:w="28" w:type="dxa"/>
              <w:right w:w="28" w:type="dxa"/>
            </w:tcMar>
            <w:vAlign w:val="center"/>
            <w:hideMark/>
          </w:tcPr>
          <w:p w14:paraId="502C240F"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466 355,1</w:t>
            </w:r>
          </w:p>
        </w:tc>
        <w:tc>
          <w:tcPr>
            <w:tcW w:w="939" w:type="dxa"/>
            <w:shd w:val="clear" w:color="000000" w:fill="F2F2F2"/>
            <w:noWrap/>
            <w:tcMar>
              <w:left w:w="28" w:type="dxa"/>
              <w:right w:w="28" w:type="dxa"/>
            </w:tcMar>
            <w:vAlign w:val="center"/>
            <w:hideMark/>
          </w:tcPr>
          <w:p w14:paraId="487033A8"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22,5%</w:t>
            </w:r>
          </w:p>
        </w:tc>
      </w:tr>
      <w:tr w:rsidR="00846850" w:rsidRPr="00846850" w14:paraId="60882E76" w14:textId="77777777" w:rsidTr="00846850">
        <w:trPr>
          <w:trHeight w:val="600"/>
        </w:trPr>
        <w:tc>
          <w:tcPr>
            <w:tcW w:w="2805" w:type="dxa"/>
            <w:shd w:val="clear" w:color="auto" w:fill="auto"/>
            <w:tcMar>
              <w:left w:w="28" w:type="dxa"/>
              <w:right w:w="28" w:type="dxa"/>
            </w:tcMar>
            <w:vAlign w:val="center"/>
            <w:hideMark/>
          </w:tcPr>
          <w:p w14:paraId="60EEE6AE"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Муніципальний транспорт</w:t>
            </w:r>
          </w:p>
        </w:tc>
        <w:tc>
          <w:tcPr>
            <w:tcW w:w="1159" w:type="dxa"/>
            <w:shd w:val="clear" w:color="000000" w:fill="FFFF99"/>
            <w:tcMar>
              <w:left w:w="28" w:type="dxa"/>
              <w:right w:w="28" w:type="dxa"/>
            </w:tcMar>
            <w:vAlign w:val="center"/>
            <w:hideMark/>
          </w:tcPr>
          <w:p w14:paraId="48148F48"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3" w:type="dxa"/>
            <w:shd w:val="clear" w:color="000000" w:fill="FFFF99"/>
            <w:tcMar>
              <w:left w:w="28" w:type="dxa"/>
              <w:right w:w="28" w:type="dxa"/>
            </w:tcMar>
            <w:vAlign w:val="center"/>
            <w:hideMark/>
          </w:tcPr>
          <w:p w14:paraId="57C9907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1134" w:type="dxa"/>
            <w:shd w:val="clear" w:color="000000" w:fill="FFFF99"/>
            <w:tcMar>
              <w:left w:w="28" w:type="dxa"/>
              <w:right w:w="28" w:type="dxa"/>
            </w:tcMar>
            <w:vAlign w:val="center"/>
            <w:hideMark/>
          </w:tcPr>
          <w:p w14:paraId="6AB8718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364,4</w:t>
            </w:r>
          </w:p>
        </w:tc>
        <w:tc>
          <w:tcPr>
            <w:tcW w:w="1275" w:type="dxa"/>
            <w:shd w:val="clear" w:color="000000" w:fill="FFFF99"/>
            <w:tcMar>
              <w:left w:w="28" w:type="dxa"/>
              <w:right w:w="28" w:type="dxa"/>
            </w:tcMar>
            <w:vAlign w:val="center"/>
            <w:hideMark/>
          </w:tcPr>
          <w:p w14:paraId="40E9619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1497,1</w:t>
            </w:r>
          </w:p>
        </w:tc>
        <w:tc>
          <w:tcPr>
            <w:tcW w:w="993" w:type="dxa"/>
            <w:shd w:val="clear" w:color="000000" w:fill="FFFF99"/>
            <w:tcMar>
              <w:left w:w="28" w:type="dxa"/>
              <w:right w:w="28" w:type="dxa"/>
            </w:tcMar>
            <w:vAlign w:val="center"/>
            <w:hideMark/>
          </w:tcPr>
          <w:p w14:paraId="545224F0"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6 586,7</w:t>
            </w:r>
          </w:p>
        </w:tc>
        <w:tc>
          <w:tcPr>
            <w:tcW w:w="992" w:type="dxa"/>
            <w:shd w:val="clear" w:color="000000" w:fill="FFFF99"/>
            <w:tcMar>
              <w:left w:w="28" w:type="dxa"/>
              <w:right w:w="28" w:type="dxa"/>
            </w:tcMar>
            <w:vAlign w:val="center"/>
            <w:hideMark/>
          </w:tcPr>
          <w:p w14:paraId="6E5FFCC7"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2 648,2</w:t>
            </w:r>
          </w:p>
        </w:tc>
        <w:tc>
          <w:tcPr>
            <w:tcW w:w="1134" w:type="dxa"/>
            <w:shd w:val="clear" w:color="000000" w:fill="FFFF99"/>
            <w:tcMar>
              <w:left w:w="28" w:type="dxa"/>
              <w:right w:w="28" w:type="dxa"/>
            </w:tcMar>
            <w:vAlign w:val="center"/>
            <w:hideMark/>
          </w:tcPr>
          <w:p w14:paraId="73714637"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5B9FA9C9"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17415CF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252" w:type="dxa"/>
            <w:shd w:val="clear" w:color="000000" w:fill="FFFF99"/>
            <w:noWrap/>
            <w:tcMar>
              <w:left w:w="28" w:type="dxa"/>
              <w:right w:w="28" w:type="dxa"/>
            </w:tcMar>
            <w:vAlign w:val="center"/>
            <w:hideMark/>
          </w:tcPr>
          <w:p w14:paraId="4198142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11 096,3</w:t>
            </w:r>
          </w:p>
        </w:tc>
        <w:tc>
          <w:tcPr>
            <w:tcW w:w="939" w:type="dxa"/>
            <w:shd w:val="clear" w:color="000000" w:fill="FFFF99"/>
            <w:noWrap/>
            <w:tcMar>
              <w:left w:w="28" w:type="dxa"/>
              <w:right w:w="28" w:type="dxa"/>
            </w:tcMar>
            <w:vAlign w:val="center"/>
            <w:hideMark/>
          </w:tcPr>
          <w:p w14:paraId="0249B3E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0,5%</w:t>
            </w:r>
          </w:p>
        </w:tc>
      </w:tr>
      <w:tr w:rsidR="00846850" w:rsidRPr="00846850" w14:paraId="4943ABEF" w14:textId="77777777" w:rsidTr="00846850">
        <w:trPr>
          <w:trHeight w:val="600"/>
        </w:trPr>
        <w:tc>
          <w:tcPr>
            <w:tcW w:w="2805" w:type="dxa"/>
            <w:shd w:val="clear" w:color="auto" w:fill="auto"/>
            <w:tcMar>
              <w:left w:w="28" w:type="dxa"/>
              <w:right w:w="28" w:type="dxa"/>
            </w:tcMar>
            <w:vAlign w:val="center"/>
            <w:hideMark/>
          </w:tcPr>
          <w:p w14:paraId="636B5AE1"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Громадський транспорт</w:t>
            </w:r>
          </w:p>
        </w:tc>
        <w:tc>
          <w:tcPr>
            <w:tcW w:w="1159" w:type="dxa"/>
            <w:shd w:val="clear" w:color="000000" w:fill="FFFF99"/>
            <w:tcMar>
              <w:left w:w="28" w:type="dxa"/>
              <w:right w:w="28" w:type="dxa"/>
            </w:tcMar>
            <w:vAlign w:val="center"/>
            <w:hideMark/>
          </w:tcPr>
          <w:p w14:paraId="288A5DC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10 341,9</w:t>
            </w:r>
          </w:p>
        </w:tc>
        <w:tc>
          <w:tcPr>
            <w:tcW w:w="993" w:type="dxa"/>
            <w:shd w:val="clear" w:color="000000" w:fill="FFFF99"/>
            <w:tcMar>
              <w:left w:w="28" w:type="dxa"/>
              <w:right w:w="28" w:type="dxa"/>
            </w:tcMar>
            <w:vAlign w:val="center"/>
            <w:hideMark/>
          </w:tcPr>
          <w:p w14:paraId="5F3D692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51F8A5C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245 246,1</w:t>
            </w:r>
          </w:p>
        </w:tc>
        <w:tc>
          <w:tcPr>
            <w:tcW w:w="1275" w:type="dxa"/>
            <w:shd w:val="clear" w:color="000000" w:fill="FFFF99"/>
            <w:tcMar>
              <w:left w:w="28" w:type="dxa"/>
              <w:right w:w="28" w:type="dxa"/>
            </w:tcMar>
            <w:vAlign w:val="center"/>
            <w:hideMark/>
          </w:tcPr>
          <w:p w14:paraId="4AFDD475"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993" w:type="dxa"/>
            <w:shd w:val="clear" w:color="000000" w:fill="FFFF99"/>
            <w:tcMar>
              <w:left w:w="28" w:type="dxa"/>
              <w:right w:w="28" w:type="dxa"/>
            </w:tcMar>
            <w:vAlign w:val="center"/>
            <w:hideMark/>
          </w:tcPr>
          <w:p w14:paraId="06CC79AE"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12 808,0</w:t>
            </w:r>
          </w:p>
        </w:tc>
        <w:tc>
          <w:tcPr>
            <w:tcW w:w="992" w:type="dxa"/>
            <w:shd w:val="clear" w:color="000000" w:fill="FFFF99"/>
            <w:tcMar>
              <w:left w:w="28" w:type="dxa"/>
              <w:right w:w="28" w:type="dxa"/>
            </w:tcMar>
            <w:vAlign w:val="center"/>
            <w:hideMark/>
          </w:tcPr>
          <w:p w14:paraId="6D64AE4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0,0</w:t>
            </w:r>
          </w:p>
        </w:tc>
        <w:tc>
          <w:tcPr>
            <w:tcW w:w="1134" w:type="dxa"/>
            <w:shd w:val="clear" w:color="000000" w:fill="FFFF99"/>
            <w:tcMar>
              <w:left w:w="28" w:type="dxa"/>
              <w:right w:w="28" w:type="dxa"/>
            </w:tcMar>
            <w:vAlign w:val="center"/>
            <w:hideMark/>
          </w:tcPr>
          <w:p w14:paraId="4A7E97C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7590CFB4"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4F7D319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252" w:type="dxa"/>
            <w:shd w:val="clear" w:color="000000" w:fill="FFFF99"/>
            <w:noWrap/>
            <w:tcMar>
              <w:left w:w="28" w:type="dxa"/>
              <w:right w:w="28" w:type="dxa"/>
            </w:tcMar>
            <w:vAlign w:val="center"/>
            <w:hideMark/>
          </w:tcPr>
          <w:p w14:paraId="10E52C6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268 396,0</w:t>
            </w:r>
          </w:p>
        </w:tc>
        <w:tc>
          <w:tcPr>
            <w:tcW w:w="939" w:type="dxa"/>
            <w:shd w:val="clear" w:color="000000" w:fill="FFFF99"/>
            <w:noWrap/>
            <w:tcMar>
              <w:left w:w="28" w:type="dxa"/>
              <w:right w:w="28" w:type="dxa"/>
            </w:tcMar>
            <w:vAlign w:val="center"/>
            <w:hideMark/>
          </w:tcPr>
          <w:p w14:paraId="42E43EA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13,0%</w:t>
            </w:r>
          </w:p>
        </w:tc>
      </w:tr>
      <w:tr w:rsidR="00846850" w:rsidRPr="00846850" w14:paraId="165621AC" w14:textId="77777777" w:rsidTr="00846850">
        <w:trPr>
          <w:trHeight w:val="600"/>
        </w:trPr>
        <w:tc>
          <w:tcPr>
            <w:tcW w:w="2805" w:type="dxa"/>
            <w:shd w:val="clear" w:color="auto" w:fill="auto"/>
            <w:tcMar>
              <w:left w:w="28" w:type="dxa"/>
              <w:right w:w="28" w:type="dxa"/>
            </w:tcMar>
            <w:vAlign w:val="center"/>
            <w:hideMark/>
          </w:tcPr>
          <w:p w14:paraId="4427DCEB"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Приватний та комерційний транспорт</w:t>
            </w:r>
          </w:p>
        </w:tc>
        <w:tc>
          <w:tcPr>
            <w:tcW w:w="1159" w:type="dxa"/>
            <w:shd w:val="clear" w:color="000000" w:fill="FFFF99"/>
            <w:tcMar>
              <w:left w:w="28" w:type="dxa"/>
              <w:right w:w="28" w:type="dxa"/>
            </w:tcMar>
            <w:vAlign w:val="center"/>
            <w:hideMark/>
          </w:tcPr>
          <w:p w14:paraId="48530F3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1 161,0</w:t>
            </w:r>
          </w:p>
        </w:tc>
        <w:tc>
          <w:tcPr>
            <w:tcW w:w="993" w:type="dxa"/>
            <w:shd w:val="clear" w:color="000000" w:fill="FFFF99"/>
            <w:tcMar>
              <w:left w:w="28" w:type="dxa"/>
              <w:right w:w="28" w:type="dxa"/>
            </w:tcMar>
            <w:vAlign w:val="center"/>
            <w:hideMark/>
          </w:tcPr>
          <w:p w14:paraId="357AB340"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3F3B8008"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1 569,1</w:t>
            </w:r>
          </w:p>
        </w:tc>
        <w:tc>
          <w:tcPr>
            <w:tcW w:w="1275" w:type="dxa"/>
            <w:shd w:val="clear" w:color="000000" w:fill="FFFF99"/>
            <w:tcMar>
              <w:left w:w="28" w:type="dxa"/>
              <w:right w:w="28" w:type="dxa"/>
            </w:tcMar>
            <w:vAlign w:val="center"/>
            <w:hideMark/>
          </w:tcPr>
          <w:p w14:paraId="68AB8E51"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42 235,8</w:t>
            </w:r>
          </w:p>
        </w:tc>
        <w:tc>
          <w:tcPr>
            <w:tcW w:w="993" w:type="dxa"/>
            <w:shd w:val="clear" w:color="000000" w:fill="FFFF99"/>
            <w:tcMar>
              <w:left w:w="28" w:type="dxa"/>
              <w:right w:w="28" w:type="dxa"/>
            </w:tcMar>
            <w:vAlign w:val="center"/>
            <w:hideMark/>
          </w:tcPr>
          <w:p w14:paraId="187FAA58"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91 981,1</w:t>
            </w:r>
          </w:p>
        </w:tc>
        <w:tc>
          <w:tcPr>
            <w:tcW w:w="992" w:type="dxa"/>
            <w:shd w:val="clear" w:color="000000" w:fill="FFFF99"/>
            <w:tcMar>
              <w:left w:w="28" w:type="dxa"/>
              <w:right w:w="28" w:type="dxa"/>
            </w:tcMar>
            <w:vAlign w:val="center"/>
            <w:hideMark/>
          </w:tcPr>
          <w:p w14:paraId="74B6C18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49 915,9</w:t>
            </w:r>
          </w:p>
        </w:tc>
        <w:tc>
          <w:tcPr>
            <w:tcW w:w="1134" w:type="dxa"/>
            <w:shd w:val="clear" w:color="000000" w:fill="FFFF99"/>
            <w:tcMar>
              <w:left w:w="28" w:type="dxa"/>
              <w:right w:w="28" w:type="dxa"/>
            </w:tcMar>
            <w:vAlign w:val="center"/>
            <w:hideMark/>
          </w:tcPr>
          <w:p w14:paraId="222BC797"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0494BA7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58C1E2B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252" w:type="dxa"/>
            <w:shd w:val="clear" w:color="000000" w:fill="FFFF99"/>
            <w:noWrap/>
            <w:tcMar>
              <w:left w:w="28" w:type="dxa"/>
              <w:right w:w="28" w:type="dxa"/>
            </w:tcMar>
            <w:vAlign w:val="center"/>
            <w:hideMark/>
          </w:tcPr>
          <w:p w14:paraId="21242409"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186 862,8</w:t>
            </w:r>
          </w:p>
        </w:tc>
        <w:tc>
          <w:tcPr>
            <w:tcW w:w="939" w:type="dxa"/>
            <w:shd w:val="clear" w:color="000000" w:fill="FFFF99"/>
            <w:noWrap/>
            <w:tcMar>
              <w:left w:w="28" w:type="dxa"/>
              <w:right w:w="28" w:type="dxa"/>
            </w:tcMar>
            <w:vAlign w:val="center"/>
            <w:hideMark/>
          </w:tcPr>
          <w:p w14:paraId="028729A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9,0%</w:t>
            </w:r>
          </w:p>
        </w:tc>
      </w:tr>
      <w:tr w:rsidR="00846850" w:rsidRPr="00846850" w14:paraId="174DABBF" w14:textId="77777777" w:rsidTr="00846850">
        <w:trPr>
          <w:trHeight w:val="330"/>
        </w:trPr>
        <w:tc>
          <w:tcPr>
            <w:tcW w:w="12585" w:type="dxa"/>
            <w:gridSpan w:val="10"/>
            <w:shd w:val="clear" w:color="000000" w:fill="F2F2F2"/>
            <w:tcMar>
              <w:left w:w="28" w:type="dxa"/>
              <w:right w:w="28" w:type="dxa"/>
            </w:tcMar>
            <w:vAlign w:val="center"/>
            <w:hideMark/>
          </w:tcPr>
          <w:p w14:paraId="01567ED6" w14:textId="77777777" w:rsidR="00846850" w:rsidRPr="00846850" w:rsidRDefault="00846850" w:rsidP="00846850">
            <w:pPr>
              <w:spacing w:after="0" w:line="240" w:lineRule="auto"/>
              <w:rPr>
                <w:rFonts w:ascii="Times New Roman" w:eastAsia="Times New Roman" w:hAnsi="Times New Roman" w:cs="Times New Roman"/>
                <w:b/>
                <w:bCs/>
              </w:rPr>
            </w:pPr>
            <w:r w:rsidRPr="00846850">
              <w:rPr>
                <w:rFonts w:ascii="Times New Roman" w:eastAsia="Times New Roman" w:hAnsi="Times New Roman" w:cs="Times New Roman"/>
                <w:b/>
                <w:bCs/>
              </w:rPr>
              <w:t>Сектори, що не пов'язані з енергетикою</w:t>
            </w:r>
          </w:p>
        </w:tc>
        <w:tc>
          <w:tcPr>
            <w:tcW w:w="1252" w:type="dxa"/>
            <w:shd w:val="clear" w:color="000000" w:fill="F2F2F2"/>
            <w:noWrap/>
            <w:tcMar>
              <w:left w:w="28" w:type="dxa"/>
              <w:right w:w="28" w:type="dxa"/>
            </w:tcMar>
            <w:vAlign w:val="center"/>
            <w:hideMark/>
          </w:tcPr>
          <w:p w14:paraId="6E4C7676"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15 902,0</w:t>
            </w:r>
          </w:p>
        </w:tc>
        <w:tc>
          <w:tcPr>
            <w:tcW w:w="939" w:type="dxa"/>
            <w:shd w:val="clear" w:color="000000" w:fill="F2F2F2"/>
            <w:noWrap/>
            <w:tcMar>
              <w:left w:w="28" w:type="dxa"/>
              <w:right w:w="28" w:type="dxa"/>
            </w:tcMar>
            <w:vAlign w:val="center"/>
            <w:hideMark/>
          </w:tcPr>
          <w:p w14:paraId="066978D8"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0,8%</w:t>
            </w:r>
          </w:p>
        </w:tc>
      </w:tr>
      <w:tr w:rsidR="00846850" w:rsidRPr="00846850" w14:paraId="20ABCD90" w14:textId="77777777" w:rsidTr="00846850">
        <w:trPr>
          <w:trHeight w:val="600"/>
        </w:trPr>
        <w:tc>
          <w:tcPr>
            <w:tcW w:w="2805" w:type="dxa"/>
            <w:shd w:val="clear" w:color="auto" w:fill="auto"/>
            <w:tcMar>
              <w:left w:w="28" w:type="dxa"/>
              <w:right w:w="28" w:type="dxa"/>
            </w:tcMar>
            <w:vAlign w:val="center"/>
            <w:hideMark/>
          </w:tcPr>
          <w:p w14:paraId="19C2777C" w14:textId="77777777" w:rsidR="00846850" w:rsidRPr="00846850" w:rsidRDefault="00846850" w:rsidP="00846850">
            <w:pPr>
              <w:spacing w:after="0" w:line="240" w:lineRule="auto"/>
              <w:ind w:firstLineChars="200" w:firstLine="440"/>
              <w:rPr>
                <w:rFonts w:ascii="Times New Roman" w:eastAsia="Times New Roman" w:hAnsi="Times New Roman" w:cs="Times New Roman"/>
              </w:rPr>
            </w:pPr>
            <w:r w:rsidRPr="00846850">
              <w:rPr>
                <w:rFonts w:ascii="Times New Roman" w:eastAsia="Times New Roman" w:hAnsi="Times New Roman" w:cs="Times New Roman"/>
              </w:rPr>
              <w:t>- Інші - управління відходами</w:t>
            </w:r>
          </w:p>
        </w:tc>
        <w:tc>
          <w:tcPr>
            <w:tcW w:w="1159" w:type="dxa"/>
            <w:shd w:val="clear" w:color="000000" w:fill="FFFF99"/>
            <w:tcMar>
              <w:left w:w="28" w:type="dxa"/>
              <w:right w:w="28" w:type="dxa"/>
            </w:tcMar>
            <w:vAlign w:val="center"/>
            <w:hideMark/>
          </w:tcPr>
          <w:p w14:paraId="546E934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3" w:type="dxa"/>
            <w:shd w:val="clear" w:color="000000" w:fill="FFFF99"/>
            <w:tcMar>
              <w:left w:w="28" w:type="dxa"/>
              <w:right w:w="28" w:type="dxa"/>
            </w:tcMar>
            <w:vAlign w:val="center"/>
            <w:hideMark/>
          </w:tcPr>
          <w:p w14:paraId="31142232"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34" w:type="dxa"/>
            <w:shd w:val="clear" w:color="000000" w:fill="FFFF99"/>
            <w:tcMar>
              <w:left w:w="28" w:type="dxa"/>
              <w:right w:w="28" w:type="dxa"/>
            </w:tcMar>
            <w:vAlign w:val="center"/>
            <w:hideMark/>
          </w:tcPr>
          <w:p w14:paraId="6C709C1F"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15 902,0</w:t>
            </w:r>
          </w:p>
        </w:tc>
        <w:tc>
          <w:tcPr>
            <w:tcW w:w="1275" w:type="dxa"/>
            <w:shd w:val="clear" w:color="000000" w:fill="FFFF99"/>
            <w:tcMar>
              <w:left w:w="28" w:type="dxa"/>
              <w:right w:w="28" w:type="dxa"/>
            </w:tcMar>
            <w:vAlign w:val="center"/>
            <w:hideMark/>
          </w:tcPr>
          <w:p w14:paraId="372247C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3" w:type="dxa"/>
            <w:shd w:val="clear" w:color="000000" w:fill="FFFF99"/>
            <w:tcMar>
              <w:left w:w="28" w:type="dxa"/>
              <w:right w:w="28" w:type="dxa"/>
            </w:tcMar>
            <w:vAlign w:val="center"/>
            <w:hideMark/>
          </w:tcPr>
          <w:p w14:paraId="392944BC"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992" w:type="dxa"/>
            <w:shd w:val="clear" w:color="000000" w:fill="FFFF99"/>
            <w:tcMar>
              <w:left w:w="28" w:type="dxa"/>
              <w:right w:w="28" w:type="dxa"/>
            </w:tcMar>
            <w:vAlign w:val="center"/>
            <w:hideMark/>
          </w:tcPr>
          <w:p w14:paraId="7F3EC22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134" w:type="dxa"/>
            <w:shd w:val="clear" w:color="000000" w:fill="FFFF99"/>
            <w:tcMar>
              <w:left w:w="28" w:type="dxa"/>
              <w:right w:w="28" w:type="dxa"/>
            </w:tcMar>
            <w:vAlign w:val="center"/>
            <w:hideMark/>
          </w:tcPr>
          <w:p w14:paraId="25AB348D"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992" w:type="dxa"/>
            <w:shd w:val="clear" w:color="000000" w:fill="FFFF99"/>
            <w:tcMar>
              <w:left w:w="28" w:type="dxa"/>
              <w:right w:w="28" w:type="dxa"/>
            </w:tcMar>
            <w:vAlign w:val="center"/>
            <w:hideMark/>
          </w:tcPr>
          <w:p w14:paraId="340BCBBB"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НІ</w:t>
            </w:r>
          </w:p>
        </w:tc>
        <w:tc>
          <w:tcPr>
            <w:tcW w:w="1108" w:type="dxa"/>
            <w:shd w:val="clear" w:color="000000" w:fill="FFFF99"/>
            <w:tcMar>
              <w:left w:w="28" w:type="dxa"/>
              <w:right w:w="28" w:type="dxa"/>
            </w:tcMar>
            <w:vAlign w:val="center"/>
            <w:hideMark/>
          </w:tcPr>
          <w:p w14:paraId="43939BDA"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ВІ</w:t>
            </w:r>
          </w:p>
        </w:tc>
        <w:tc>
          <w:tcPr>
            <w:tcW w:w="1252" w:type="dxa"/>
            <w:shd w:val="clear" w:color="000000" w:fill="FFFF99"/>
            <w:noWrap/>
            <w:tcMar>
              <w:left w:w="28" w:type="dxa"/>
              <w:right w:w="28" w:type="dxa"/>
            </w:tcMar>
            <w:vAlign w:val="center"/>
            <w:hideMark/>
          </w:tcPr>
          <w:p w14:paraId="10CEC8A6"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15 902,0</w:t>
            </w:r>
          </w:p>
        </w:tc>
        <w:tc>
          <w:tcPr>
            <w:tcW w:w="939" w:type="dxa"/>
            <w:shd w:val="clear" w:color="000000" w:fill="FFFF99"/>
            <w:noWrap/>
            <w:tcMar>
              <w:left w:w="28" w:type="dxa"/>
              <w:right w:w="28" w:type="dxa"/>
            </w:tcMar>
            <w:vAlign w:val="center"/>
            <w:hideMark/>
          </w:tcPr>
          <w:p w14:paraId="67F44299" w14:textId="77777777" w:rsidR="00846850" w:rsidRPr="00846850" w:rsidRDefault="00846850" w:rsidP="00846850">
            <w:pPr>
              <w:spacing w:after="0" w:line="240" w:lineRule="auto"/>
              <w:jc w:val="center"/>
              <w:rPr>
                <w:rFonts w:ascii="Times New Roman" w:eastAsia="Times New Roman" w:hAnsi="Times New Roman" w:cs="Times New Roman"/>
                <w:color w:val="000000"/>
              </w:rPr>
            </w:pPr>
            <w:r w:rsidRPr="00846850">
              <w:rPr>
                <w:rFonts w:ascii="Times New Roman" w:eastAsia="Times New Roman" w:hAnsi="Times New Roman" w:cs="Times New Roman"/>
                <w:color w:val="000000"/>
              </w:rPr>
              <w:t>0,8%</w:t>
            </w:r>
          </w:p>
        </w:tc>
      </w:tr>
      <w:tr w:rsidR="00846850" w:rsidRPr="00846850" w14:paraId="18CD4AF6" w14:textId="77777777" w:rsidTr="00846850">
        <w:trPr>
          <w:trHeight w:val="315"/>
        </w:trPr>
        <w:tc>
          <w:tcPr>
            <w:tcW w:w="2805" w:type="dxa"/>
            <w:shd w:val="clear" w:color="auto" w:fill="auto"/>
            <w:tcMar>
              <w:left w:w="28" w:type="dxa"/>
              <w:right w:w="28" w:type="dxa"/>
            </w:tcMar>
            <w:vAlign w:val="center"/>
            <w:hideMark/>
          </w:tcPr>
          <w:p w14:paraId="79F9C8F4" w14:textId="77777777" w:rsidR="00846850" w:rsidRPr="00846850" w:rsidRDefault="00846850" w:rsidP="00846850">
            <w:pPr>
              <w:spacing w:after="0" w:line="240" w:lineRule="auto"/>
              <w:jc w:val="center"/>
              <w:rPr>
                <w:rFonts w:ascii="Times New Roman" w:eastAsia="Times New Roman" w:hAnsi="Times New Roman" w:cs="Times New Roman"/>
                <w:b/>
                <w:bCs/>
              </w:rPr>
            </w:pPr>
            <w:r w:rsidRPr="00846850">
              <w:rPr>
                <w:rFonts w:ascii="Times New Roman" w:eastAsia="Times New Roman" w:hAnsi="Times New Roman" w:cs="Times New Roman"/>
                <w:b/>
                <w:bCs/>
              </w:rPr>
              <w:t>Разом</w:t>
            </w:r>
          </w:p>
        </w:tc>
        <w:tc>
          <w:tcPr>
            <w:tcW w:w="1159" w:type="dxa"/>
            <w:shd w:val="clear" w:color="auto" w:fill="auto"/>
            <w:tcMar>
              <w:left w:w="28" w:type="dxa"/>
              <w:right w:w="28" w:type="dxa"/>
            </w:tcMar>
            <w:vAlign w:val="center"/>
            <w:hideMark/>
          </w:tcPr>
          <w:p w14:paraId="7E9F28F4"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327 254,9</w:t>
            </w:r>
          </w:p>
        </w:tc>
        <w:tc>
          <w:tcPr>
            <w:tcW w:w="993" w:type="dxa"/>
            <w:shd w:val="clear" w:color="auto" w:fill="auto"/>
            <w:tcMar>
              <w:left w:w="28" w:type="dxa"/>
              <w:right w:w="28" w:type="dxa"/>
            </w:tcMar>
            <w:vAlign w:val="center"/>
            <w:hideMark/>
          </w:tcPr>
          <w:p w14:paraId="3AF323A2"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422 162,4</w:t>
            </w:r>
          </w:p>
        </w:tc>
        <w:tc>
          <w:tcPr>
            <w:tcW w:w="1134" w:type="dxa"/>
            <w:shd w:val="clear" w:color="auto" w:fill="auto"/>
            <w:tcMar>
              <w:left w:w="28" w:type="dxa"/>
              <w:right w:w="28" w:type="dxa"/>
            </w:tcMar>
            <w:vAlign w:val="center"/>
            <w:hideMark/>
          </w:tcPr>
          <w:p w14:paraId="1CAAD598"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949 375,1</w:t>
            </w:r>
          </w:p>
        </w:tc>
        <w:tc>
          <w:tcPr>
            <w:tcW w:w="1275" w:type="dxa"/>
            <w:shd w:val="clear" w:color="auto" w:fill="auto"/>
            <w:tcMar>
              <w:left w:w="28" w:type="dxa"/>
              <w:right w:w="28" w:type="dxa"/>
            </w:tcMar>
            <w:vAlign w:val="center"/>
            <w:hideMark/>
          </w:tcPr>
          <w:p w14:paraId="60D0F698"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43 732,9</w:t>
            </w:r>
          </w:p>
        </w:tc>
        <w:tc>
          <w:tcPr>
            <w:tcW w:w="993" w:type="dxa"/>
            <w:shd w:val="clear" w:color="auto" w:fill="auto"/>
            <w:tcMar>
              <w:left w:w="28" w:type="dxa"/>
              <w:right w:w="28" w:type="dxa"/>
            </w:tcMar>
            <w:vAlign w:val="center"/>
            <w:hideMark/>
          </w:tcPr>
          <w:p w14:paraId="4B90FEE8"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111 375,7</w:t>
            </w:r>
          </w:p>
        </w:tc>
        <w:tc>
          <w:tcPr>
            <w:tcW w:w="992" w:type="dxa"/>
            <w:shd w:val="clear" w:color="auto" w:fill="auto"/>
            <w:tcMar>
              <w:left w:w="28" w:type="dxa"/>
              <w:right w:w="28" w:type="dxa"/>
            </w:tcMar>
            <w:vAlign w:val="center"/>
            <w:hideMark/>
          </w:tcPr>
          <w:p w14:paraId="148FF462"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52 564,1</w:t>
            </w:r>
          </w:p>
        </w:tc>
        <w:tc>
          <w:tcPr>
            <w:tcW w:w="1134" w:type="dxa"/>
            <w:shd w:val="clear" w:color="auto" w:fill="auto"/>
            <w:tcMar>
              <w:left w:w="28" w:type="dxa"/>
              <w:right w:w="28" w:type="dxa"/>
            </w:tcMar>
            <w:vAlign w:val="center"/>
            <w:hideMark/>
          </w:tcPr>
          <w:p w14:paraId="719F0EDE"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9 474,6</w:t>
            </w:r>
          </w:p>
        </w:tc>
        <w:tc>
          <w:tcPr>
            <w:tcW w:w="992" w:type="dxa"/>
            <w:shd w:val="clear" w:color="auto" w:fill="auto"/>
            <w:tcMar>
              <w:left w:w="28" w:type="dxa"/>
              <w:right w:w="28" w:type="dxa"/>
            </w:tcMar>
            <w:vAlign w:val="center"/>
            <w:hideMark/>
          </w:tcPr>
          <w:p w14:paraId="7E0A4E7C"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23,0</w:t>
            </w:r>
          </w:p>
        </w:tc>
        <w:tc>
          <w:tcPr>
            <w:tcW w:w="1108" w:type="dxa"/>
            <w:shd w:val="clear" w:color="auto" w:fill="auto"/>
            <w:tcMar>
              <w:left w:w="28" w:type="dxa"/>
              <w:right w:w="28" w:type="dxa"/>
            </w:tcMar>
            <w:vAlign w:val="center"/>
            <w:hideMark/>
          </w:tcPr>
          <w:p w14:paraId="6C71E45A" w14:textId="77777777" w:rsidR="00846850" w:rsidRPr="00846850" w:rsidRDefault="00846850" w:rsidP="00846850">
            <w:pPr>
              <w:spacing w:after="0" w:line="240" w:lineRule="auto"/>
              <w:jc w:val="center"/>
              <w:rPr>
                <w:rFonts w:ascii="Times New Roman" w:eastAsia="Times New Roman" w:hAnsi="Times New Roman" w:cs="Times New Roman"/>
                <w:b/>
                <w:bCs/>
                <w:color w:val="000000"/>
              </w:rPr>
            </w:pPr>
            <w:r w:rsidRPr="00846850">
              <w:rPr>
                <w:rFonts w:ascii="Times New Roman" w:eastAsia="Times New Roman" w:hAnsi="Times New Roman" w:cs="Times New Roman"/>
                <w:b/>
                <w:bCs/>
                <w:color w:val="000000"/>
              </w:rPr>
              <w:t>153 354,6</w:t>
            </w:r>
          </w:p>
        </w:tc>
        <w:tc>
          <w:tcPr>
            <w:tcW w:w="1252" w:type="dxa"/>
            <w:shd w:val="clear" w:color="auto" w:fill="auto"/>
            <w:tcMar>
              <w:left w:w="28" w:type="dxa"/>
              <w:right w:w="28" w:type="dxa"/>
            </w:tcMar>
            <w:vAlign w:val="center"/>
            <w:hideMark/>
          </w:tcPr>
          <w:p w14:paraId="685253E5" w14:textId="77777777" w:rsidR="00846850" w:rsidRPr="00846850" w:rsidRDefault="00846850" w:rsidP="00846850">
            <w:pPr>
              <w:spacing w:after="0" w:line="240" w:lineRule="auto"/>
              <w:jc w:val="center"/>
              <w:rPr>
                <w:rFonts w:ascii="Times New Roman" w:eastAsia="Times New Roman" w:hAnsi="Times New Roman" w:cs="Times New Roman"/>
                <w:b/>
                <w:bCs/>
                <w:color w:val="000000"/>
                <w:sz w:val="24"/>
                <w:szCs w:val="24"/>
              </w:rPr>
            </w:pPr>
            <w:r w:rsidRPr="00846850">
              <w:rPr>
                <w:rFonts w:ascii="Times New Roman" w:eastAsia="Times New Roman" w:hAnsi="Times New Roman" w:cs="Times New Roman"/>
                <w:b/>
                <w:bCs/>
                <w:color w:val="000000"/>
                <w:sz w:val="24"/>
                <w:szCs w:val="24"/>
              </w:rPr>
              <w:t>2 069 317,1</w:t>
            </w:r>
          </w:p>
        </w:tc>
        <w:tc>
          <w:tcPr>
            <w:tcW w:w="939" w:type="dxa"/>
            <w:shd w:val="clear" w:color="auto" w:fill="auto"/>
            <w:noWrap/>
            <w:tcMar>
              <w:left w:w="28" w:type="dxa"/>
              <w:right w:w="28" w:type="dxa"/>
            </w:tcMar>
            <w:vAlign w:val="center"/>
            <w:hideMark/>
          </w:tcPr>
          <w:p w14:paraId="39695421" w14:textId="77777777" w:rsidR="00846850" w:rsidRPr="00846850" w:rsidRDefault="00846850" w:rsidP="00846850">
            <w:pPr>
              <w:spacing w:after="0" w:line="240" w:lineRule="auto"/>
              <w:jc w:val="center"/>
              <w:rPr>
                <w:rFonts w:ascii="Times New Roman" w:eastAsia="Times New Roman" w:hAnsi="Times New Roman" w:cs="Times New Roman"/>
                <w:b/>
                <w:bCs/>
                <w:color w:val="000000"/>
                <w:sz w:val="24"/>
                <w:szCs w:val="24"/>
              </w:rPr>
            </w:pPr>
            <w:r w:rsidRPr="00846850">
              <w:rPr>
                <w:rFonts w:ascii="Times New Roman" w:eastAsia="Times New Roman" w:hAnsi="Times New Roman" w:cs="Times New Roman"/>
                <w:b/>
                <w:bCs/>
                <w:color w:val="000000"/>
                <w:sz w:val="24"/>
                <w:szCs w:val="24"/>
              </w:rPr>
              <w:t>100,0%</w:t>
            </w:r>
          </w:p>
        </w:tc>
      </w:tr>
    </w:tbl>
    <w:p w14:paraId="16C17219" w14:textId="77777777" w:rsidR="00846850" w:rsidRDefault="00846850" w:rsidP="00846850">
      <w:pPr>
        <w:spacing w:after="0"/>
        <w:jc w:val="both"/>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д</w:t>
      </w:r>
      <w:r>
        <w:rPr>
          <w:rFonts w:ascii="Times New Roman" w:eastAsia="Times New Roman" w:hAnsi="Times New Roman" w:cs="Times New Roman"/>
          <w:color w:val="000000"/>
          <w:sz w:val="24"/>
          <w:szCs w:val="24"/>
        </w:rPr>
        <w:t>іяльність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Pr>
          <w:rFonts w:ascii="Times New Roman" w:eastAsia="Times New Roman" w:hAnsi="Times New Roman" w:cs="Times New Roman"/>
          <w:b/>
          <w:color w:val="000000"/>
          <w:sz w:val="24"/>
          <w:szCs w:val="24"/>
        </w:rPr>
        <w:t xml:space="preserve"> - </w:t>
      </w:r>
      <w:r>
        <w:rPr>
          <w:rFonts w:ascii="Times New Roman" w:eastAsia="Times New Roman" w:hAnsi="Times New Roman" w:cs="Times New Roman"/>
          <w:color w:val="000000"/>
          <w:sz w:val="24"/>
          <w:szCs w:val="24"/>
        </w:rPr>
        <w:t>дані враховано в інших секторах.</w:t>
      </w:r>
    </w:p>
    <w:p w14:paraId="1642DB70" w14:textId="77777777" w:rsidR="00C82386" w:rsidRDefault="00C82386">
      <w:pPr>
        <w:pBdr>
          <w:top w:val="nil"/>
          <w:left w:val="nil"/>
          <w:bottom w:val="nil"/>
          <w:right w:val="nil"/>
          <w:between w:val="nil"/>
        </w:pBdr>
        <w:ind w:left="720"/>
        <w:rPr>
          <w:rFonts w:ascii="Times New Roman" w:eastAsia="Times New Roman" w:hAnsi="Times New Roman" w:cs="Times New Roman"/>
          <w:color w:val="000000"/>
          <w:sz w:val="24"/>
          <w:szCs w:val="24"/>
        </w:rPr>
      </w:pPr>
    </w:p>
    <w:p w14:paraId="1DE90D90" w14:textId="77777777" w:rsidR="00C82386" w:rsidRDefault="00E66F64">
      <w:pPr>
        <w:keepNext/>
        <w:keepLines/>
        <w:numPr>
          <w:ilvl w:val="1"/>
          <w:numId w:val="24"/>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58" w:name="_heading=h.3ygebqi" w:colFirst="0" w:colLast="0"/>
      <w:bookmarkEnd w:id="58"/>
      <w:r>
        <w:rPr>
          <w:rFonts w:ascii="Times New Roman" w:eastAsia="Times New Roman" w:hAnsi="Times New Roman" w:cs="Times New Roman"/>
          <w:b/>
          <w:color w:val="000000"/>
          <w:sz w:val="24"/>
          <w:szCs w:val="24"/>
        </w:rPr>
        <w:t>Кадастр викидів СО</w:t>
      </w:r>
      <w:r>
        <w:rPr>
          <w:rFonts w:ascii="Times New Roman" w:eastAsia="Times New Roman" w:hAnsi="Times New Roman" w:cs="Times New Roman"/>
          <w:b/>
          <w:color w:val="000000"/>
          <w:sz w:val="24"/>
          <w:szCs w:val="24"/>
          <w:vertAlign w:val="subscript"/>
        </w:rPr>
        <w:t>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vertAlign w:val="subscript"/>
        </w:rPr>
        <w:t>екв.</w:t>
      </w:r>
      <w:r>
        <w:rPr>
          <w:rFonts w:ascii="Times New Roman" w:eastAsia="Times New Roman" w:hAnsi="Times New Roman" w:cs="Times New Roman"/>
          <w:b/>
          <w:color w:val="000000"/>
          <w:sz w:val="24"/>
          <w:szCs w:val="24"/>
        </w:rPr>
        <w:t xml:space="preserve"> в 2020 р.</w:t>
      </w:r>
    </w:p>
    <w:p w14:paraId="10BA17CB"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5.3.</w:t>
      </w:r>
    </w:p>
    <w:p w14:paraId="4E2F8F5A" w14:textId="77777777" w:rsidR="00846850" w:rsidRDefault="004341E7" w:rsidP="00846850">
      <w:pPr>
        <w:pBdr>
          <w:top w:val="nil"/>
          <w:left w:val="nil"/>
          <w:bottom w:val="nil"/>
          <w:right w:val="nil"/>
          <w:between w:val="nil"/>
        </w:pBdr>
        <w:spacing w:after="0"/>
        <w:ind w:left="720" w:hanging="720"/>
        <w:jc w:val="center"/>
      </w:pPr>
      <w:sdt>
        <w:sdtPr>
          <w:tag w:val="goog_rdk_71"/>
          <w:id w:val="-1813237356"/>
        </w:sdtPr>
        <w:sdtEndPr/>
        <w:sdtContent>
          <w:r w:rsidR="00846850">
            <w:rPr>
              <w:rFonts w:ascii="Gungsuh" w:eastAsia="Gungsuh" w:hAnsi="Gungsuh" w:cs="Gungsuh"/>
              <w:color w:val="000000"/>
              <w:sz w:val="24"/>
              <w:szCs w:val="24"/>
            </w:rPr>
            <w:t xml:space="preserve">Кадастр викидів для обраних секторів кінцевих споживачів за базовий 2010 р., т </w:t>
          </w:r>
          <w:r w:rsidR="00846850" w:rsidRPr="0051794F">
            <w:rPr>
              <w:rFonts w:ascii="Gungsuh" w:eastAsia="Gungsuh" w:hAnsi="Gungsuh" w:cs="Gungsuh"/>
              <w:color w:val="000000"/>
              <w:sz w:val="24"/>
              <w:szCs w:val="24"/>
            </w:rPr>
            <w:t>СО</w:t>
          </w:r>
          <w:r w:rsidR="00846850" w:rsidRPr="0051794F">
            <w:rPr>
              <w:rFonts w:ascii="Gungsuh" w:eastAsia="Gungsuh" w:hAnsi="Gungsuh" w:cs="Gungsuh"/>
              <w:color w:val="000000"/>
              <w:sz w:val="24"/>
              <w:szCs w:val="24"/>
              <w:vertAlign w:val="subscript"/>
            </w:rPr>
            <w:t>2 екв.</w:t>
          </w:r>
        </w:sdtContent>
      </w:sdt>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8"/>
        <w:gridCol w:w="1155"/>
        <w:gridCol w:w="1115"/>
        <w:gridCol w:w="1134"/>
        <w:gridCol w:w="1196"/>
        <w:gridCol w:w="1072"/>
        <w:gridCol w:w="993"/>
        <w:gridCol w:w="1134"/>
        <w:gridCol w:w="992"/>
        <w:gridCol w:w="992"/>
        <w:gridCol w:w="1134"/>
        <w:gridCol w:w="943"/>
      </w:tblGrid>
      <w:tr w:rsidR="00070D50" w:rsidRPr="00070D50" w14:paraId="7FA27FE4" w14:textId="77777777" w:rsidTr="00314A5E">
        <w:trPr>
          <w:trHeight w:val="330"/>
        </w:trPr>
        <w:tc>
          <w:tcPr>
            <w:tcW w:w="2828" w:type="dxa"/>
            <w:vMerge w:val="restart"/>
            <w:shd w:val="clear" w:color="auto" w:fill="auto"/>
            <w:tcMar>
              <w:left w:w="28" w:type="dxa"/>
              <w:right w:w="28" w:type="dxa"/>
            </w:tcMar>
            <w:vAlign w:val="center"/>
            <w:hideMark/>
          </w:tcPr>
          <w:p w14:paraId="119B49EA" w14:textId="77777777" w:rsidR="00070D50" w:rsidRPr="00070D50" w:rsidRDefault="00070D50" w:rsidP="00070D50">
            <w:pPr>
              <w:spacing w:after="0" w:line="240" w:lineRule="auto"/>
              <w:jc w:val="center"/>
              <w:rPr>
                <w:rFonts w:ascii="Times New Roman" w:eastAsia="Times New Roman" w:hAnsi="Times New Roman" w:cs="Times New Roman"/>
                <w:b/>
                <w:bCs/>
              </w:rPr>
            </w:pPr>
            <w:r w:rsidRPr="00070D50">
              <w:rPr>
                <w:rFonts w:ascii="Times New Roman" w:eastAsia="Times New Roman" w:hAnsi="Times New Roman" w:cs="Times New Roman"/>
                <w:b/>
                <w:bCs/>
              </w:rPr>
              <w:t>Сектори кінцевих споживачів енергоресурсів</w:t>
            </w:r>
          </w:p>
        </w:tc>
        <w:tc>
          <w:tcPr>
            <w:tcW w:w="11860" w:type="dxa"/>
            <w:gridSpan w:val="11"/>
            <w:shd w:val="clear" w:color="auto" w:fill="auto"/>
            <w:tcMar>
              <w:left w:w="28" w:type="dxa"/>
              <w:right w:w="28" w:type="dxa"/>
            </w:tcMar>
            <w:vAlign w:val="center"/>
            <w:hideMark/>
          </w:tcPr>
          <w:p w14:paraId="0D6F3DCC" w14:textId="77777777" w:rsidR="00070D50" w:rsidRPr="00070D50" w:rsidRDefault="00070D50" w:rsidP="00070D50">
            <w:pPr>
              <w:spacing w:after="0" w:line="240" w:lineRule="auto"/>
              <w:jc w:val="center"/>
              <w:rPr>
                <w:rFonts w:ascii="Times New Roman" w:eastAsia="Times New Roman" w:hAnsi="Times New Roman" w:cs="Times New Roman"/>
                <w:b/>
                <w:bCs/>
              </w:rPr>
            </w:pPr>
            <w:r w:rsidRPr="00070D50">
              <w:rPr>
                <w:rFonts w:ascii="Times New Roman" w:eastAsia="Times New Roman" w:hAnsi="Times New Roman" w:cs="Times New Roman"/>
                <w:b/>
                <w:bCs/>
              </w:rPr>
              <w:t>Обсяги споживання енергоресурсів</w:t>
            </w:r>
          </w:p>
        </w:tc>
      </w:tr>
      <w:tr w:rsidR="00070D50" w:rsidRPr="00070D50" w14:paraId="46EED5DB" w14:textId="77777777" w:rsidTr="00314A5E">
        <w:trPr>
          <w:trHeight w:val="330"/>
        </w:trPr>
        <w:tc>
          <w:tcPr>
            <w:tcW w:w="2828" w:type="dxa"/>
            <w:vMerge/>
            <w:tcMar>
              <w:left w:w="28" w:type="dxa"/>
              <w:right w:w="28" w:type="dxa"/>
            </w:tcMar>
            <w:vAlign w:val="center"/>
            <w:hideMark/>
          </w:tcPr>
          <w:p w14:paraId="1811444B" w14:textId="77777777" w:rsidR="00070D50" w:rsidRPr="00070D50" w:rsidRDefault="00070D50" w:rsidP="00070D50">
            <w:pPr>
              <w:spacing w:after="0" w:line="240" w:lineRule="auto"/>
              <w:rPr>
                <w:rFonts w:ascii="Times New Roman" w:eastAsia="Times New Roman" w:hAnsi="Times New Roman" w:cs="Times New Roman"/>
                <w:b/>
                <w:bCs/>
              </w:rPr>
            </w:pPr>
          </w:p>
        </w:tc>
        <w:tc>
          <w:tcPr>
            <w:tcW w:w="1155" w:type="dxa"/>
            <w:vMerge w:val="restart"/>
            <w:shd w:val="clear" w:color="auto" w:fill="auto"/>
            <w:tcMar>
              <w:left w:w="28" w:type="dxa"/>
              <w:right w:w="28" w:type="dxa"/>
            </w:tcMar>
            <w:vAlign w:val="center"/>
            <w:hideMark/>
          </w:tcPr>
          <w:p w14:paraId="6975AB77"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Електрична енергія</w:t>
            </w:r>
          </w:p>
        </w:tc>
        <w:tc>
          <w:tcPr>
            <w:tcW w:w="1115" w:type="dxa"/>
            <w:vMerge w:val="restart"/>
            <w:shd w:val="clear" w:color="auto" w:fill="auto"/>
            <w:tcMar>
              <w:left w:w="28" w:type="dxa"/>
              <w:right w:w="28" w:type="dxa"/>
            </w:tcMar>
            <w:vAlign w:val="center"/>
            <w:hideMark/>
          </w:tcPr>
          <w:p w14:paraId="623FD33D"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Теплова енергія</w:t>
            </w:r>
          </w:p>
        </w:tc>
        <w:tc>
          <w:tcPr>
            <w:tcW w:w="6521" w:type="dxa"/>
            <w:gridSpan w:val="6"/>
            <w:shd w:val="clear" w:color="auto" w:fill="auto"/>
            <w:tcMar>
              <w:left w:w="28" w:type="dxa"/>
              <w:right w:w="28" w:type="dxa"/>
            </w:tcMar>
            <w:vAlign w:val="center"/>
            <w:hideMark/>
          </w:tcPr>
          <w:p w14:paraId="4597B14A" w14:textId="77777777" w:rsidR="00070D50" w:rsidRPr="00070D50" w:rsidRDefault="00070D50" w:rsidP="00070D50">
            <w:pPr>
              <w:spacing w:after="0" w:line="240" w:lineRule="auto"/>
              <w:jc w:val="center"/>
              <w:rPr>
                <w:rFonts w:ascii="Times New Roman" w:eastAsia="Times New Roman" w:hAnsi="Times New Roman" w:cs="Times New Roman"/>
                <w:b/>
                <w:bCs/>
              </w:rPr>
            </w:pPr>
            <w:r w:rsidRPr="00070D50">
              <w:rPr>
                <w:rFonts w:ascii="Times New Roman" w:eastAsia="Times New Roman" w:hAnsi="Times New Roman" w:cs="Times New Roman"/>
                <w:b/>
                <w:bCs/>
              </w:rPr>
              <w:t>Викопні види палива</w:t>
            </w:r>
          </w:p>
        </w:tc>
        <w:tc>
          <w:tcPr>
            <w:tcW w:w="992" w:type="dxa"/>
            <w:vMerge w:val="restart"/>
            <w:shd w:val="clear" w:color="auto" w:fill="auto"/>
            <w:tcMar>
              <w:left w:w="28" w:type="dxa"/>
              <w:right w:w="28" w:type="dxa"/>
            </w:tcMar>
            <w:vAlign w:val="center"/>
            <w:hideMark/>
          </w:tcPr>
          <w:p w14:paraId="67792D7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Деревина (дрова, щепа, пелети)</w:t>
            </w:r>
          </w:p>
        </w:tc>
        <w:tc>
          <w:tcPr>
            <w:tcW w:w="2077" w:type="dxa"/>
            <w:gridSpan w:val="2"/>
            <w:vMerge w:val="restart"/>
            <w:shd w:val="clear" w:color="auto" w:fill="auto"/>
            <w:noWrap/>
            <w:tcMar>
              <w:left w:w="28" w:type="dxa"/>
              <w:right w:w="28" w:type="dxa"/>
            </w:tcMar>
            <w:vAlign w:val="center"/>
            <w:hideMark/>
          </w:tcPr>
          <w:p w14:paraId="2ED1EFF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Разом</w:t>
            </w:r>
          </w:p>
        </w:tc>
      </w:tr>
      <w:tr w:rsidR="00070D50" w:rsidRPr="00070D50" w14:paraId="06258BDC" w14:textId="77777777" w:rsidTr="00314A5E">
        <w:trPr>
          <w:trHeight w:val="1260"/>
        </w:trPr>
        <w:tc>
          <w:tcPr>
            <w:tcW w:w="2828" w:type="dxa"/>
            <w:vMerge/>
            <w:tcMar>
              <w:left w:w="28" w:type="dxa"/>
              <w:right w:w="28" w:type="dxa"/>
            </w:tcMar>
            <w:vAlign w:val="center"/>
            <w:hideMark/>
          </w:tcPr>
          <w:p w14:paraId="538EFC36" w14:textId="77777777" w:rsidR="00070D50" w:rsidRPr="00070D50" w:rsidRDefault="00070D50" w:rsidP="00070D50">
            <w:pPr>
              <w:spacing w:after="0" w:line="240" w:lineRule="auto"/>
              <w:rPr>
                <w:rFonts w:ascii="Times New Roman" w:eastAsia="Times New Roman" w:hAnsi="Times New Roman" w:cs="Times New Roman"/>
                <w:b/>
                <w:bCs/>
              </w:rPr>
            </w:pPr>
          </w:p>
        </w:tc>
        <w:tc>
          <w:tcPr>
            <w:tcW w:w="1155" w:type="dxa"/>
            <w:vMerge/>
            <w:tcMar>
              <w:left w:w="28" w:type="dxa"/>
              <w:right w:w="28" w:type="dxa"/>
            </w:tcMar>
            <w:vAlign w:val="center"/>
            <w:hideMark/>
          </w:tcPr>
          <w:p w14:paraId="2F6E92AA" w14:textId="77777777" w:rsidR="00070D50" w:rsidRPr="00070D50" w:rsidRDefault="00070D50" w:rsidP="00070D50">
            <w:pPr>
              <w:spacing w:after="0" w:line="240" w:lineRule="auto"/>
              <w:rPr>
                <w:rFonts w:ascii="Times New Roman" w:eastAsia="Times New Roman" w:hAnsi="Times New Roman" w:cs="Times New Roman"/>
              </w:rPr>
            </w:pPr>
          </w:p>
        </w:tc>
        <w:tc>
          <w:tcPr>
            <w:tcW w:w="1115" w:type="dxa"/>
            <w:vMerge/>
            <w:tcMar>
              <w:left w:w="28" w:type="dxa"/>
              <w:right w:w="28" w:type="dxa"/>
            </w:tcMar>
            <w:vAlign w:val="center"/>
            <w:hideMark/>
          </w:tcPr>
          <w:p w14:paraId="3FFD3E94" w14:textId="77777777" w:rsidR="00070D50" w:rsidRPr="00070D50" w:rsidRDefault="00070D50" w:rsidP="00070D50">
            <w:pPr>
              <w:spacing w:after="0" w:line="240" w:lineRule="auto"/>
              <w:rPr>
                <w:rFonts w:ascii="Times New Roman" w:eastAsia="Times New Roman" w:hAnsi="Times New Roman" w:cs="Times New Roman"/>
              </w:rPr>
            </w:pPr>
          </w:p>
        </w:tc>
        <w:tc>
          <w:tcPr>
            <w:tcW w:w="1134" w:type="dxa"/>
            <w:shd w:val="clear" w:color="auto" w:fill="auto"/>
            <w:tcMar>
              <w:left w:w="28" w:type="dxa"/>
              <w:right w:w="28" w:type="dxa"/>
            </w:tcMar>
            <w:vAlign w:val="center"/>
            <w:hideMark/>
          </w:tcPr>
          <w:p w14:paraId="71567DCB" w14:textId="77777777" w:rsidR="00070D50" w:rsidRPr="00070D50" w:rsidRDefault="00070D50" w:rsidP="00070D5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Природний газ</w:t>
            </w:r>
          </w:p>
        </w:tc>
        <w:tc>
          <w:tcPr>
            <w:tcW w:w="1196" w:type="dxa"/>
            <w:shd w:val="clear" w:color="auto" w:fill="auto"/>
            <w:tcMar>
              <w:left w:w="28" w:type="dxa"/>
              <w:right w:w="28" w:type="dxa"/>
            </w:tcMar>
            <w:vAlign w:val="center"/>
            <w:hideMark/>
          </w:tcPr>
          <w:p w14:paraId="1E24C045"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Скраплений газ (</w:t>
            </w:r>
            <w:r>
              <w:rPr>
                <w:rFonts w:ascii="Times New Roman" w:eastAsia="Times New Roman" w:hAnsi="Times New Roman" w:cs="Times New Roman"/>
              </w:rPr>
              <w:t>п</w:t>
            </w:r>
            <w:r w:rsidRPr="00070D50">
              <w:rPr>
                <w:rFonts w:ascii="Times New Roman" w:eastAsia="Times New Roman" w:hAnsi="Times New Roman" w:cs="Times New Roman"/>
              </w:rPr>
              <w:t>ропан-бутан)</w:t>
            </w:r>
          </w:p>
        </w:tc>
        <w:tc>
          <w:tcPr>
            <w:tcW w:w="1072" w:type="dxa"/>
            <w:shd w:val="clear" w:color="auto" w:fill="auto"/>
            <w:tcMar>
              <w:left w:w="28" w:type="dxa"/>
              <w:right w:w="28" w:type="dxa"/>
            </w:tcMar>
            <w:vAlign w:val="center"/>
            <w:hideMark/>
          </w:tcPr>
          <w:p w14:paraId="02F0E3B9"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Дизель</w:t>
            </w:r>
          </w:p>
        </w:tc>
        <w:tc>
          <w:tcPr>
            <w:tcW w:w="993" w:type="dxa"/>
            <w:shd w:val="clear" w:color="auto" w:fill="auto"/>
            <w:tcMar>
              <w:left w:w="28" w:type="dxa"/>
              <w:right w:w="28" w:type="dxa"/>
            </w:tcMar>
            <w:vAlign w:val="center"/>
            <w:hideMark/>
          </w:tcPr>
          <w:p w14:paraId="6E5CDCB6"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Бензин</w:t>
            </w:r>
          </w:p>
        </w:tc>
        <w:tc>
          <w:tcPr>
            <w:tcW w:w="1134" w:type="dxa"/>
            <w:shd w:val="clear" w:color="auto" w:fill="auto"/>
            <w:tcMar>
              <w:left w:w="28" w:type="dxa"/>
              <w:right w:w="28" w:type="dxa"/>
            </w:tcMar>
            <w:vAlign w:val="center"/>
            <w:hideMark/>
          </w:tcPr>
          <w:p w14:paraId="7B8C2E4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Вугілля кам'яне (суббітумінозне)</w:t>
            </w:r>
          </w:p>
        </w:tc>
        <w:tc>
          <w:tcPr>
            <w:tcW w:w="992" w:type="dxa"/>
            <w:shd w:val="clear" w:color="auto" w:fill="auto"/>
            <w:tcMar>
              <w:left w:w="28" w:type="dxa"/>
              <w:right w:w="28" w:type="dxa"/>
            </w:tcMar>
            <w:vAlign w:val="center"/>
            <w:hideMark/>
          </w:tcPr>
          <w:p w14:paraId="4BD82372"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Торф (брикети, напів-брикети)</w:t>
            </w:r>
          </w:p>
        </w:tc>
        <w:tc>
          <w:tcPr>
            <w:tcW w:w="992" w:type="dxa"/>
            <w:vMerge/>
            <w:tcMar>
              <w:left w:w="28" w:type="dxa"/>
              <w:right w:w="28" w:type="dxa"/>
            </w:tcMar>
            <w:vAlign w:val="center"/>
            <w:hideMark/>
          </w:tcPr>
          <w:p w14:paraId="3DD4BB88" w14:textId="77777777" w:rsidR="00070D50" w:rsidRPr="00070D50" w:rsidRDefault="00070D50" w:rsidP="00070D50">
            <w:pPr>
              <w:spacing w:after="0" w:line="240" w:lineRule="auto"/>
              <w:rPr>
                <w:rFonts w:ascii="Times New Roman" w:eastAsia="Times New Roman" w:hAnsi="Times New Roman" w:cs="Times New Roman"/>
                <w:color w:val="000000"/>
              </w:rPr>
            </w:pPr>
          </w:p>
        </w:tc>
        <w:tc>
          <w:tcPr>
            <w:tcW w:w="2077" w:type="dxa"/>
            <w:gridSpan w:val="2"/>
            <w:vMerge/>
            <w:tcMar>
              <w:left w:w="28" w:type="dxa"/>
              <w:right w:w="28" w:type="dxa"/>
            </w:tcMar>
            <w:vAlign w:val="center"/>
            <w:hideMark/>
          </w:tcPr>
          <w:p w14:paraId="252B388F" w14:textId="77777777" w:rsidR="00070D50" w:rsidRPr="00070D50" w:rsidRDefault="00070D50" w:rsidP="00070D50">
            <w:pPr>
              <w:spacing w:after="0" w:line="240" w:lineRule="auto"/>
              <w:rPr>
                <w:rFonts w:ascii="Times New Roman" w:eastAsia="Times New Roman" w:hAnsi="Times New Roman" w:cs="Times New Roman"/>
                <w:color w:val="000000"/>
              </w:rPr>
            </w:pPr>
          </w:p>
        </w:tc>
      </w:tr>
      <w:tr w:rsidR="00070D50" w:rsidRPr="00070D50" w14:paraId="644236A6" w14:textId="77777777" w:rsidTr="00314A5E">
        <w:trPr>
          <w:trHeight w:val="645"/>
        </w:trPr>
        <w:tc>
          <w:tcPr>
            <w:tcW w:w="2828" w:type="dxa"/>
            <w:vMerge/>
            <w:tcMar>
              <w:left w:w="28" w:type="dxa"/>
              <w:right w:w="28" w:type="dxa"/>
            </w:tcMar>
            <w:vAlign w:val="center"/>
            <w:hideMark/>
          </w:tcPr>
          <w:p w14:paraId="69733C74" w14:textId="77777777" w:rsidR="00070D50" w:rsidRPr="00070D50" w:rsidRDefault="00070D50" w:rsidP="00070D50">
            <w:pPr>
              <w:spacing w:after="0" w:line="240" w:lineRule="auto"/>
              <w:rPr>
                <w:rFonts w:ascii="Times New Roman" w:eastAsia="Times New Roman" w:hAnsi="Times New Roman" w:cs="Times New Roman"/>
                <w:b/>
                <w:bCs/>
              </w:rPr>
            </w:pPr>
          </w:p>
        </w:tc>
        <w:tc>
          <w:tcPr>
            <w:tcW w:w="1155" w:type="dxa"/>
            <w:shd w:val="clear" w:color="000000" w:fill="B8CCE4"/>
            <w:tcMar>
              <w:left w:w="28" w:type="dxa"/>
              <w:right w:w="28" w:type="dxa"/>
            </w:tcMar>
            <w:vAlign w:val="center"/>
            <w:hideMark/>
          </w:tcPr>
          <w:p w14:paraId="04E31D90"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115" w:type="dxa"/>
            <w:shd w:val="clear" w:color="000000" w:fill="B8CCE4"/>
            <w:tcMar>
              <w:left w:w="28" w:type="dxa"/>
              <w:right w:w="28" w:type="dxa"/>
            </w:tcMar>
            <w:vAlign w:val="center"/>
            <w:hideMark/>
          </w:tcPr>
          <w:p w14:paraId="17F1D49D"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134" w:type="dxa"/>
            <w:shd w:val="clear" w:color="000000" w:fill="B8CCE4"/>
            <w:tcMar>
              <w:left w:w="28" w:type="dxa"/>
              <w:right w:w="28" w:type="dxa"/>
            </w:tcMar>
            <w:vAlign w:val="center"/>
            <w:hideMark/>
          </w:tcPr>
          <w:p w14:paraId="33764076"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196" w:type="dxa"/>
            <w:shd w:val="clear" w:color="000000" w:fill="B8CCE4"/>
            <w:tcMar>
              <w:left w:w="28" w:type="dxa"/>
              <w:right w:w="28" w:type="dxa"/>
            </w:tcMar>
            <w:vAlign w:val="center"/>
            <w:hideMark/>
          </w:tcPr>
          <w:p w14:paraId="5A93B5E6"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072" w:type="dxa"/>
            <w:shd w:val="clear" w:color="000000" w:fill="B8CCE4"/>
            <w:tcMar>
              <w:left w:w="28" w:type="dxa"/>
              <w:right w:w="28" w:type="dxa"/>
            </w:tcMar>
            <w:vAlign w:val="center"/>
            <w:hideMark/>
          </w:tcPr>
          <w:p w14:paraId="6FB619E2"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993" w:type="dxa"/>
            <w:shd w:val="clear" w:color="000000" w:fill="B8CCE4"/>
            <w:tcMar>
              <w:left w:w="28" w:type="dxa"/>
              <w:right w:w="28" w:type="dxa"/>
            </w:tcMar>
            <w:vAlign w:val="center"/>
            <w:hideMark/>
          </w:tcPr>
          <w:p w14:paraId="380BF16E"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134" w:type="dxa"/>
            <w:shd w:val="clear" w:color="000000" w:fill="B8CCE4"/>
            <w:tcMar>
              <w:left w:w="28" w:type="dxa"/>
              <w:right w:w="28" w:type="dxa"/>
            </w:tcMar>
            <w:vAlign w:val="center"/>
            <w:hideMark/>
          </w:tcPr>
          <w:p w14:paraId="3D39EC64"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992" w:type="dxa"/>
            <w:shd w:val="clear" w:color="000000" w:fill="B8CCE4"/>
            <w:tcMar>
              <w:left w:w="28" w:type="dxa"/>
              <w:right w:w="28" w:type="dxa"/>
            </w:tcMar>
            <w:vAlign w:val="center"/>
            <w:hideMark/>
          </w:tcPr>
          <w:p w14:paraId="722E9397"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992" w:type="dxa"/>
            <w:shd w:val="clear" w:color="000000" w:fill="B8CCE4"/>
            <w:tcMar>
              <w:left w:w="28" w:type="dxa"/>
              <w:right w:w="28" w:type="dxa"/>
            </w:tcMar>
            <w:vAlign w:val="center"/>
            <w:hideMark/>
          </w:tcPr>
          <w:p w14:paraId="7FE0EAD5"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1134" w:type="dxa"/>
            <w:shd w:val="clear" w:color="000000" w:fill="B8CCE4"/>
            <w:tcMar>
              <w:left w:w="28" w:type="dxa"/>
              <w:right w:w="28" w:type="dxa"/>
            </w:tcMar>
            <w:vAlign w:val="center"/>
            <w:hideMark/>
          </w:tcPr>
          <w:p w14:paraId="729DEBA1"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СО2 екв., тонн</w:t>
            </w:r>
          </w:p>
        </w:tc>
        <w:tc>
          <w:tcPr>
            <w:tcW w:w="943" w:type="dxa"/>
            <w:shd w:val="clear" w:color="000000" w:fill="B8CCE4"/>
            <w:tcMar>
              <w:left w:w="28" w:type="dxa"/>
              <w:right w:w="28" w:type="dxa"/>
            </w:tcMar>
            <w:vAlign w:val="center"/>
            <w:hideMark/>
          </w:tcPr>
          <w:p w14:paraId="2F65823D" w14:textId="77777777" w:rsidR="00070D50" w:rsidRPr="00070D50" w:rsidRDefault="00070D50" w:rsidP="00070D50">
            <w:pPr>
              <w:spacing w:after="0" w:line="240" w:lineRule="auto"/>
              <w:jc w:val="center"/>
              <w:rPr>
                <w:rFonts w:ascii="Times New Roman" w:eastAsia="Times New Roman" w:hAnsi="Times New Roman" w:cs="Times New Roman"/>
              </w:rPr>
            </w:pPr>
            <w:r w:rsidRPr="00070D50">
              <w:rPr>
                <w:rFonts w:ascii="Times New Roman" w:eastAsia="Times New Roman" w:hAnsi="Times New Roman" w:cs="Times New Roman"/>
              </w:rPr>
              <w:t>%</w:t>
            </w:r>
          </w:p>
        </w:tc>
      </w:tr>
      <w:tr w:rsidR="00070D50" w:rsidRPr="00070D50" w14:paraId="279CE235" w14:textId="77777777" w:rsidTr="00314A5E">
        <w:trPr>
          <w:trHeight w:val="330"/>
        </w:trPr>
        <w:tc>
          <w:tcPr>
            <w:tcW w:w="12611" w:type="dxa"/>
            <w:gridSpan w:val="10"/>
            <w:shd w:val="clear" w:color="000000" w:fill="F2F2F2"/>
            <w:tcMar>
              <w:left w:w="28" w:type="dxa"/>
              <w:right w:w="28" w:type="dxa"/>
            </w:tcMar>
            <w:vAlign w:val="center"/>
            <w:hideMark/>
          </w:tcPr>
          <w:p w14:paraId="5B376C00"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Муніципальні будівлі, обладнання/об'єкти</w:t>
            </w:r>
          </w:p>
        </w:tc>
        <w:tc>
          <w:tcPr>
            <w:tcW w:w="1134" w:type="dxa"/>
            <w:shd w:val="clear" w:color="000000" w:fill="F2F2F2"/>
            <w:noWrap/>
            <w:tcMar>
              <w:left w:w="28" w:type="dxa"/>
              <w:right w:w="28" w:type="dxa"/>
            </w:tcMar>
            <w:vAlign w:val="center"/>
            <w:hideMark/>
          </w:tcPr>
          <w:p w14:paraId="783712D7"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34 816,1</w:t>
            </w:r>
          </w:p>
        </w:tc>
        <w:tc>
          <w:tcPr>
            <w:tcW w:w="943" w:type="dxa"/>
            <w:shd w:val="clear" w:color="000000" w:fill="F2F2F2"/>
            <w:noWrap/>
            <w:tcMar>
              <w:left w:w="28" w:type="dxa"/>
              <w:right w:w="28" w:type="dxa"/>
            </w:tcMar>
            <w:vAlign w:val="center"/>
            <w:hideMark/>
          </w:tcPr>
          <w:p w14:paraId="73DAAFF3"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6,3%</w:t>
            </w:r>
          </w:p>
        </w:tc>
      </w:tr>
      <w:tr w:rsidR="00070D50" w:rsidRPr="00070D50" w14:paraId="2566BF0E" w14:textId="77777777" w:rsidTr="00314A5E">
        <w:trPr>
          <w:trHeight w:val="600"/>
        </w:trPr>
        <w:tc>
          <w:tcPr>
            <w:tcW w:w="2828" w:type="dxa"/>
            <w:shd w:val="clear" w:color="auto" w:fill="auto"/>
            <w:tcMar>
              <w:left w:w="28" w:type="dxa"/>
              <w:right w:w="28" w:type="dxa"/>
            </w:tcMar>
            <w:vAlign w:val="center"/>
            <w:hideMark/>
          </w:tcPr>
          <w:p w14:paraId="489ED881"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Муніципальні будівлі, обладнання/об'єкти</w:t>
            </w:r>
          </w:p>
        </w:tc>
        <w:tc>
          <w:tcPr>
            <w:tcW w:w="1155" w:type="dxa"/>
            <w:shd w:val="clear" w:color="000000" w:fill="B8CCE4"/>
            <w:tcMar>
              <w:left w:w="28" w:type="dxa"/>
              <w:right w:w="28" w:type="dxa"/>
            </w:tcMar>
            <w:vAlign w:val="center"/>
            <w:hideMark/>
          </w:tcPr>
          <w:p w14:paraId="10E4B11F"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6 222,0</w:t>
            </w:r>
          </w:p>
        </w:tc>
        <w:tc>
          <w:tcPr>
            <w:tcW w:w="1115" w:type="dxa"/>
            <w:shd w:val="clear" w:color="000000" w:fill="B8CCE4"/>
            <w:tcMar>
              <w:left w:w="28" w:type="dxa"/>
              <w:right w:w="28" w:type="dxa"/>
            </w:tcMar>
            <w:vAlign w:val="center"/>
            <w:hideMark/>
          </w:tcPr>
          <w:p w14:paraId="306BA71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8 548,6</w:t>
            </w:r>
          </w:p>
        </w:tc>
        <w:tc>
          <w:tcPr>
            <w:tcW w:w="1134" w:type="dxa"/>
            <w:shd w:val="clear" w:color="000000" w:fill="B8CCE4"/>
            <w:tcMar>
              <w:left w:w="28" w:type="dxa"/>
              <w:right w:w="28" w:type="dxa"/>
            </w:tcMar>
            <w:vAlign w:val="center"/>
            <w:hideMark/>
          </w:tcPr>
          <w:p w14:paraId="2CF5D30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1 435,7</w:t>
            </w:r>
          </w:p>
        </w:tc>
        <w:tc>
          <w:tcPr>
            <w:tcW w:w="1196" w:type="dxa"/>
            <w:shd w:val="clear" w:color="000000" w:fill="B8CCE4"/>
            <w:tcMar>
              <w:left w:w="28" w:type="dxa"/>
              <w:right w:w="28" w:type="dxa"/>
            </w:tcMar>
            <w:vAlign w:val="center"/>
            <w:hideMark/>
          </w:tcPr>
          <w:p w14:paraId="6DACA94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072" w:type="dxa"/>
            <w:shd w:val="clear" w:color="000000" w:fill="B8CCE4"/>
            <w:tcMar>
              <w:left w:w="28" w:type="dxa"/>
              <w:right w:w="28" w:type="dxa"/>
            </w:tcMar>
            <w:vAlign w:val="center"/>
            <w:hideMark/>
          </w:tcPr>
          <w:p w14:paraId="13E7C3F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3" w:type="dxa"/>
            <w:shd w:val="clear" w:color="000000" w:fill="B8CCE4"/>
            <w:tcMar>
              <w:left w:w="28" w:type="dxa"/>
              <w:right w:w="28" w:type="dxa"/>
            </w:tcMar>
            <w:vAlign w:val="center"/>
            <w:hideMark/>
          </w:tcPr>
          <w:p w14:paraId="3D54CDCA"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7967A50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115,4</w:t>
            </w:r>
          </w:p>
        </w:tc>
        <w:tc>
          <w:tcPr>
            <w:tcW w:w="992" w:type="dxa"/>
            <w:shd w:val="clear" w:color="000000" w:fill="B8CCE4"/>
            <w:tcMar>
              <w:left w:w="28" w:type="dxa"/>
              <w:right w:w="28" w:type="dxa"/>
            </w:tcMar>
            <w:vAlign w:val="center"/>
            <w:hideMark/>
          </w:tcPr>
          <w:p w14:paraId="18331E4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7C1CE20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85,6</w:t>
            </w:r>
          </w:p>
        </w:tc>
        <w:tc>
          <w:tcPr>
            <w:tcW w:w="1134" w:type="dxa"/>
            <w:shd w:val="clear" w:color="000000" w:fill="B8CCE4"/>
            <w:tcMar>
              <w:left w:w="28" w:type="dxa"/>
              <w:right w:w="28" w:type="dxa"/>
            </w:tcMar>
            <w:vAlign w:val="center"/>
            <w:hideMark/>
          </w:tcPr>
          <w:p w14:paraId="7B172F4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16 407,3</w:t>
            </w:r>
          </w:p>
        </w:tc>
        <w:tc>
          <w:tcPr>
            <w:tcW w:w="943" w:type="dxa"/>
            <w:shd w:val="clear" w:color="000000" w:fill="B8CCE4"/>
            <w:noWrap/>
            <w:tcMar>
              <w:left w:w="28" w:type="dxa"/>
              <w:right w:w="28" w:type="dxa"/>
            </w:tcMar>
            <w:vAlign w:val="center"/>
            <w:hideMark/>
          </w:tcPr>
          <w:p w14:paraId="437CCA3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3,0%</w:t>
            </w:r>
          </w:p>
        </w:tc>
      </w:tr>
      <w:tr w:rsidR="00070D50" w:rsidRPr="00070D50" w14:paraId="54ADF415" w14:textId="77777777" w:rsidTr="00314A5E">
        <w:trPr>
          <w:trHeight w:val="600"/>
        </w:trPr>
        <w:tc>
          <w:tcPr>
            <w:tcW w:w="2828" w:type="dxa"/>
            <w:shd w:val="clear" w:color="auto" w:fill="auto"/>
            <w:tcMar>
              <w:left w:w="28" w:type="dxa"/>
              <w:right w:w="28" w:type="dxa"/>
            </w:tcMar>
            <w:vAlign w:val="center"/>
            <w:hideMark/>
          </w:tcPr>
          <w:p w14:paraId="71BC4776"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Муніципальне освітлення</w:t>
            </w:r>
          </w:p>
        </w:tc>
        <w:tc>
          <w:tcPr>
            <w:tcW w:w="1155" w:type="dxa"/>
            <w:shd w:val="clear" w:color="000000" w:fill="B8CCE4"/>
            <w:tcMar>
              <w:left w:w="28" w:type="dxa"/>
              <w:right w:w="28" w:type="dxa"/>
            </w:tcMar>
            <w:vAlign w:val="center"/>
            <w:hideMark/>
          </w:tcPr>
          <w:p w14:paraId="5F0E6FBA"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1 142,1</w:t>
            </w:r>
          </w:p>
        </w:tc>
        <w:tc>
          <w:tcPr>
            <w:tcW w:w="1115" w:type="dxa"/>
            <w:shd w:val="clear" w:color="000000" w:fill="B8CCE4"/>
            <w:tcMar>
              <w:left w:w="28" w:type="dxa"/>
              <w:right w:w="28" w:type="dxa"/>
            </w:tcMar>
            <w:vAlign w:val="center"/>
            <w:hideMark/>
          </w:tcPr>
          <w:p w14:paraId="47E1282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23CD79F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96" w:type="dxa"/>
            <w:shd w:val="clear" w:color="000000" w:fill="B8CCE4"/>
            <w:tcMar>
              <w:left w:w="28" w:type="dxa"/>
              <w:right w:w="28" w:type="dxa"/>
            </w:tcMar>
            <w:vAlign w:val="center"/>
            <w:hideMark/>
          </w:tcPr>
          <w:p w14:paraId="1CCCDBD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072" w:type="dxa"/>
            <w:shd w:val="clear" w:color="000000" w:fill="B8CCE4"/>
            <w:tcMar>
              <w:left w:w="28" w:type="dxa"/>
              <w:right w:w="28" w:type="dxa"/>
            </w:tcMar>
            <w:vAlign w:val="center"/>
            <w:hideMark/>
          </w:tcPr>
          <w:p w14:paraId="7A1B6CA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3" w:type="dxa"/>
            <w:shd w:val="clear" w:color="000000" w:fill="B8CCE4"/>
            <w:tcMar>
              <w:left w:w="28" w:type="dxa"/>
              <w:right w:w="28" w:type="dxa"/>
            </w:tcMar>
            <w:vAlign w:val="center"/>
            <w:hideMark/>
          </w:tcPr>
          <w:p w14:paraId="0924F5F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69FC41AB"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0D70278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22A8F07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461D9BD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1 142,1</w:t>
            </w:r>
          </w:p>
        </w:tc>
        <w:tc>
          <w:tcPr>
            <w:tcW w:w="943" w:type="dxa"/>
            <w:shd w:val="clear" w:color="000000" w:fill="B8CCE4"/>
            <w:noWrap/>
            <w:tcMar>
              <w:left w:w="28" w:type="dxa"/>
              <w:right w:w="28" w:type="dxa"/>
            </w:tcMar>
            <w:vAlign w:val="center"/>
            <w:hideMark/>
          </w:tcPr>
          <w:p w14:paraId="78F11B3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0,2%</w:t>
            </w:r>
          </w:p>
        </w:tc>
      </w:tr>
      <w:tr w:rsidR="00070D50" w:rsidRPr="00070D50" w14:paraId="64750030" w14:textId="77777777" w:rsidTr="00314A5E">
        <w:trPr>
          <w:trHeight w:val="300"/>
        </w:trPr>
        <w:tc>
          <w:tcPr>
            <w:tcW w:w="2828" w:type="dxa"/>
            <w:shd w:val="clear" w:color="auto" w:fill="auto"/>
            <w:tcMar>
              <w:left w:w="28" w:type="dxa"/>
              <w:right w:w="28" w:type="dxa"/>
            </w:tcMar>
            <w:vAlign w:val="center"/>
            <w:hideMark/>
          </w:tcPr>
          <w:p w14:paraId="3079A112"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Інші</w:t>
            </w:r>
          </w:p>
        </w:tc>
        <w:tc>
          <w:tcPr>
            <w:tcW w:w="1155" w:type="dxa"/>
            <w:shd w:val="clear" w:color="000000" w:fill="B8CCE4"/>
            <w:tcMar>
              <w:left w:w="28" w:type="dxa"/>
              <w:right w:w="28" w:type="dxa"/>
            </w:tcMar>
            <w:vAlign w:val="center"/>
            <w:hideMark/>
          </w:tcPr>
          <w:p w14:paraId="4525086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17 266,7</w:t>
            </w:r>
          </w:p>
        </w:tc>
        <w:tc>
          <w:tcPr>
            <w:tcW w:w="1115" w:type="dxa"/>
            <w:shd w:val="clear" w:color="000000" w:fill="B8CCE4"/>
            <w:tcMar>
              <w:left w:w="28" w:type="dxa"/>
              <w:right w:w="28" w:type="dxa"/>
            </w:tcMar>
            <w:vAlign w:val="center"/>
            <w:hideMark/>
          </w:tcPr>
          <w:p w14:paraId="38C0419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42A1267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96" w:type="dxa"/>
            <w:shd w:val="clear" w:color="000000" w:fill="B8CCE4"/>
            <w:tcMar>
              <w:left w:w="28" w:type="dxa"/>
              <w:right w:w="28" w:type="dxa"/>
            </w:tcMar>
            <w:vAlign w:val="center"/>
            <w:hideMark/>
          </w:tcPr>
          <w:p w14:paraId="3B4D1FD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072" w:type="dxa"/>
            <w:shd w:val="clear" w:color="000000" w:fill="B8CCE4"/>
            <w:tcMar>
              <w:left w:w="28" w:type="dxa"/>
              <w:right w:w="28" w:type="dxa"/>
            </w:tcMar>
            <w:vAlign w:val="center"/>
            <w:hideMark/>
          </w:tcPr>
          <w:p w14:paraId="18CC0E1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3" w:type="dxa"/>
            <w:shd w:val="clear" w:color="000000" w:fill="B8CCE4"/>
            <w:tcMar>
              <w:left w:w="28" w:type="dxa"/>
              <w:right w:w="28" w:type="dxa"/>
            </w:tcMar>
            <w:vAlign w:val="center"/>
            <w:hideMark/>
          </w:tcPr>
          <w:p w14:paraId="67457A0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6F6700B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2" w:type="dxa"/>
            <w:shd w:val="clear" w:color="000000" w:fill="B8CCE4"/>
            <w:tcMar>
              <w:left w:w="28" w:type="dxa"/>
              <w:right w:w="28" w:type="dxa"/>
            </w:tcMar>
            <w:vAlign w:val="center"/>
            <w:hideMark/>
          </w:tcPr>
          <w:p w14:paraId="5D93195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2" w:type="dxa"/>
            <w:shd w:val="clear" w:color="000000" w:fill="B8CCE4"/>
            <w:tcMar>
              <w:left w:w="28" w:type="dxa"/>
              <w:right w:w="28" w:type="dxa"/>
            </w:tcMar>
            <w:vAlign w:val="center"/>
            <w:hideMark/>
          </w:tcPr>
          <w:p w14:paraId="6F40D72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2589FEBB"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17 266,7</w:t>
            </w:r>
          </w:p>
        </w:tc>
        <w:tc>
          <w:tcPr>
            <w:tcW w:w="943" w:type="dxa"/>
            <w:shd w:val="clear" w:color="000000" w:fill="B8CCE4"/>
            <w:noWrap/>
            <w:tcMar>
              <w:left w:w="28" w:type="dxa"/>
              <w:right w:w="28" w:type="dxa"/>
            </w:tcMar>
            <w:vAlign w:val="center"/>
            <w:hideMark/>
          </w:tcPr>
          <w:p w14:paraId="39FE1B9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3,1%</w:t>
            </w:r>
          </w:p>
        </w:tc>
      </w:tr>
      <w:tr w:rsidR="00070D50" w:rsidRPr="00070D50" w14:paraId="2DA2CA09" w14:textId="77777777" w:rsidTr="00314A5E">
        <w:trPr>
          <w:trHeight w:val="330"/>
        </w:trPr>
        <w:tc>
          <w:tcPr>
            <w:tcW w:w="12611" w:type="dxa"/>
            <w:gridSpan w:val="10"/>
            <w:shd w:val="clear" w:color="000000" w:fill="F2F2F2"/>
            <w:tcMar>
              <w:left w:w="28" w:type="dxa"/>
              <w:right w:w="28" w:type="dxa"/>
            </w:tcMar>
            <w:vAlign w:val="center"/>
            <w:hideMark/>
          </w:tcPr>
          <w:p w14:paraId="77952234"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Третинні (не муніципальні) будівлі, обладнання/об'єкти</w:t>
            </w:r>
          </w:p>
        </w:tc>
        <w:tc>
          <w:tcPr>
            <w:tcW w:w="1134" w:type="dxa"/>
            <w:shd w:val="clear" w:color="000000" w:fill="F2F2F2"/>
            <w:noWrap/>
            <w:tcMar>
              <w:left w:w="28" w:type="dxa"/>
              <w:right w:w="28" w:type="dxa"/>
            </w:tcMar>
            <w:vAlign w:val="center"/>
            <w:hideMark/>
          </w:tcPr>
          <w:p w14:paraId="2F4E0CE4"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88 680,2</w:t>
            </w:r>
          </w:p>
        </w:tc>
        <w:tc>
          <w:tcPr>
            <w:tcW w:w="943" w:type="dxa"/>
            <w:shd w:val="clear" w:color="000000" w:fill="F2F2F2"/>
            <w:noWrap/>
            <w:tcMar>
              <w:left w:w="28" w:type="dxa"/>
              <w:right w:w="28" w:type="dxa"/>
            </w:tcMar>
            <w:vAlign w:val="center"/>
            <w:hideMark/>
          </w:tcPr>
          <w:p w14:paraId="60516529"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16,0%</w:t>
            </w:r>
          </w:p>
        </w:tc>
      </w:tr>
      <w:tr w:rsidR="00070D50" w:rsidRPr="00070D50" w14:paraId="2B1F968D" w14:textId="77777777" w:rsidTr="009C35DE">
        <w:trPr>
          <w:trHeight w:val="954"/>
        </w:trPr>
        <w:tc>
          <w:tcPr>
            <w:tcW w:w="2828" w:type="dxa"/>
            <w:shd w:val="clear" w:color="auto" w:fill="auto"/>
            <w:tcMar>
              <w:left w:w="28" w:type="dxa"/>
              <w:right w:w="28" w:type="dxa"/>
            </w:tcMar>
            <w:vAlign w:val="center"/>
            <w:hideMark/>
          </w:tcPr>
          <w:p w14:paraId="592D8393"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Будівлі, обладнання/об'єкти сфери послуг (не муніципальні)</w:t>
            </w:r>
          </w:p>
        </w:tc>
        <w:tc>
          <w:tcPr>
            <w:tcW w:w="1155" w:type="dxa"/>
            <w:shd w:val="clear" w:color="000000" w:fill="B8CCE4"/>
            <w:tcMar>
              <w:left w:w="28" w:type="dxa"/>
              <w:right w:w="28" w:type="dxa"/>
            </w:tcMar>
            <w:vAlign w:val="center"/>
            <w:hideMark/>
          </w:tcPr>
          <w:p w14:paraId="421D831B"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15" w:type="dxa"/>
            <w:shd w:val="clear" w:color="000000" w:fill="B8CCE4"/>
            <w:tcMar>
              <w:left w:w="28" w:type="dxa"/>
              <w:right w:w="28" w:type="dxa"/>
            </w:tcMar>
            <w:vAlign w:val="center"/>
            <w:hideMark/>
          </w:tcPr>
          <w:p w14:paraId="013B817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62E1B5B3"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96" w:type="dxa"/>
            <w:shd w:val="clear" w:color="000000" w:fill="B8CCE4"/>
            <w:tcMar>
              <w:left w:w="28" w:type="dxa"/>
              <w:right w:w="28" w:type="dxa"/>
            </w:tcMar>
            <w:vAlign w:val="center"/>
            <w:hideMark/>
          </w:tcPr>
          <w:p w14:paraId="0804723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072" w:type="dxa"/>
            <w:shd w:val="clear" w:color="000000" w:fill="B8CCE4"/>
            <w:tcMar>
              <w:left w:w="28" w:type="dxa"/>
              <w:right w:w="28" w:type="dxa"/>
            </w:tcMar>
            <w:vAlign w:val="center"/>
            <w:hideMark/>
          </w:tcPr>
          <w:p w14:paraId="2D9E734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3" w:type="dxa"/>
            <w:shd w:val="clear" w:color="000000" w:fill="B8CCE4"/>
            <w:tcMar>
              <w:left w:w="28" w:type="dxa"/>
              <w:right w:w="28" w:type="dxa"/>
            </w:tcMar>
            <w:vAlign w:val="center"/>
            <w:hideMark/>
          </w:tcPr>
          <w:p w14:paraId="32B9800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117245F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2" w:type="dxa"/>
            <w:shd w:val="clear" w:color="000000" w:fill="B8CCE4"/>
            <w:tcMar>
              <w:left w:w="28" w:type="dxa"/>
              <w:right w:w="28" w:type="dxa"/>
            </w:tcMar>
            <w:vAlign w:val="center"/>
            <w:hideMark/>
          </w:tcPr>
          <w:p w14:paraId="67F30D5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2" w:type="dxa"/>
            <w:shd w:val="clear" w:color="000000" w:fill="B8CCE4"/>
            <w:tcMar>
              <w:left w:w="28" w:type="dxa"/>
              <w:right w:w="28" w:type="dxa"/>
            </w:tcMar>
            <w:vAlign w:val="center"/>
            <w:hideMark/>
          </w:tcPr>
          <w:p w14:paraId="7254938E"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31ADA89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c>
          <w:tcPr>
            <w:tcW w:w="943" w:type="dxa"/>
            <w:shd w:val="clear" w:color="000000" w:fill="B8CCE4"/>
            <w:noWrap/>
            <w:tcMar>
              <w:left w:w="28" w:type="dxa"/>
              <w:right w:w="28" w:type="dxa"/>
            </w:tcMar>
            <w:vAlign w:val="center"/>
            <w:hideMark/>
          </w:tcPr>
          <w:p w14:paraId="6E28B7C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r>
      <w:tr w:rsidR="00070D50" w:rsidRPr="00070D50" w14:paraId="275AC4EE" w14:textId="77777777" w:rsidTr="00314A5E">
        <w:trPr>
          <w:trHeight w:val="300"/>
        </w:trPr>
        <w:tc>
          <w:tcPr>
            <w:tcW w:w="2828" w:type="dxa"/>
            <w:shd w:val="clear" w:color="auto" w:fill="auto"/>
            <w:tcMar>
              <w:left w:w="28" w:type="dxa"/>
              <w:right w:w="28" w:type="dxa"/>
            </w:tcMar>
            <w:vAlign w:val="center"/>
            <w:hideMark/>
          </w:tcPr>
          <w:p w14:paraId="75DF74DD"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Інші</w:t>
            </w:r>
          </w:p>
        </w:tc>
        <w:tc>
          <w:tcPr>
            <w:tcW w:w="1155" w:type="dxa"/>
            <w:shd w:val="clear" w:color="000000" w:fill="B8CCE4"/>
            <w:tcMar>
              <w:left w:w="28" w:type="dxa"/>
              <w:right w:w="28" w:type="dxa"/>
            </w:tcMar>
            <w:vAlign w:val="center"/>
            <w:hideMark/>
          </w:tcPr>
          <w:p w14:paraId="189333BB"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43 417,2</w:t>
            </w:r>
          </w:p>
        </w:tc>
        <w:tc>
          <w:tcPr>
            <w:tcW w:w="1115" w:type="dxa"/>
            <w:shd w:val="clear" w:color="000000" w:fill="B8CCE4"/>
            <w:tcMar>
              <w:left w:w="28" w:type="dxa"/>
              <w:right w:w="28" w:type="dxa"/>
            </w:tcMar>
            <w:vAlign w:val="center"/>
            <w:hideMark/>
          </w:tcPr>
          <w:p w14:paraId="623440B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3 819,6</w:t>
            </w:r>
          </w:p>
        </w:tc>
        <w:tc>
          <w:tcPr>
            <w:tcW w:w="1134" w:type="dxa"/>
            <w:shd w:val="clear" w:color="000000" w:fill="B8CCE4"/>
            <w:tcMar>
              <w:left w:w="28" w:type="dxa"/>
              <w:right w:w="28" w:type="dxa"/>
            </w:tcMar>
            <w:vAlign w:val="center"/>
            <w:hideMark/>
          </w:tcPr>
          <w:p w14:paraId="09A34D4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37 344,4</w:t>
            </w:r>
          </w:p>
        </w:tc>
        <w:tc>
          <w:tcPr>
            <w:tcW w:w="1196" w:type="dxa"/>
            <w:shd w:val="clear" w:color="000000" w:fill="B8CCE4"/>
            <w:tcMar>
              <w:left w:w="28" w:type="dxa"/>
              <w:right w:w="28" w:type="dxa"/>
            </w:tcMar>
            <w:vAlign w:val="center"/>
            <w:hideMark/>
          </w:tcPr>
          <w:p w14:paraId="58D94BE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072" w:type="dxa"/>
            <w:shd w:val="clear" w:color="000000" w:fill="B8CCE4"/>
            <w:tcMar>
              <w:left w:w="28" w:type="dxa"/>
              <w:right w:w="28" w:type="dxa"/>
            </w:tcMar>
            <w:vAlign w:val="center"/>
            <w:hideMark/>
          </w:tcPr>
          <w:p w14:paraId="2340C67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3" w:type="dxa"/>
            <w:shd w:val="clear" w:color="000000" w:fill="B8CCE4"/>
            <w:tcMar>
              <w:left w:w="28" w:type="dxa"/>
              <w:right w:w="28" w:type="dxa"/>
            </w:tcMar>
            <w:vAlign w:val="center"/>
            <w:hideMark/>
          </w:tcPr>
          <w:p w14:paraId="070A80E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38FFBDD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3 181,8</w:t>
            </w:r>
          </w:p>
        </w:tc>
        <w:tc>
          <w:tcPr>
            <w:tcW w:w="992" w:type="dxa"/>
            <w:shd w:val="clear" w:color="000000" w:fill="B8CCE4"/>
            <w:tcMar>
              <w:left w:w="28" w:type="dxa"/>
              <w:right w:w="28" w:type="dxa"/>
            </w:tcMar>
            <w:vAlign w:val="center"/>
            <w:hideMark/>
          </w:tcPr>
          <w:p w14:paraId="4622A31E"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8,8</w:t>
            </w:r>
          </w:p>
        </w:tc>
        <w:tc>
          <w:tcPr>
            <w:tcW w:w="992" w:type="dxa"/>
            <w:shd w:val="clear" w:color="000000" w:fill="B8CCE4"/>
            <w:tcMar>
              <w:left w:w="28" w:type="dxa"/>
              <w:right w:w="28" w:type="dxa"/>
            </w:tcMar>
            <w:vAlign w:val="center"/>
            <w:hideMark/>
          </w:tcPr>
          <w:p w14:paraId="39D890B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908,5</w:t>
            </w:r>
          </w:p>
        </w:tc>
        <w:tc>
          <w:tcPr>
            <w:tcW w:w="1134" w:type="dxa"/>
            <w:shd w:val="clear" w:color="000000" w:fill="B8CCE4"/>
            <w:tcMar>
              <w:left w:w="28" w:type="dxa"/>
              <w:right w:w="28" w:type="dxa"/>
            </w:tcMar>
            <w:vAlign w:val="center"/>
            <w:hideMark/>
          </w:tcPr>
          <w:p w14:paraId="443475A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88 680,2</w:t>
            </w:r>
          </w:p>
        </w:tc>
        <w:tc>
          <w:tcPr>
            <w:tcW w:w="943" w:type="dxa"/>
            <w:shd w:val="clear" w:color="000000" w:fill="B8CCE4"/>
            <w:noWrap/>
            <w:tcMar>
              <w:left w:w="28" w:type="dxa"/>
              <w:right w:w="28" w:type="dxa"/>
            </w:tcMar>
            <w:vAlign w:val="center"/>
            <w:hideMark/>
          </w:tcPr>
          <w:p w14:paraId="2B9251D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16,0%</w:t>
            </w:r>
          </w:p>
        </w:tc>
      </w:tr>
      <w:tr w:rsidR="00070D50" w:rsidRPr="00070D50" w14:paraId="02DBACDA" w14:textId="77777777" w:rsidTr="00314A5E">
        <w:trPr>
          <w:trHeight w:val="300"/>
        </w:trPr>
        <w:tc>
          <w:tcPr>
            <w:tcW w:w="2828" w:type="dxa"/>
            <w:shd w:val="clear" w:color="000000" w:fill="F2F2F2"/>
            <w:tcMar>
              <w:left w:w="28" w:type="dxa"/>
              <w:right w:w="28" w:type="dxa"/>
            </w:tcMar>
            <w:vAlign w:val="center"/>
            <w:hideMark/>
          </w:tcPr>
          <w:p w14:paraId="6041A2CB"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Житлові будинки</w:t>
            </w:r>
          </w:p>
        </w:tc>
        <w:tc>
          <w:tcPr>
            <w:tcW w:w="1155" w:type="dxa"/>
            <w:shd w:val="clear" w:color="000000" w:fill="F2F2F2"/>
            <w:tcMar>
              <w:left w:w="28" w:type="dxa"/>
              <w:right w:w="28" w:type="dxa"/>
            </w:tcMar>
            <w:vAlign w:val="center"/>
            <w:hideMark/>
          </w:tcPr>
          <w:p w14:paraId="510F38C3"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116 982,7</w:t>
            </w:r>
          </w:p>
        </w:tc>
        <w:tc>
          <w:tcPr>
            <w:tcW w:w="1115" w:type="dxa"/>
            <w:shd w:val="clear" w:color="000000" w:fill="F2F2F2"/>
            <w:tcMar>
              <w:left w:w="28" w:type="dxa"/>
              <w:right w:w="28" w:type="dxa"/>
            </w:tcMar>
            <w:vAlign w:val="center"/>
            <w:hideMark/>
          </w:tcPr>
          <w:p w14:paraId="500163B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99 927,0</w:t>
            </w:r>
          </w:p>
        </w:tc>
        <w:tc>
          <w:tcPr>
            <w:tcW w:w="1134" w:type="dxa"/>
            <w:shd w:val="clear" w:color="000000" w:fill="F2F2F2"/>
            <w:tcMar>
              <w:left w:w="28" w:type="dxa"/>
              <w:right w:w="28" w:type="dxa"/>
            </w:tcMar>
            <w:vAlign w:val="center"/>
            <w:hideMark/>
          </w:tcPr>
          <w:p w14:paraId="605B12E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99 851,2</w:t>
            </w:r>
          </w:p>
        </w:tc>
        <w:tc>
          <w:tcPr>
            <w:tcW w:w="1196" w:type="dxa"/>
            <w:shd w:val="clear" w:color="000000" w:fill="F2F2F2"/>
            <w:tcMar>
              <w:left w:w="28" w:type="dxa"/>
              <w:right w:w="28" w:type="dxa"/>
            </w:tcMar>
            <w:vAlign w:val="center"/>
            <w:hideMark/>
          </w:tcPr>
          <w:p w14:paraId="20F14DA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072" w:type="dxa"/>
            <w:shd w:val="clear" w:color="000000" w:fill="F2F2F2"/>
            <w:tcMar>
              <w:left w:w="28" w:type="dxa"/>
              <w:right w:w="28" w:type="dxa"/>
            </w:tcMar>
            <w:vAlign w:val="center"/>
            <w:hideMark/>
          </w:tcPr>
          <w:p w14:paraId="643D1E2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3" w:type="dxa"/>
            <w:shd w:val="clear" w:color="000000" w:fill="F2F2F2"/>
            <w:tcMar>
              <w:left w:w="28" w:type="dxa"/>
              <w:right w:w="28" w:type="dxa"/>
            </w:tcMar>
            <w:vAlign w:val="center"/>
            <w:hideMark/>
          </w:tcPr>
          <w:p w14:paraId="17BA2B7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F2F2F2"/>
            <w:tcMar>
              <w:left w:w="28" w:type="dxa"/>
              <w:right w:w="28" w:type="dxa"/>
            </w:tcMar>
            <w:vAlign w:val="center"/>
            <w:hideMark/>
          </w:tcPr>
          <w:p w14:paraId="5C2131CA"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c>
          <w:tcPr>
            <w:tcW w:w="992" w:type="dxa"/>
            <w:shd w:val="clear" w:color="000000" w:fill="F2F2F2"/>
            <w:tcMar>
              <w:left w:w="28" w:type="dxa"/>
              <w:right w:w="28" w:type="dxa"/>
            </w:tcMar>
            <w:vAlign w:val="center"/>
            <w:hideMark/>
          </w:tcPr>
          <w:p w14:paraId="008004E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c>
          <w:tcPr>
            <w:tcW w:w="992" w:type="dxa"/>
            <w:shd w:val="clear" w:color="000000" w:fill="F2F2F2"/>
            <w:tcMar>
              <w:left w:w="28" w:type="dxa"/>
              <w:right w:w="28" w:type="dxa"/>
            </w:tcMar>
            <w:vAlign w:val="center"/>
            <w:hideMark/>
          </w:tcPr>
          <w:p w14:paraId="4A47CDD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79,4</w:t>
            </w:r>
          </w:p>
        </w:tc>
        <w:tc>
          <w:tcPr>
            <w:tcW w:w="1134" w:type="dxa"/>
            <w:shd w:val="clear" w:color="000000" w:fill="F2F2F2"/>
            <w:tcMar>
              <w:left w:w="28" w:type="dxa"/>
              <w:right w:w="28" w:type="dxa"/>
            </w:tcMar>
            <w:vAlign w:val="center"/>
            <w:hideMark/>
          </w:tcPr>
          <w:p w14:paraId="3FB030A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316 840,3</w:t>
            </w:r>
          </w:p>
        </w:tc>
        <w:tc>
          <w:tcPr>
            <w:tcW w:w="943" w:type="dxa"/>
            <w:shd w:val="clear" w:color="000000" w:fill="F2F2F2"/>
            <w:noWrap/>
            <w:tcMar>
              <w:left w:w="28" w:type="dxa"/>
              <w:right w:w="28" w:type="dxa"/>
            </w:tcMar>
            <w:vAlign w:val="center"/>
            <w:hideMark/>
          </w:tcPr>
          <w:p w14:paraId="65477EE3"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57,3%</w:t>
            </w:r>
          </w:p>
        </w:tc>
      </w:tr>
      <w:tr w:rsidR="00070D50" w:rsidRPr="00070D50" w14:paraId="4C9334D1" w14:textId="77777777" w:rsidTr="00314A5E">
        <w:trPr>
          <w:trHeight w:val="330"/>
        </w:trPr>
        <w:tc>
          <w:tcPr>
            <w:tcW w:w="12611" w:type="dxa"/>
            <w:gridSpan w:val="10"/>
            <w:shd w:val="clear" w:color="000000" w:fill="F2F2F2"/>
            <w:tcMar>
              <w:left w:w="28" w:type="dxa"/>
              <w:right w:w="28" w:type="dxa"/>
            </w:tcMar>
            <w:vAlign w:val="center"/>
            <w:hideMark/>
          </w:tcPr>
          <w:p w14:paraId="4082C744"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Транспорт</w:t>
            </w:r>
          </w:p>
        </w:tc>
        <w:tc>
          <w:tcPr>
            <w:tcW w:w="1134" w:type="dxa"/>
            <w:shd w:val="clear" w:color="000000" w:fill="F2F2F2"/>
            <w:noWrap/>
            <w:tcMar>
              <w:left w:w="28" w:type="dxa"/>
              <w:right w:w="28" w:type="dxa"/>
            </w:tcMar>
            <w:vAlign w:val="center"/>
            <w:hideMark/>
          </w:tcPr>
          <w:p w14:paraId="74234BA7"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109 588,0</w:t>
            </w:r>
          </w:p>
        </w:tc>
        <w:tc>
          <w:tcPr>
            <w:tcW w:w="943" w:type="dxa"/>
            <w:shd w:val="clear" w:color="000000" w:fill="F2F2F2"/>
            <w:noWrap/>
            <w:tcMar>
              <w:left w:w="28" w:type="dxa"/>
              <w:right w:w="28" w:type="dxa"/>
            </w:tcMar>
            <w:vAlign w:val="center"/>
            <w:hideMark/>
          </w:tcPr>
          <w:p w14:paraId="091A2F3F"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19,8%</w:t>
            </w:r>
          </w:p>
        </w:tc>
      </w:tr>
      <w:tr w:rsidR="00070D50" w:rsidRPr="00070D50" w14:paraId="0E5518E0" w14:textId="77777777" w:rsidTr="00314A5E">
        <w:trPr>
          <w:trHeight w:val="600"/>
        </w:trPr>
        <w:tc>
          <w:tcPr>
            <w:tcW w:w="2828" w:type="dxa"/>
            <w:shd w:val="clear" w:color="auto" w:fill="auto"/>
            <w:tcMar>
              <w:left w:w="28" w:type="dxa"/>
              <w:right w:w="28" w:type="dxa"/>
            </w:tcMar>
            <w:vAlign w:val="center"/>
            <w:hideMark/>
          </w:tcPr>
          <w:p w14:paraId="465E00DB"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Муніципальний транспорт</w:t>
            </w:r>
          </w:p>
        </w:tc>
        <w:tc>
          <w:tcPr>
            <w:tcW w:w="1155" w:type="dxa"/>
            <w:shd w:val="clear" w:color="000000" w:fill="B8CCE4"/>
            <w:tcMar>
              <w:left w:w="28" w:type="dxa"/>
              <w:right w:w="28" w:type="dxa"/>
            </w:tcMar>
            <w:vAlign w:val="center"/>
            <w:hideMark/>
          </w:tcPr>
          <w:p w14:paraId="1F539D9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15" w:type="dxa"/>
            <w:shd w:val="clear" w:color="000000" w:fill="B8CCE4"/>
            <w:tcMar>
              <w:left w:w="28" w:type="dxa"/>
              <w:right w:w="28" w:type="dxa"/>
            </w:tcMar>
            <w:vAlign w:val="center"/>
            <w:hideMark/>
          </w:tcPr>
          <w:p w14:paraId="65D2518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508E521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73,6</w:t>
            </w:r>
          </w:p>
        </w:tc>
        <w:tc>
          <w:tcPr>
            <w:tcW w:w="1196" w:type="dxa"/>
            <w:shd w:val="clear" w:color="000000" w:fill="B8CCE4"/>
            <w:tcMar>
              <w:left w:w="28" w:type="dxa"/>
              <w:right w:w="28" w:type="dxa"/>
            </w:tcMar>
            <w:vAlign w:val="center"/>
            <w:hideMark/>
          </w:tcPr>
          <w:p w14:paraId="7EEF9F48"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339,8</w:t>
            </w:r>
          </w:p>
        </w:tc>
        <w:tc>
          <w:tcPr>
            <w:tcW w:w="1072" w:type="dxa"/>
            <w:shd w:val="clear" w:color="000000" w:fill="B8CCE4"/>
            <w:tcMar>
              <w:left w:w="28" w:type="dxa"/>
              <w:right w:w="28" w:type="dxa"/>
            </w:tcMar>
            <w:vAlign w:val="center"/>
            <w:hideMark/>
          </w:tcPr>
          <w:p w14:paraId="49BE7B13"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1 765,2</w:t>
            </w:r>
          </w:p>
        </w:tc>
        <w:tc>
          <w:tcPr>
            <w:tcW w:w="993" w:type="dxa"/>
            <w:shd w:val="clear" w:color="000000" w:fill="B8CCE4"/>
            <w:tcMar>
              <w:left w:w="28" w:type="dxa"/>
              <w:right w:w="28" w:type="dxa"/>
            </w:tcMar>
            <w:vAlign w:val="center"/>
            <w:hideMark/>
          </w:tcPr>
          <w:p w14:paraId="2B8473BA"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662,0</w:t>
            </w:r>
          </w:p>
        </w:tc>
        <w:tc>
          <w:tcPr>
            <w:tcW w:w="1134" w:type="dxa"/>
            <w:shd w:val="clear" w:color="000000" w:fill="B8CCE4"/>
            <w:tcMar>
              <w:left w:w="28" w:type="dxa"/>
              <w:right w:w="28" w:type="dxa"/>
            </w:tcMar>
            <w:vAlign w:val="center"/>
            <w:hideMark/>
          </w:tcPr>
          <w:p w14:paraId="135868A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41B3D6D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2B44C4FA"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0845756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2 840,7</w:t>
            </w:r>
          </w:p>
        </w:tc>
        <w:tc>
          <w:tcPr>
            <w:tcW w:w="943" w:type="dxa"/>
            <w:shd w:val="clear" w:color="000000" w:fill="B8CCE4"/>
            <w:noWrap/>
            <w:tcMar>
              <w:left w:w="28" w:type="dxa"/>
              <w:right w:w="28" w:type="dxa"/>
            </w:tcMar>
            <w:vAlign w:val="center"/>
            <w:hideMark/>
          </w:tcPr>
          <w:p w14:paraId="6BB4B37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0,5%</w:t>
            </w:r>
          </w:p>
        </w:tc>
      </w:tr>
      <w:tr w:rsidR="00070D50" w:rsidRPr="00070D50" w14:paraId="73EE1C16" w14:textId="77777777" w:rsidTr="00314A5E">
        <w:trPr>
          <w:trHeight w:val="600"/>
        </w:trPr>
        <w:tc>
          <w:tcPr>
            <w:tcW w:w="2828" w:type="dxa"/>
            <w:shd w:val="clear" w:color="auto" w:fill="auto"/>
            <w:tcMar>
              <w:left w:w="28" w:type="dxa"/>
              <w:right w:w="28" w:type="dxa"/>
            </w:tcMar>
            <w:vAlign w:val="center"/>
            <w:hideMark/>
          </w:tcPr>
          <w:p w14:paraId="71A7F19C"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Громадський транспорт</w:t>
            </w:r>
          </w:p>
        </w:tc>
        <w:tc>
          <w:tcPr>
            <w:tcW w:w="1155" w:type="dxa"/>
            <w:shd w:val="clear" w:color="000000" w:fill="B8CCE4"/>
            <w:tcMar>
              <w:left w:w="28" w:type="dxa"/>
              <w:right w:w="28" w:type="dxa"/>
            </w:tcMar>
            <w:vAlign w:val="center"/>
            <w:hideMark/>
          </w:tcPr>
          <w:p w14:paraId="52ECDC4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6 060,4</w:t>
            </w:r>
          </w:p>
        </w:tc>
        <w:tc>
          <w:tcPr>
            <w:tcW w:w="1115" w:type="dxa"/>
            <w:shd w:val="clear" w:color="000000" w:fill="B8CCE4"/>
            <w:tcMar>
              <w:left w:w="28" w:type="dxa"/>
              <w:right w:w="28" w:type="dxa"/>
            </w:tcMar>
            <w:vAlign w:val="center"/>
            <w:hideMark/>
          </w:tcPr>
          <w:p w14:paraId="63CAFA7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7CF67D7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49 539,7</w:t>
            </w:r>
          </w:p>
        </w:tc>
        <w:tc>
          <w:tcPr>
            <w:tcW w:w="1196" w:type="dxa"/>
            <w:shd w:val="clear" w:color="000000" w:fill="B8CCE4"/>
            <w:tcMar>
              <w:left w:w="28" w:type="dxa"/>
              <w:right w:w="28" w:type="dxa"/>
            </w:tcMar>
            <w:vAlign w:val="center"/>
            <w:hideMark/>
          </w:tcPr>
          <w:p w14:paraId="17374154"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072" w:type="dxa"/>
            <w:shd w:val="clear" w:color="000000" w:fill="B8CCE4"/>
            <w:tcMar>
              <w:left w:w="28" w:type="dxa"/>
              <w:right w:w="28" w:type="dxa"/>
            </w:tcMar>
            <w:vAlign w:val="center"/>
            <w:hideMark/>
          </w:tcPr>
          <w:p w14:paraId="3DD1EEEF"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3 432,5</w:t>
            </w:r>
          </w:p>
        </w:tc>
        <w:tc>
          <w:tcPr>
            <w:tcW w:w="993" w:type="dxa"/>
            <w:shd w:val="clear" w:color="000000" w:fill="B8CCE4"/>
            <w:tcMar>
              <w:left w:w="28" w:type="dxa"/>
              <w:right w:w="28" w:type="dxa"/>
            </w:tcMar>
            <w:vAlign w:val="center"/>
            <w:hideMark/>
          </w:tcPr>
          <w:p w14:paraId="39C8223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4DD648B7"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30B0640E"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79FB432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374D0A3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59 032,6</w:t>
            </w:r>
          </w:p>
        </w:tc>
        <w:tc>
          <w:tcPr>
            <w:tcW w:w="943" w:type="dxa"/>
            <w:shd w:val="clear" w:color="000000" w:fill="B8CCE4"/>
            <w:noWrap/>
            <w:tcMar>
              <w:left w:w="28" w:type="dxa"/>
              <w:right w:w="28" w:type="dxa"/>
            </w:tcMar>
            <w:vAlign w:val="center"/>
            <w:hideMark/>
          </w:tcPr>
          <w:p w14:paraId="218E876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10,7%</w:t>
            </w:r>
          </w:p>
        </w:tc>
      </w:tr>
      <w:tr w:rsidR="00070D50" w:rsidRPr="00070D50" w14:paraId="6417CDFE" w14:textId="77777777" w:rsidTr="00314A5E">
        <w:trPr>
          <w:trHeight w:val="600"/>
        </w:trPr>
        <w:tc>
          <w:tcPr>
            <w:tcW w:w="2828" w:type="dxa"/>
            <w:shd w:val="clear" w:color="auto" w:fill="auto"/>
            <w:tcMar>
              <w:left w:w="28" w:type="dxa"/>
              <w:right w:w="28" w:type="dxa"/>
            </w:tcMar>
            <w:vAlign w:val="center"/>
            <w:hideMark/>
          </w:tcPr>
          <w:p w14:paraId="10B880BD"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Приватний та комерційний транспорт</w:t>
            </w:r>
          </w:p>
        </w:tc>
        <w:tc>
          <w:tcPr>
            <w:tcW w:w="1155" w:type="dxa"/>
            <w:shd w:val="clear" w:color="000000" w:fill="B8CCE4"/>
            <w:tcMar>
              <w:left w:w="28" w:type="dxa"/>
              <w:right w:w="28" w:type="dxa"/>
            </w:tcMar>
            <w:vAlign w:val="center"/>
            <w:hideMark/>
          </w:tcPr>
          <w:p w14:paraId="112F992C"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680,3</w:t>
            </w:r>
          </w:p>
        </w:tc>
        <w:tc>
          <w:tcPr>
            <w:tcW w:w="1115" w:type="dxa"/>
            <w:shd w:val="clear" w:color="000000" w:fill="B8CCE4"/>
            <w:tcMar>
              <w:left w:w="28" w:type="dxa"/>
              <w:right w:w="28" w:type="dxa"/>
            </w:tcMar>
            <w:vAlign w:val="center"/>
            <w:hideMark/>
          </w:tcPr>
          <w:p w14:paraId="6A13DD8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1726C59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317,0</w:t>
            </w:r>
          </w:p>
        </w:tc>
        <w:tc>
          <w:tcPr>
            <w:tcW w:w="1196" w:type="dxa"/>
            <w:shd w:val="clear" w:color="000000" w:fill="B8CCE4"/>
            <w:tcMar>
              <w:left w:w="28" w:type="dxa"/>
              <w:right w:w="28" w:type="dxa"/>
            </w:tcMar>
            <w:vAlign w:val="center"/>
            <w:hideMark/>
          </w:tcPr>
          <w:p w14:paraId="4576C5C9"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9 587,5</w:t>
            </w:r>
          </w:p>
        </w:tc>
        <w:tc>
          <w:tcPr>
            <w:tcW w:w="1072" w:type="dxa"/>
            <w:shd w:val="clear" w:color="000000" w:fill="B8CCE4"/>
            <w:tcMar>
              <w:left w:w="28" w:type="dxa"/>
              <w:right w:w="28" w:type="dxa"/>
            </w:tcMar>
            <w:vAlign w:val="center"/>
            <w:hideMark/>
          </w:tcPr>
          <w:p w14:paraId="788E95FE"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24 650,9</w:t>
            </w:r>
          </w:p>
        </w:tc>
        <w:tc>
          <w:tcPr>
            <w:tcW w:w="993" w:type="dxa"/>
            <w:shd w:val="clear" w:color="000000" w:fill="B8CCE4"/>
            <w:tcMar>
              <w:left w:w="28" w:type="dxa"/>
              <w:right w:w="28" w:type="dxa"/>
            </w:tcMar>
            <w:vAlign w:val="center"/>
            <w:hideMark/>
          </w:tcPr>
          <w:p w14:paraId="111D39A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12 479,0</w:t>
            </w:r>
          </w:p>
        </w:tc>
        <w:tc>
          <w:tcPr>
            <w:tcW w:w="1134" w:type="dxa"/>
            <w:shd w:val="clear" w:color="000000" w:fill="B8CCE4"/>
            <w:tcMar>
              <w:left w:w="28" w:type="dxa"/>
              <w:right w:w="28" w:type="dxa"/>
            </w:tcMar>
            <w:vAlign w:val="center"/>
            <w:hideMark/>
          </w:tcPr>
          <w:p w14:paraId="293938E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13488DC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6172A91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06CD7C8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47 714,7</w:t>
            </w:r>
          </w:p>
        </w:tc>
        <w:tc>
          <w:tcPr>
            <w:tcW w:w="943" w:type="dxa"/>
            <w:shd w:val="clear" w:color="000000" w:fill="B8CCE4"/>
            <w:noWrap/>
            <w:tcMar>
              <w:left w:w="28" w:type="dxa"/>
              <w:right w:w="28" w:type="dxa"/>
            </w:tcMar>
            <w:vAlign w:val="center"/>
            <w:hideMark/>
          </w:tcPr>
          <w:p w14:paraId="142ED7C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8,6%</w:t>
            </w:r>
          </w:p>
        </w:tc>
      </w:tr>
      <w:tr w:rsidR="00070D50" w:rsidRPr="00070D50" w14:paraId="5EE057EE" w14:textId="77777777" w:rsidTr="00314A5E">
        <w:trPr>
          <w:trHeight w:val="330"/>
        </w:trPr>
        <w:tc>
          <w:tcPr>
            <w:tcW w:w="12611" w:type="dxa"/>
            <w:gridSpan w:val="10"/>
            <w:shd w:val="clear" w:color="000000" w:fill="F2F2F2"/>
            <w:tcMar>
              <w:left w:w="28" w:type="dxa"/>
              <w:right w:w="28" w:type="dxa"/>
            </w:tcMar>
            <w:vAlign w:val="center"/>
            <w:hideMark/>
          </w:tcPr>
          <w:p w14:paraId="00468309"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Інші</w:t>
            </w:r>
          </w:p>
        </w:tc>
        <w:tc>
          <w:tcPr>
            <w:tcW w:w="1134" w:type="dxa"/>
            <w:shd w:val="clear" w:color="000000" w:fill="F2F2F2"/>
            <w:noWrap/>
            <w:tcMar>
              <w:left w:w="28" w:type="dxa"/>
              <w:right w:w="28" w:type="dxa"/>
            </w:tcMar>
            <w:vAlign w:val="center"/>
            <w:hideMark/>
          </w:tcPr>
          <w:p w14:paraId="2C1DAA1E"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3 212,2</w:t>
            </w:r>
          </w:p>
        </w:tc>
        <w:tc>
          <w:tcPr>
            <w:tcW w:w="943" w:type="dxa"/>
            <w:shd w:val="clear" w:color="000000" w:fill="F2F2F2"/>
            <w:noWrap/>
            <w:tcMar>
              <w:left w:w="28" w:type="dxa"/>
              <w:right w:w="28" w:type="dxa"/>
            </w:tcMar>
            <w:vAlign w:val="center"/>
            <w:hideMark/>
          </w:tcPr>
          <w:p w14:paraId="0913FD12"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0,6%</w:t>
            </w:r>
          </w:p>
        </w:tc>
      </w:tr>
      <w:tr w:rsidR="00070D50" w:rsidRPr="00070D50" w14:paraId="14DC07BA" w14:textId="77777777" w:rsidTr="00314A5E">
        <w:trPr>
          <w:trHeight w:val="600"/>
        </w:trPr>
        <w:tc>
          <w:tcPr>
            <w:tcW w:w="2828" w:type="dxa"/>
            <w:shd w:val="clear" w:color="auto" w:fill="auto"/>
            <w:tcMar>
              <w:left w:w="28" w:type="dxa"/>
              <w:right w:w="28" w:type="dxa"/>
            </w:tcMar>
            <w:vAlign w:val="center"/>
            <w:hideMark/>
          </w:tcPr>
          <w:p w14:paraId="5F9A2EBC"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Інші - управління відходами</w:t>
            </w:r>
          </w:p>
        </w:tc>
        <w:tc>
          <w:tcPr>
            <w:tcW w:w="1155" w:type="dxa"/>
            <w:shd w:val="clear" w:color="000000" w:fill="B8CCE4"/>
            <w:tcMar>
              <w:left w:w="28" w:type="dxa"/>
              <w:right w:w="28" w:type="dxa"/>
            </w:tcMar>
            <w:vAlign w:val="center"/>
            <w:hideMark/>
          </w:tcPr>
          <w:p w14:paraId="38FFC401"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15" w:type="dxa"/>
            <w:shd w:val="clear" w:color="000000" w:fill="B8CCE4"/>
            <w:tcMar>
              <w:left w:w="28" w:type="dxa"/>
              <w:right w:w="28" w:type="dxa"/>
            </w:tcMar>
            <w:vAlign w:val="center"/>
            <w:hideMark/>
          </w:tcPr>
          <w:p w14:paraId="470F2ECF"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1134" w:type="dxa"/>
            <w:shd w:val="clear" w:color="000000" w:fill="B8CCE4"/>
            <w:tcMar>
              <w:left w:w="28" w:type="dxa"/>
              <w:right w:w="28" w:type="dxa"/>
            </w:tcMar>
            <w:vAlign w:val="center"/>
            <w:hideMark/>
          </w:tcPr>
          <w:p w14:paraId="2C8389E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3 212,2</w:t>
            </w:r>
          </w:p>
        </w:tc>
        <w:tc>
          <w:tcPr>
            <w:tcW w:w="1196" w:type="dxa"/>
            <w:shd w:val="clear" w:color="000000" w:fill="B8CCE4"/>
            <w:tcMar>
              <w:left w:w="28" w:type="dxa"/>
              <w:right w:w="28" w:type="dxa"/>
            </w:tcMar>
            <w:vAlign w:val="center"/>
            <w:hideMark/>
          </w:tcPr>
          <w:p w14:paraId="4D4D2593"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072" w:type="dxa"/>
            <w:shd w:val="clear" w:color="000000" w:fill="B8CCE4"/>
            <w:tcMar>
              <w:left w:w="28" w:type="dxa"/>
              <w:right w:w="28" w:type="dxa"/>
            </w:tcMar>
            <w:vAlign w:val="center"/>
            <w:hideMark/>
          </w:tcPr>
          <w:p w14:paraId="23A7520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993" w:type="dxa"/>
            <w:shd w:val="clear" w:color="000000" w:fill="B8CCE4"/>
            <w:tcMar>
              <w:left w:w="28" w:type="dxa"/>
              <w:right w:w="28" w:type="dxa"/>
            </w:tcMar>
            <w:vAlign w:val="center"/>
            <w:hideMark/>
          </w:tcPr>
          <w:p w14:paraId="6502469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235AA7E2"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67E75633"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НІ</w:t>
            </w:r>
          </w:p>
        </w:tc>
        <w:tc>
          <w:tcPr>
            <w:tcW w:w="992" w:type="dxa"/>
            <w:shd w:val="clear" w:color="000000" w:fill="B8CCE4"/>
            <w:tcMar>
              <w:left w:w="28" w:type="dxa"/>
              <w:right w:w="28" w:type="dxa"/>
            </w:tcMar>
            <w:vAlign w:val="center"/>
            <w:hideMark/>
          </w:tcPr>
          <w:p w14:paraId="30E2DF3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ВІ</w:t>
            </w:r>
          </w:p>
        </w:tc>
        <w:tc>
          <w:tcPr>
            <w:tcW w:w="1134" w:type="dxa"/>
            <w:shd w:val="clear" w:color="000000" w:fill="B8CCE4"/>
            <w:tcMar>
              <w:left w:w="28" w:type="dxa"/>
              <w:right w:w="28" w:type="dxa"/>
            </w:tcMar>
            <w:vAlign w:val="center"/>
            <w:hideMark/>
          </w:tcPr>
          <w:p w14:paraId="0A99D7B0"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3 212,2</w:t>
            </w:r>
          </w:p>
        </w:tc>
        <w:tc>
          <w:tcPr>
            <w:tcW w:w="943" w:type="dxa"/>
            <w:shd w:val="clear" w:color="000000" w:fill="B8CCE4"/>
            <w:noWrap/>
            <w:tcMar>
              <w:left w:w="28" w:type="dxa"/>
              <w:right w:w="28" w:type="dxa"/>
            </w:tcMar>
            <w:vAlign w:val="center"/>
            <w:hideMark/>
          </w:tcPr>
          <w:p w14:paraId="4AF42FD6"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0,6%</w:t>
            </w:r>
          </w:p>
        </w:tc>
      </w:tr>
      <w:tr w:rsidR="00070D50" w:rsidRPr="00070D50" w14:paraId="6923BC5C" w14:textId="77777777" w:rsidTr="00314A5E">
        <w:trPr>
          <w:trHeight w:val="330"/>
        </w:trPr>
        <w:tc>
          <w:tcPr>
            <w:tcW w:w="12611" w:type="dxa"/>
            <w:gridSpan w:val="10"/>
            <w:shd w:val="clear" w:color="000000" w:fill="F2F2F2"/>
            <w:tcMar>
              <w:left w:w="28" w:type="dxa"/>
              <w:right w:w="28" w:type="dxa"/>
            </w:tcMar>
            <w:vAlign w:val="center"/>
            <w:hideMark/>
          </w:tcPr>
          <w:p w14:paraId="58211C06" w14:textId="77777777" w:rsidR="00070D50" w:rsidRPr="00070D50" w:rsidRDefault="00070D50" w:rsidP="00070D50">
            <w:pPr>
              <w:spacing w:after="0" w:line="240" w:lineRule="auto"/>
              <w:rPr>
                <w:rFonts w:ascii="Times New Roman" w:eastAsia="Times New Roman" w:hAnsi="Times New Roman" w:cs="Times New Roman"/>
                <w:b/>
                <w:bCs/>
              </w:rPr>
            </w:pPr>
            <w:r w:rsidRPr="00070D50">
              <w:rPr>
                <w:rFonts w:ascii="Times New Roman" w:eastAsia="Times New Roman" w:hAnsi="Times New Roman" w:cs="Times New Roman"/>
                <w:b/>
                <w:bCs/>
              </w:rPr>
              <w:t>Сектори, що не пов'язані з енергетикою</w:t>
            </w:r>
          </w:p>
        </w:tc>
        <w:tc>
          <w:tcPr>
            <w:tcW w:w="1134" w:type="dxa"/>
            <w:shd w:val="clear" w:color="000000" w:fill="F2F2F2"/>
            <w:noWrap/>
            <w:tcMar>
              <w:left w:w="28" w:type="dxa"/>
              <w:right w:w="28" w:type="dxa"/>
            </w:tcMar>
            <w:vAlign w:val="center"/>
            <w:hideMark/>
          </w:tcPr>
          <w:p w14:paraId="093CE787"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0,0</w:t>
            </w:r>
          </w:p>
        </w:tc>
        <w:tc>
          <w:tcPr>
            <w:tcW w:w="943" w:type="dxa"/>
            <w:shd w:val="clear" w:color="000000" w:fill="F2F2F2"/>
            <w:noWrap/>
            <w:tcMar>
              <w:left w:w="28" w:type="dxa"/>
              <w:right w:w="28" w:type="dxa"/>
            </w:tcMar>
            <w:vAlign w:val="center"/>
            <w:hideMark/>
          </w:tcPr>
          <w:p w14:paraId="008AD541"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0,0%</w:t>
            </w:r>
          </w:p>
        </w:tc>
      </w:tr>
      <w:tr w:rsidR="00070D50" w:rsidRPr="00070D50" w14:paraId="19347C75" w14:textId="77777777" w:rsidTr="00314A5E">
        <w:trPr>
          <w:trHeight w:val="600"/>
        </w:trPr>
        <w:tc>
          <w:tcPr>
            <w:tcW w:w="2828" w:type="dxa"/>
            <w:shd w:val="clear" w:color="auto" w:fill="auto"/>
            <w:tcMar>
              <w:left w:w="28" w:type="dxa"/>
              <w:right w:w="28" w:type="dxa"/>
            </w:tcMar>
            <w:vAlign w:val="center"/>
            <w:hideMark/>
          </w:tcPr>
          <w:p w14:paraId="1AFDF389" w14:textId="77777777" w:rsidR="00070D50" w:rsidRPr="00070D50" w:rsidRDefault="00070D50" w:rsidP="00070D50">
            <w:pPr>
              <w:spacing w:after="0" w:line="240" w:lineRule="auto"/>
              <w:ind w:firstLineChars="200" w:firstLine="440"/>
              <w:rPr>
                <w:rFonts w:ascii="Times New Roman" w:eastAsia="Times New Roman" w:hAnsi="Times New Roman" w:cs="Times New Roman"/>
              </w:rPr>
            </w:pPr>
            <w:r w:rsidRPr="00070D50">
              <w:rPr>
                <w:rFonts w:ascii="Times New Roman" w:eastAsia="Times New Roman" w:hAnsi="Times New Roman" w:cs="Times New Roman"/>
              </w:rPr>
              <w:t>- Управління ТПВ - дегазація</w:t>
            </w:r>
          </w:p>
        </w:tc>
        <w:tc>
          <w:tcPr>
            <w:tcW w:w="9783" w:type="dxa"/>
            <w:gridSpan w:val="9"/>
            <w:shd w:val="clear" w:color="000000" w:fill="B8CCE4"/>
            <w:tcMar>
              <w:left w:w="28" w:type="dxa"/>
              <w:right w:w="28" w:type="dxa"/>
            </w:tcMar>
            <w:vAlign w:val="center"/>
            <w:hideMark/>
          </w:tcPr>
          <w:p w14:paraId="1B74931B"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 </w:t>
            </w:r>
          </w:p>
        </w:tc>
        <w:tc>
          <w:tcPr>
            <w:tcW w:w="1134" w:type="dxa"/>
            <w:shd w:val="clear" w:color="000000" w:fill="B8CCE4"/>
            <w:tcMar>
              <w:left w:w="28" w:type="dxa"/>
              <w:right w:w="28" w:type="dxa"/>
            </w:tcMar>
            <w:vAlign w:val="center"/>
            <w:hideMark/>
          </w:tcPr>
          <w:p w14:paraId="623C3F75"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c>
          <w:tcPr>
            <w:tcW w:w="943" w:type="dxa"/>
            <w:shd w:val="clear" w:color="000000" w:fill="B8CCE4"/>
            <w:noWrap/>
            <w:tcMar>
              <w:left w:w="28" w:type="dxa"/>
              <w:right w:w="28" w:type="dxa"/>
            </w:tcMar>
            <w:vAlign w:val="center"/>
            <w:hideMark/>
          </w:tcPr>
          <w:p w14:paraId="3C5B64BD" w14:textId="77777777" w:rsidR="00070D50" w:rsidRPr="00070D50" w:rsidRDefault="00070D50" w:rsidP="00070D50">
            <w:pPr>
              <w:spacing w:after="0" w:line="240" w:lineRule="auto"/>
              <w:jc w:val="center"/>
              <w:rPr>
                <w:rFonts w:ascii="Times New Roman" w:eastAsia="Times New Roman" w:hAnsi="Times New Roman" w:cs="Times New Roman"/>
                <w:color w:val="000000"/>
              </w:rPr>
            </w:pPr>
            <w:r w:rsidRPr="00070D50">
              <w:rPr>
                <w:rFonts w:ascii="Times New Roman" w:eastAsia="Times New Roman" w:hAnsi="Times New Roman" w:cs="Times New Roman"/>
                <w:color w:val="000000"/>
              </w:rPr>
              <w:t>0,0%</w:t>
            </w:r>
          </w:p>
        </w:tc>
      </w:tr>
      <w:tr w:rsidR="00070D50" w:rsidRPr="00070D50" w14:paraId="30BDD7C5" w14:textId="77777777" w:rsidTr="00314A5E">
        <w:trPr>
          <w:trHeight w:val="315"/>
        </w:trPr>
        <w:tc>
          <w:tcPr>
            <w:tcW w:w="2828" w:type="dxa"/>
            <w:shd w:val="clear" w:color="auto" w:fill="auto"/>
            <w:tcMar>
              <w:left w:w="28" w:type="dxa"/>
              <w:right w:w="28" w:type="dxa"/>
            </w:tcMar>
            <w:vAlign w:val="center"/>
            <w:hideMark/>
          </w:tcPr>
          <w:p w14:paraId="0D974729" w14:textId="77777777" w:rsidR="00070D50" w:rsidRPr="00070D50" w:rsidRDefault="00070D50" w:rsidP="00070D50">
            <w:pPr>
              <w:spacing w:after="0" w:line="240" w:lineRule="auto"/>
              <w:jc w:val="center"/>
              <w:rPr>
                <w:rFonts w:ascii="Times New Roman" w:eastAsia="Times New Roman" w:hAnsi="Times New Roman" w:cs="Times New Roman"/>
                <w:b/>
                <w:bCs/>
              </w:rPr>
            </w:pPr>
            <w:r w:rsidRPr="00070D50">
              <w:rPr>
                <w:rFonts w:ascii="Times New Roman" w:eastAsia="Times New Roman" w:hAnsi="Times New Roman" w:cs="Times New Roman"/>
                <w:b/>
                <w:bCs/>
              </w:rPr>
              <w:t>Разом</w:t>
            </w:r>
          </w:p>
        </w:tc>
        <w:tc>
          <w:tcPr>
            <w:tcW w:w="1155" w:type="dxa"/>
            <w:shd w:val="clear" w:color="000000" w:fill="FFFFFF"/>
            <w:tcMar>
              <w:left w:w="28" w:type="dxa"/>
              <w:right w:w="28" w:type="dxa"/>
            </w:tcMar>
            <w:vAlign w:val="center"/>
            <w:hideMark/>
          </w:tcPr>
          <w:p w14:paraId="7F919B46"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191 771,4</w:t>
            </w:r>
          </w:p>
        </w:tc>
        <w:tc>
          <w:tcPr>
            <w:tcW w:w="1115" w:type="dxa"/>
            <w:shd w:val="clear" w:color="000000" w:fill="FFFFFF"/>
            <w:tcMar>
              <w:left w:w="28" w:type="dxa"/>
              <w:right w:w="28" w:type="dxa"/>
            </w:tcMar>
            <w:vAlign w:val="center"/>
            <w:hideMark/>
          </w:tcPr>
          <w:p w14:paraId="0FFED327"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112 295,2</w:t>
            </w:r>
          </w:p>
        </w:tc>
        <w:tc>
          <w:tcPr>
            <w:tcW w:w="1134" w:type="dxa"/>
            <w:shd w:val="clear" w:color="000000" w:fill="FFFFFF"/>
            <w:tcMar>
              <w:left w:w="28" w:type="dxa"/>
              <w:right w:w="28" w:type="dxa"/>
            </w:tcMar>
            <w:vAlign w:val="center"/>
            <w:hideMark/>
          </w:tcPr>
          <w:p w14:paraId="3DF7496C"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191 773,8</w:t>
            </w:r>
          </w:p>
        </w:tc>
        <w:tc>
          <w:tcPr>
            <w:tcW w:w="1196" w:type="dxa"/>
            <w:shd w:val="clear" w:color="000000" w:fill="FFFFFF"/>
            <w:tcMar>
              <w:left w:w="28" w:type="dxa"/>
              <w:right w:w="28" w:type="dxa"/>
            </w:tcMar>
            <w:vAlign w:val="center"/>
            <w:hideMark/>
          </w:tcPr>
          <w:p w14:paraId="52C88E4C"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9 927,4</w:t>
            </w:r>
          </w:p>
        </w:tc>
        <w:tc>
          <w:tcPr>
            <w:tcW w:w="1072" w:type="dxa"/>
            <w:shd w:val="clear" w:color="000000" w:fill="FFFFFF"/>
            <w:tcMar>
              <w:left w:w="28" w:type="dxa"/>
              <w:right w:w="28" w:type="dxa"/>
            </w:tcMar>
            <w:vAlign w:val="center"/>
            <w:hideMark/>
          </w:tcPr>
          <w:p w14:paraId="7307E02F"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29 848,7</w:t>
            </w:r>
          </w:p>
        </w:tc>
        <w:tc>
          <w:tcPr>
            <w:tcW w:w="993" w:type="dxa"/>
            <w:shd w:val="clear" w:color="000000" w:fill="FFFFFF"/>
            <w:tcMar>
              <w:left w:w="28" w:type="dxa"/>
              <w:right w:w="28" w:type="dxa"/>
            </w:tcMar>
            <w:vAlign w:val="center"/>
            <w:hideMark/>
          </w:tcPr>
          <w:p w14:paraId="10305E78"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13 141,0</w:t>
            </w:r>
          </w:p>
        </w:tc>
        <w:tc>
          <w:tcPr>
            <w:tcW w:w="1134" w:type="dxa"/>
            <w:shd w:val="clear" w:color="000000" w:fill="FFFFFF"/>
            <w:tcMar>
              <w:left w:w="28" w:type="dxa"/>
              <w:right w:w="28" w:type="dxa"/>
            </w:tcMar>
            <w:vAlign w:val="center"/>
            <w:hideMark/>
          </w:tcPr>
          <w:p w14:paraId="2AA4CA95"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3 297,2</w:t>
            </w:r>
          </w:p>
        </w:tc>
        <w:tc>
          <w:tcPr>
            <w:tcW w:w="992" w:type="dxa"/>
            <w:shd w:val="clear" w:color="000000" w:fill="FFFFFF"/>
            <w:tcMar>
              <w:left w:w="28" w:type="dxa"/>
              <w:right w:w="28" w:type="dxa"/>
            </w:tcMar>
            <w:vAlign w:val="center"/>
            <w:hideMark/>
          </w:tcPr>
          <w:p w14:paraId="0EFC7752"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8,8</w:t>
            </w:r>
          </w:p>
        </w:tc>
        <w:tc>
          <w:tcPr>
            <w:tcW w:w="992" w:type="dxa"/>
            <w:shd w:val="clear" w:color="000000" w:fill="FFFFFF"/>
            <w:tcMar>
              <w:left w:w="28" w:type="dxa"/>
              <w:right w:w="28" w:type="dxa"/>
            </w:tcMar>
            <w:vAlign w:val="center"/>
            <w:hideMark/>
          </w:tcPr>
          <w:p w14:paraId="067A3951" w14:textId="77777777" w:rsidR="00070D50" w:rsidRPr="00070D50" w:rsidRDefault="00070D50" w:rsidP="00070D50">
            <w:pPr>
              <w:spacing w:after="0" w:line="240" w:lineRule="auto"/>
              <w:jc w:val="center"/>
              <w:rPr>
                <w:rFonts w:ascii="Times New Roman" w:eastAsia="Times New Roman" w:hAnsi="Times New Roman" w:cs="Times New Roman"/>
                <w:b/>
                <w:bCs/>
                <w:color w:val="000000"/>
              </w:rPr>
            </w:pPr>
            <w:r w:rsidRPr="00070D50">
              <w:rPr>
                <w:rFonts w:ascii="Times New Roman" w:eastAsia="Times New Roman" w:hAnsi="Times New Roman" w:cs="Times New Roman"/>
                <w:b/>
                <w:bCs/>
                <w:color w:val="000000"/>
              </w:rPr>
              <w:t>1 073,5</w:t>
            </w:r>
          </w:p>
        </w:tc>
        <w:tc>
          <w:tcPr>
            <w:tcW w:w="1134" w:type="dxa"/>
            <w:shd w:val="clear" w:color="000000" w:fill="FFFFFF"/>
            <w:tcMar>
              <w:left w:w="28" w:type="dxa"/>
              <w:right w:w="28" w:type="dxa"/>
            </w:tcMar>
            <w:vAlign w:val="center"/>
            <w:hideMark/>
          </w:tcPr>
          <w:p w14:paraId="19F59891" w14:textId="77777777" w:rsidR="00070D50" w:rsidRPr="00070D50" w:rsidRDefault="00070D50" w:rsidP="00070D50">
            <w:pPr>
              <w:spacing w:after="0" w:line="240" w:lineRule="auto"/>
              <w:jc w:val="center"/>
              <w:rPr>
                <w:rFonts w:ascii="Times New Roman" w:eastAsia="Times New Roman" w:hAnsi="Times New Roman" w:cs="Times New Roman"/>
                <w:b/>
                <w:bCs/>
                <w:color w:val="000000"/>
                <w:sz w:val="24"/>
                <w:szCs w:val="24"/>
              </w:rPr>
            </w:pPr>
            <w:r w:rsidRPr="00070D50">
              <w:rPr>
                <w:rFonts w:ascii="Times New Roman" w:eastAsia="Times New Roman" w:hAnsi="Times New Roman" w:cs="Times New Roman"/>
                <w:b/>
                <w:bCs/>
                <w:color w:val="000000"/>
                <w:sz w:val="24"/>
                <w:szCs w:val="24"/>
              </w:rPr>
              <w:t>553 136,8</w:t>
            </w:r>
          </w:p>
        </w:tc>
        <w:tc>
          <w:tcPr>
            <w:tcW w:w="943" w:type="dxa"/>
            <w:shd w:val="clear" w:color="auto" w:fill="auto"/>
            <w:noWrap/>
            <w:tcMar>
              <w:left w:w="28" w:type="dxa"/>
              <w:right w:w="28" w:type="dxa"/>
            </w:tcMar>
            <w:vAlign w:val="bottom"/>
            <w:hideMark/>
          </w:tcPr>
          <w:p w14:paraId="7DEAB8BB" w14:textId="77777777" w:rsidR="00070D50" w:rsidRPr="00070D50" w:rsidRDefault="00070D50" w:rsidP="00070D50">
            <w:pPr>
              <w:spacing w:after="0" w:line="240" w:lineRule="auto"/>
              <w:jc w:val="right"/>
              <w:rPr>
                <w:rFonts w:ascii="Times New Roman" w:eastAsia="Times New Roman" w:hAnsi="Times New Roman" w:cs="Times New Roman"/>
                <w:b/>
                <w:bCs/>
                <w:color w:val="000000"/>
                <w:sz w:val="24"/>
                <w:szCs w:val="24"/>
              </w:rPr>
            </w:pPr>
            <w:r w:rsidRPr="00070D50">
              <w:rPr>
                <w:rFonts w:ascii="Times New Roman" w:eastAsia="Times New Roman" w:hAnsi="Times New Roman" w:cs="Times New Roman"/>
                <w:b/>
                <w:bCs/>
                <w:color w:val="000000"/>
                <w:sz w:val="24"/>
                <w:szCs w:val="24"/>
              </w:rPr>
              <w:t>100,0%</w:t>
            </w:r>
          </w:p>
        </w:tc>
      </w:tr>
    </w:tbl>
    <w:p w14:paraId="7E0B6187" w14:textId="77777777" w:rsidR="00C82386" w:rsidRDefault="00314A5E">
      <w:pPr>
        <w:pBdr>
          <w:top w:val="nil"/>
          <w:left w:val="nil"/>
          <w:bottom w:val="nil"/>
          <w:right w:val="nil"/>
          <w:between w:val="nil"/>
        </w:pBdr>
        <w:rPr>
          <w:rFonts w:ascii="Times New Roman" w:eastAsia="Times New Roman" w:hAnsi="Times New Roman" w:cs="Times New Roman"/>
          <w:color w:val="000000"/>
          <w:sz w:val="24"/>
          <w:szCs w:val="24"/>
        </w:rPr>
        <w:sectPr w:rsidR="00C82386" w:rsidSect="00284EAF">
          <w:pgSz w:w="16838" w:h="11906" w:orient="landscape"/>
          <w:pgMar w:top="851" w:right="1134" w:bottom="567" w:left="1134" w:header="709" w:footer="709" w:gutter="0"/>
          <w:cols w:space="720"/>
        </w:sectPr>
      </w:pPr>
      <w:r>
        <w:rPr>
          <w:rFonts w:ascii="Times New Roman" w:eastAsia="Times New Roman" w:hAnsi="Times New Roman" w:cs="Times New Roman"/>
          <w:color w:val="000000"/>
          <w:sz w:val="24"/>
          <w:szCs w:val="24"/>
        </w:rPr>
        <w:t>Позначка «НІ»</w:t>
      </w:r>
      <w:r>
        <w:rPr>
          <w:rFonts w:ascii="Times New Roman" w:eastAsia="Times New Roman" w:hAnsi="Times New Roman" w:cs="Times New Roman"/>
          <w:b/>
          <w:color w:val="000000"/>
          <w:sz w:val="24"/>
          <w:szCs w:val="24"/>
        </w:rPr>
        <w:t xml:space="preserve"> - д</w:t>
      </w:r>
      <w:r>
        <w:rPr>
          <w:rFonts w:ascii="Times New Roman" w:eastAsia="Times New Roman" w:hAnsi="Times New Roman" w:cs="Times New Roman"/>
          <w:color w:val="000000"/>
          <w:sz w:val="24"/>
          <w:szCs w:val="24"/>
        </w:rPr>
        <w:t>іяльність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Pr>
          <w:rFonts w:ascii="Times New Roman" w:eastAsia="Times New Roman" w:hAnsi="Times New Roman" w:cs="Times New Roman"/>
          <w:b/>
          <w:color w:val="000000"/>
          <w:sz w:val="24"/>
          <w:szCs w:val="24"/>
        </w:rPr>
        <w:t xml:space="preserve"> - </w:t>
      </w:r>
      <w:r>
        <w:rPr>
          <w:rFonts w:ascii="Times New Roman" w:eastAsia="Times New Roman" w:hAnsi="Times New Roman" w:cs="Times New Roman"/>
          <w:color w:val="000000"/>
          <w:sz w:val="24"/>
          <w:szCs w:val="24"/>
        </w:rPr>
        <w:t>дані враховано в інших секторах.</w:t>
      </w:r>
    </w:p>
    <w:p w14:paraId="15A96464" w14:textId="77777777" w:rsidR="00C82386" w:rsidRDefault="00E66F64">
      <w:pPr>
        <w:keepNext/>
        <w:keepLines/>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bookmarkStart w:id="59" w:name="_heading=h.2dlolyb" w:colFirst="0" w:colLast="0"/>
      <w:bookmarkEnd w:id="59"/>
      <w:r>
        <w:rPr>
          <w:rFonts w:ascii="Times New Roman" w:eastAsia="Times New Roman" w:hAnsi="Times New Roman" w:cs="Times New Roman"/>
          <w:b/>
          <w:color w:val="000000"/>
          <w:sz w:val="28"/>
          <w:szCs w:val="28"/>
        </w:rPr>
        <w:lastRenderedPageBreak/>
        <w:t>РОЗДІЛ 6. ЗАХОДИ З ПОМ’ЯКШЕННЯ НАСЛІДКІВ ЗМІНИ КЛІМАТУ</w:t>
      </w:r>
    </w:p>
    <w:p w14:paraId="1E7D1CFB" w14:textId="77777777" w:rsidR="00C82386" w:rsidRDefault="00E66F64">
      <w:pPr>
        <w:keepNext/>
        <w:keepLines/>
        <w:numPr>
          <w:ilvl w:val="1"/>
          <w:numId w:val="25"/>
        </w:numPr>
        <w:pBdr>
          <w:top w:val="nil"/>
          <w:left w:val="nil"/>
          <w:bottom w:val="nil"/>
          <w:right w:val="nil"/>
          <w:between w:val="nil"/>
        </w:pBdr>
        <w:spacing w:before="200" w:after="0" w:line="240" w:lineRule="auto"/>
        <w:rPr>
          <w:rFonts w:ascii="Times New Roman" w:eastAsia="Times New Roman" w:hAnsi="Times New Roman" w:cs="Times New Roman"/>
          <w:b/>
          <w:color w:val="000000"/>
          <w:sz w:val="24"/>
          <w:szCs w:val="24"/>
        </w:rPr>
      </w:pPr>
      <w:bookmarkStart w:id="60" w:name="_heading=h.sqyw64" w:colFirst="0" w:colLast="0"/>
      <w:bookmarkEnd w:id="60"/>
      <w:r>
        <w:rPr>
          <w:rFonts w:ascii="Times New Roman" w:eastAsia="Times New Roman" w:hAnsi="Times New Roman" w:cs="Times New Roman"/>
          <w:b/>
          <w:color w:val="000000"/>
          <w:sz w:val="24"/>
          <w:szCs w:val="24"/>
        </w:rPr>
        <w:t>План заходів з пом’якшення наслідків змін клімату на період 201</w:t>
      </w:r>
      <w:r w:rsidR="00B91121">
        <w:rPr>
          <w:rFonts w:ascii="Times New Roman" w:eastAsia="Times New Roman" w:hAnsi="Times New Roman" w:cs="Times New Roman"/>
          <w:b/>
          <w:color w:val="000000"/>
          <w:sz w:val="24"/>
          <w:szCs w:val="24"/>
        </w:rPr>
        <w:t>4</w:t>
      </w:r>
      <w:r>
        <w:rPr>
          <w:rFonts w:ascii="Times New Roman" w:eastAsia="Times New Roman" w:hAnsi="Times New Roman" w:cs="Times New Roman"/>
          <w:b/>
          <w:color w:val="000000"/>
          <w:sz w:val="24"/>
          <w:szCs w:val="24"/>
        </w:rPr>
        <w:t>-2030</w:t>
      </w:r>
    </w:p>
    <w:p w14:paraId="40CD9C0E" w14:textId="77777777" w:rsidR="00C82386" w:rsidRDefault="00E66F64">
      <w:pPr>
        <w:pBdr>
          <w:top w:val="nil"/>
          <w:left w:val="nil"/>
          <w:bottom w:val="nil"/>
          <w:right w:val="nil"/>
          <w:between w:val="nil"/>
        </w:pBdr>
        <w:spacing w:line="240" w:lineRule="auto"/>
        <w:ind w:left="426" w:hanging="426"/>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Таблиця 6.1.</w:t>
      </w:r>
    </w:p>
    <w:tbl>
      <w:tblPr>
        <w:tblW w:w="15452" w:type="dxa"/>
        <w:tblInd w:w="-431" w:type="dxa"/>
        <w:tblLayout w:type="fixed"/>
        <w:tblLook w:val="04A0" w:firstRow="1" w:lastRow="0" w:firstColumn="1" w:lastColumn="0" w:noHBand="0" w:noVBand="1"/>
      </w:tblPr>
      <w:tblGrid>
        <w:gridCol w:w="568"/>
        <w:gridCol w:w="1559"/>
        <w:gridCol w:w="993"/>
        <w:gridCol w:w="2361"/>
        <w:gridCol w:w="993"/>
        <w:gridCol w:w="1276"/>
        <w:gridCol w:w="859"/>
        <w:gridCol w:w="851"/>
        <w:gridCol w:w="1001"/>
        <w:gridCol w:w="757"/>
        <w:gridCol w:w="757"/>
        <w:gridCol w:w="709"/>
        <w:gridCol w:w="709"/>
        <w:gridCol w:w="783"/>
        <w:gridCol w:w="1276"/>
      </w:tblGrid>
      <w:tr w:rsidR="0077465E" w:rsidRPr="0077465E" w14:paraId="4503F9EF" w14:textId="77777777" w:rsidTr="00314A5E">
        <w:trPr>
          <w:trHeight w:val="495"/>
        </w:trPr>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AE89AE1"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88A82C1"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Ключова дія</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4C6F7D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Сфера впливу</w:t>
            </w:r>
          </w:p>
        </w:tc>
        <w:tc>
          <w:tcPr>
            <w:tcW w:w="2361"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01F934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Стратегічний інструмент</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661FB42"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Pr>
                <w:rFonts w:ascii="Times New Roman" w:eastAsia="Times New Roman" w:hAnsi="Times New Roman" w:cs="Times New Roman"/>
                <w:b/>
                <w:bCs/>
                <w:color w:val="000000"/>
                <w:sz w:val="20"/>
                <w:szCs w:val="18"/>
              </w:rPr>
              <w:t>Джерело фінансування</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7F1057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Відповідальний орган</w:t>
            </w:r>
          </w:p>
        </w:tc>
        <w:tc>
          <w:tcPr>
            <w:tcW w:w="1710" w:type="dxa"/>
            <w:gridSpan w:val="2"/>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46B950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Вартість заходу</w:t>
            </w:r>
          </w:p>
        </w:tc>
        <w:tc>
          <w:tcPr>
            <w:tcW w:w="2515" w:type="dxa"/>
            <w:gridSpan w:val="3"/>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E41E000"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Заплановані показники</w:t>
            </w:r>
          </w:p>
        </w:tc>
        <w:tc>
          <w:tcPr>
            <w:tcW w:w="1418" w:type="dxa"/>
            <w:gridSpan w:val="2"/>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03B3666"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Строки виконання</w:t>
            </w:r>
          </w:p>
        </w:tc>
        <w:tc>
          <w:tcPr>
            <w:tcW w:w="783"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AA284B9"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Статус реалізації</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7CAAAB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Наявність ефекту подолання енергетичної бідності/ адаптації до змін клімату</w:t>
            </w:r>
          </w:p>
        </w:tc>
      </w:tr>
      <w:tr w:rsidR="0077465E" w:rsidRPr="0077465E" w14:paraId="65B3C6EC" w14:textId="77777777" w:rsidTr="00314A5E">
        <w:trPr>
          <w:cantSplit/>
          <w:trHeight w:val="2175"/>
        </w:trPr>
        <w:tc>
          <w:tcPr>
            <w:tcW w:w="568"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44981C4B"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1559"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1A823440"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993"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101B4E46"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2361"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029690CD"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993"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653DB2E1"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1276"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0B045A9A"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859"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41148FE6"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Здійснені інвестиції на даний момент, тис. грн.</w:t>
            </w:r>
          </w:p>
        </w:tc>
        <w:tc>
          <w:tcPr>
            <w:tcW w:w="851"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4CE14F1C"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Загальна вартість, тис. грн.</w:t>
            </w:r>
          </w:p>
        </w:tc>
        <w:tc>
          <w:tcPr>
            <w:tcW w:w="1001"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7AA4B5DE"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 xml:space="preserve">Заплановане скорочення енергоспоживання, МВт∙год. </w:t>
            </w:r>
            <w:r>
              <w:rPr>
                <w:rFonts w:ascii="Times New Roman" w:eastAsia="Times New Roman" w:hAnsi="Times New Roman" w:cs="Times New Roman"/>
                <w:b/>
                <w:bCs/>
                <w:color w:val="000000"/>
                <w:sz w:val="20"/>
                <w:szCs w:val="18"/>
              </w:rPr>
              <w:t xml:space="preserve">за </w:t>
            </w:r>
            <w:r w:rsidRPr="0077465E">
              <w:rPr>
                <w:rFonts w:ascii="Times New Roman" w:eastAsia="Times New Roman" w:hAnsi="Times New Roman" w:cs="Times New Roman"/>
                <w:b/>
                <w:bCs/>
                <w:color w:val="000000"/>
                <w:sz w:val="20"/>
                <w:szCs w:val="18"/>
              </w:rPr>
              <w:t>рік</w:t>
            </w:r>
          </w:p>
        </w:tc>
        <w:tc>
          <w:tcPr>
            <w:tcW w:w="757"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1BE1F78B"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Виробництво відновлюваної енергії, МВт∙год. /рік</w:t>
            </w:r>
          </w:p>
        </w:tc>
        <w:tc>
          <w:tcPr>
            <w:tcW w:w="757"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46E24691"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Зменшення викидів СО2, т/рік</w:t>
            </w:r>
          </w:p>
        </w:tc>
        <w:tc>
          <w:tcPr>
            <w:tcW w:w="709"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71BA15EB"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Початок,</w:t>
            </w:r>
            <w:r w:rsidRPr="0077465E">
              <w:rPr>
                <w:rFonts w:ascii="Times New Roman" w:eastAsia="Times New Roman" w:hAnsi="Times New Roman" w:cs="Times New Roman"/>
                <w:b/>
                <w:bCs/>
                <w:color w:val="000000"/>
                <w:sz w:val="20"/>
                <w:szCs w:val="18"/>
              </w:rPr>
              <w:br/>
              <w:t>рік</w:t>
            </w:r>
          </w:p>
        </w:tc>
        <w:tc>
          <w:tcPr>
            <w:tcW w:w="709" w:type="dxa"/>
            <w:tcBorders>
              <w:top w:val="nil"/>
              <w:left w:val="nil"/>
              <w:bottom w:val="single" w:sz="4" w:space="0" w:color="000000"/>
              <w:right w:val="single" w:sz="4" w:space="0" w:color="000000"/>
            </w:tcBorders>
            <w:shd w:val="clear" w:color="auto" w:fill="auto"/>
            <w:tcMar>
              <w:left w:w="28" w:type="dxa"/>
              <w:right w:w="28" w:type="dxa"/>
            </w:tcMar>
            <w:textDirection w:val="btLr"/>
            <w:vAlign w:val="center"/>
            <w:hideMark/>
          </w:tcPr>
          <w:p w14:paraId="0AE7D222" w14:textId="77777777" w:rsidR="0077465E" w:rsidRPr="0077465E" w:rsidRDefault="0077465E" w:rsidP="00C37678">
            <w:pPr>
              <w:spacing w:after="0" w:line="240" w:lineRule="auto"/>
              <w:ind w:left="113" w:right="113"/>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Закінчення,</w:t>
            </w:r>
            <w:r w:rsidRPr="0077465E">
              <w:rPr>
                <w:rFonts w:ascii="Times New Roman" w:eastAsia="Times New Roman" w:hAnsi="Times New Roman" w:cs="Times New Roman"/>
                <w:b/>
                <w:bCs/>
                <w:color w:val="000000"/>
                <w:sz w:val="20"/>
                <w:szCs w:val="18"/>
              </w:rPr>
              <w:br/>
              <w:t>рік</w:t>
            </w:r>
          </w:p>
        </w:tc>
        <w:tc>
          <w:tcPr>
            <w:tcW w:w="783"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7A751C45"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c>
          <w:tcPr>
            <w:tcW w:w="1276"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79CA6C90"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p>
        </w:tc>
      </w:tr>
      <w:tr w:rsidR="0077465E" w:rsidRPr="0077465E" w14:paraId="743EA661" w14:textId="77777777" w:rsidTr="00314A5E">
        <w:trPr>
          <w:trHeight w:val="300"/>
        </w:trPr>
        <w:tc>
          <w:tcPr>
            <w:tcW w:w="15452" w:type="dxa"/>
            <w:gridSpan w:val="15"/>
            <w:tcBorders>
              <w:top w:val="single" w:sz="4" w:space="0" w:color="000000"/>
              <w:left w:val="single" w:sz="4" w:space="0" w:color="000000"/>
              <w:bottom w:val="single" w:sz="4" w:space="0" w:color="auto"/>
              <w:right w:val="single" w:sz="4" w:space="0" w:color="000000"/>
            </w:tcBorders>
            <w:shd w:val="clear" w:color="000000" w:fill="F2F2F2"/>
            <w:tcMar>
              <w:left w:w="28" w:type="dxa"/>
              <w:right w:w="28" w:type="dxa"/>
            </w:tcMar>
            <w:vAlign w:val="center"/>
            <w:hideMark/>
          </w:tcPr>
          <w:p w14:paraId="3CE33A41"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 Муніципальні будівлі, обладнання/об’єкти</w:t>
            </w:r>
          </w:p>
        </w:tc>
      </w:tr>
      <w:tr w:rsidR="0077465E" w:rsidRPr="0077465E" w14:paraId="7C1A6AA7" w14:textId="77777777" w:rsidTr="00314A5E">
        <w:trPr>
          <w:trHeight w:val="180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81BE1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674782" w14:textId="77777777" w:rsidR="0077465E" w:rsidRPr="0077465E" w:rsidRDefault="0077465E" w:rsidP="00C37678">
            <w:pPr>
              <w:spacing w:after="0" w:line="240" w:lineRule="auto"/>
              <w:jc w:val="both"/>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системи управління та контролю за споживанням енергоресурсів в муніципальних будівлях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2F326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Інформаційні та комунікаційні технології</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AE3E2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системи енергетичного моніторингу (закупівля та підключення програмного забезпечення, навчання персоналу), складання базових рівнів споживання в будівлях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939E7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GIZ</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31E59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4A4270F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986</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F528D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1 850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2BDFB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1 350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338C1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92F35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450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8D993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3C63B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CA6A4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5BF6D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3386C744"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7A77F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5801FD" w14:textId="77777777" w:rsidR="0077465E" w:rsidRPr="0077465E" w:rsidRDefault="0077465E" w:rsidP="00C37678">
            <w:pPr>
              <w:spacing w:after="0" w:line="240" w:lineRule="auto"/>
              <w:jc w:val="both"/>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системи управління та контролю за споживанням енергоресурсів в бюджетній сфері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510B8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Інформаційні та комунікаційні технології</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34BC05"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автоматизованого збору даних споживання енергоресурсів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1DF49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3C35F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2EF360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F8503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2ACF5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2 700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1D3C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06BE4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BE982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E04C2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D6B6F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369F3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3A2EC86A"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973DD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1.3.</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2D300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системи управління та контролю за споживанням енергоресурсів в бюджетній сфері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98A08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547F3E"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Створення муніципальної енергетичної агенції</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A2399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МТД, бюджет громади</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87A44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 КУ "Агенція розвитку міста"</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BB5220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E6A31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0C30B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1 000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B63B5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0E73E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286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81712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DFF31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7E6D9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3FDDD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7DF7A909"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CB6AA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C6F124"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Зниження побутового споживання електроенергії закладами бюджетної сфери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1DCA9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F10A5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ламп розжарювання на енергозберігаючі лампи, заміна кухонного обладнання тощо в закладах бюджетної сфери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27B55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652B8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Галузеві управління та бюджетні установи</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4431E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10 231</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3B9D4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10 231</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0C5F6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618</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B5441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0122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365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A30DF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5A9CF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453F7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A1BDB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7622473F"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1CA7C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5D00D0"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Енергоефективна термосанація (капітальний ремонт) будівлі ДНЗ №63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F51A0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F38E87"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Утеплення фасаду, даху, цоколю; заміна вікон, встановлення ІТП, балансування та промивка системи опалення</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AF95A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GIZ</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0E0D6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капітального будівництва,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23FB8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3 600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76751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3 600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75D80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ED701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F108D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EC7FE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F2FD4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EAA5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EED30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066C89DB"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14335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1.6.</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01BF4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Підвищення енергоефективності об’єктів бюджетної сфери міста Житомира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15107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Оболонка будівлі</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258C1C"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Утеплення фасаду, даху, цоколю; заміна вікон, встановлення ІТП, балансування та промивка системи опалення в 17-19 бюджетних закладах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7CD0B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NEFCO, Фонд Е5Р, SIDA</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5F94F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капітального будівництва,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E34A3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104 192</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A3AC9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104 192</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214A6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3 300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2FABE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E1B08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960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3D0FB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90CAE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C5D21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18CC9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3B8326B7" w14:textId="77777777" w:rsidTr="00314A5E">
        <w:trPr>
          <w:trHeight w:val="1785"/>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F14C5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1.7.</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0B28E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Енергоефективність в місті Житомирі (капітальний ремонт дошкільних навчальних закладів міста Житомира)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2E258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36C0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Утеплення фасаду, даху, цоколю; заміна вікон, встановлення ІТП, балансування та промивка системи опалення в 5 дошкільних навчальних закладах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35737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SECO</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9C359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капітального будівництва,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05C097A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43 165</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86CB8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43 165</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3B603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1 100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E7448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3D809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7B9AA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E95C3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2022</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83E94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98F1D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460B51E6" w14:textId="77777777" w:rsidTr="00314A5E">
        <w:trPr>
          <w:trHeight w:val="192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71114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1.8.</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AF84C3"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Термореновація будівель бюджетних закладів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8515B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9FD8E4"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Утеплення фасаду, даху, цоколю; заміна вікон, встановлення ІТП, балансування та промивка системи опалення в 40 бюджетних закладах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50658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5345C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освіти, управління охорони здоров’я,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0A7DDE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2F9744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975 360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EEEE4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13 628</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38313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C5353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6 100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97733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2B146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BBED4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8A4F2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745B8E70" w14:textId="77777777" w:rsidTr="00314A5E">
        <w:trPr>
          <w:trHeight w:val="2160"/>
        </w:trPr>
        <w:tc>
          <w:tcPr>
            <w:tcW w:w="56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B51D06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1.9.</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B3DB53"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Термореновація будівель бюджетних закладів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F1E0E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4F0C3D"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Модернізація та контроль роботи ІТП та іншого обладнання, встановленого при реалізації проектів термомодернізації громадських будівель</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954AB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МТД, бюджет громади</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601E0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 департамент освіти, управління охорони здоров'я,</w:t>
            </w:r>
            <w:r w:rsidRPr="0077465E">
              <w:rPr>
                <w:rFonts w:ascii="Times New Roman" w:eastAsia="Times New Roman" w:hAnsi="Times New Roman" w:cs="Times New Roman"/>
                <w:color w:val="000000"/>
                <w:sz w:val="20"/>
                <w:szCs w:val="18"/>
              </w:rPr>
              <w:br/>
              <w:t>КП "ЖТКЕ"</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B6DD52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F98143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4D296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1 200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3AF61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FFB2E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7E82D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6E137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ECF61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A9F65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2AB4C0D3" w14:textId="77777777" w:rsidTr="00314A5E">
        <w:trPr>
          <w:trHeight w:val="1200"/>
        </w:trPr>
        <w:tc>
          <w:tcPr>
            <w:tcW w:w="56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774590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1.10.</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88ECA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та комерціалізація біоенергетичних технологій в Україні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EBFE5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ВДЕ для систем опалення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8A0FF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Переведення опалення навчальних закладів з газових котелень на твердопаливні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949E2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ПРООН</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8402F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освіти</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721AB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8 000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78A52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653AA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884FA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1 600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64362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7E150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F9F42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19509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34ABE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15C6FF75" w14:textId="77777777" w:rsidTr="00314A5E">
        <w:trPr>
          <w:trHeight w:val="2025"/>
        </w:trPr>
        <w:tc>
          <w:tcPr>
            <w:tcW w:w="56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3561FB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1.11.</w:t>
            </w:r>
          </w:p>
        </w:tc>
        <w:tc>
          <w:tcPr>
            <w:tcW w:w="15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4A0A9640"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Встановлення СЕС та геліоколекторів у муніципальних будівлях</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333041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ВДЕ</w:t>
            </w:r>
          </w:p>
        </w:tc>
        <w:tc>
          <w:tcPr>
            <w:tcW w:w="2361"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72FF2D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Встановлення СЕС та геліоколекторів для потреб власного споживання муніципальних будівель (20 будівель)</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583125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Грантові кошти, інші кошти</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406297D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освіти, управління охорони здоров’я,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16750C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3 800</w:t>
            </w:r>
          </w:p>
        </w:tc>
        <w:tc>
          <w:tcPr>
            <w:tcW w:w="851"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3935F1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24 000</w:t>
            </w:r>
          </w:p>
        </w:tc>
        <w:tc>
          <w:tcPr>
            <w:tcW w:w="1001"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7B43CB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88B05C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600</w:t>
            </w:r>
          </w:p>
        </w:tc>
        <w:tc>
          <w:tcPr>
            <w:tcW w:w="757"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0868E14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352</w:t>
            </w:r>
          </w:p>
        </w:tc>
        <w:tc>
          <w:tcPr>
            <w:tcW w:w="70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A97601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2023</w:t>
            </w:r>
          </w:p>
        </w:tc>
        <w:tc>
          <w:tcPr>
            <w:tcW w:w="709"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C4E69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4740016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D82962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45050F89" w14:textId="77777777" w:rsidTr="00314A5E">
        <w:trPr>
          <w:trHeight w:val="1755"/>
        </w:trPr>
        <w:tc>
          <w:tcPr>
            <w:tcW w:w="56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0E42E24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1.12.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EF8F2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Реконструкція та розвиток системи водопостачання/ водовідведення міста Житомира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54222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Система водопостачання та водовідведення міста</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AE776C"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магістральних та розподільчих трубопроводів, насосного обладнання; автоматизація та диспетчеризація виробничих процесів, встановлення сонячних електростанцій тощо</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285AD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МБРР, бюджет громади, МФО, інші джерела фінансування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32375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КП «Житомир водоканал»,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81A56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1 325 000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B40F8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2 120 000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C3979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25 600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9B398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2 100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FA900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16 232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74989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0F95B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EFE07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83955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зміни клімату</w:t>
            </w:r>
          </w:p>
        </w:tc>
      </w:tr>
      <w:tr w:rsidR="0077465E" w:rsidRPr="0077465E" w14:paraId="53FAB6BB" w14:textId="77777777" w:rsidTr="00314A5E">
        <w:trPr>
          <w:trHeight w:val="330"/>
        </w:trPr>
        <w:tc>
          <w:tcPr>
            <w:tcW w:w="7750" w:type="dxa"/>
            <w:gridSpan w:val="6"/>
            <w:tcBorders>
              <w:top w:val="single" w:sz="4" w:space="0" w:color="auto"/>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E31C7F1"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«Муніципальні будівлі, обладнання/об’єкти»</w:t>
            </w:r>
          </w:p>
        </w:tc>
        <w:tc>
          <w:tcPr>
            <w:tcW w:w="85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06D06C34"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1 498 974</w:t>
            </w:r>
          </w:p>
        </w:tc>
        <w:tc>
          <w:tcPr>
            <w:tcW w:w="85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04D3BFEA"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3 330 398</w:t>
            </w:r>
          </w:p>
        </w:tc>
        <w:tc>
          <w:tcPr>
            <w:tcW w:w="100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4A763040"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50 606</w:t>
            </w:r>
          </w:p>
        </w:tc>
        <w:tc>
          <w:tcPr>
            <w:tcW w:w="75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3325E29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4 300</w:t>
            </w:r>
          </w:p>
        </w:tc>
        <w:tc>
          <w:tcPr>
            <w:tcW w:w="75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4F727E71"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26 632</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66988B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49AFDD1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AC226D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0559756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5C9683A0" w14:textId="77777777" w:rsidTr="00314A5E">
        <w:trPr>
          <w:trHeight w:val="300"/>
        </w:trPr>
        <w:tc>
          <w:tcPr>
            <w:tcW w:w="15452" w:type="dxa"/>
            <w:gridSpan w:val="15"/>
            <w:tcBorders>
              <w:top w:val="single" w:sz="4" w:space="0" w:color="000000"/>
              <w:left w:val="single" w:sz="4" w:space="0" w:color="000000"/>
              <w:bottom w:val="single" w:sz="4" w:space="0" w:color="000000"/>
              <w:right w:val="single" w:sz="4" w:space="0" w:color="000000"/>
            </w:tcBorders>
            <w:shd w:val="clear" w:color="000000" w:fill="F2F2F2"/>
            <w:tcMar>
              <w:left w:w="28" w:type="dxa"/>
              <w:right w:w="28" w:type="dxa"/>
            </w:tcMar>
            <w:vAlign w:val="center"/>
            <w:hideMark/>
          </w:tcPr>
          <w:p w14:paraId="5440FF7F"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2. Муніципальне зовнішнє освітлення</w:t>
            </w:r>
          </w:p>
        </w:tc>
      </w:tr>
      <w:tr w:rsidR="0077465E" w:rsidRPr="0077465E" w14:paraId="6D1CBD67" w14:textId="77777777" w:rsidTr="00314A5E">
        <w:trPr>
          <w:trHeight w:val="1200"/>
        </w:trPr>
        <w:tc>
          <w:tcPr>
            <w:tcW w:w="568"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5447ED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2.1.</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FC2152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Реконструкція та ремонт мереж зовнішнього освітлення</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3B180D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Міська мережа зовнішнього освітлення</w:t>
            </w:r>
          </w:p>
        </w:tc>
        <w:tc>
          <w:tcPr>
            <w:tcW w:w="2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BA8504E"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світильників з лампами розжарювання та натрієвими лампами на світлодіодні, та заміна електромереж</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1DB3E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 МФО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8A75A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«ЕМЗО «Міськсвітло»</w:t>
            </w:r>
          </w:p>
        </w:tc>
        <w:tc>
          <w:tcPr>
            <w:tcW w:w="859"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2BD0B3B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25 000</w:t>
            </w:r>
          </w:p>
        </w:tc>
        <w:tc>
          <w:tcPr>
            <w:tcW w:w="851"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008ADC0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25 000</w:t>
            </w:r>
          </w:p>
        </w:tc>
        <w:tc>
          <w:tcPr>
            <w:tcW w:w="100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A27D80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2 000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596619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52A271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1 172</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D2A32E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F0E0A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2020</w:t>
            </w:r>
          </w:p>
        </w:tc>
        <w:tc>
          <w:tcPr>
            <w:tcW w:w="78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E73AC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EC816B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10DAE4A5" w14:textId="77777777" w:rsidTr="00314A5E">
        <w:trPr>
          <w:trHeight w:val="1440"/>
        </w:trPr>
        <w:tc>
          <w:tcPr>
            <w:tcW w:w="568"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29AFE7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2.2.</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212AB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Реконструкція управління мережею зовнішнього освітлення</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70A89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Інформаційні та комунікаційні технології</w:t>
            </w:r>
          </w:p>
        </w:tc>
        <w:tc>
          <w:tcPr>
            <w:tcW w:w="2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B0182B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Диспетчеризація та автоматичне управління мережею зовнішнього освітлення, використання режиму диміювання (зміна рівня освітленості)</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400DE6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 МФО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61F90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ЕМЗО «Міськсвітло»</w:t>
            </w:r>
          </w:p>
        </w:tc>
        <w:tc>
          <w:tcPr>
            <w:tcW w:w="859"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299B5E1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48750B9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15 000</w:t>
            </w:r>
          </w:p>
        </w:tc>
        <w:tc>
          <w:tcPr>
            <w:tcW w:w="100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D4B8AE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500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1BDBD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5CCA0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293</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48EF5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2021</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7139A6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163BA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Не розпочато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FC3DC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3169FAF2" w14:textId="77777777" w:rsidTr="00314A5E">
        <w:trPr>
          <w:trHeight w:val="1200"/>
        </w:trPr>
        <w:tc>
          <w:tcPr>
            <w:tcW w:w="568"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882504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2.3.</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A4D9DE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Модернізація засобів регулювання дорожнього руху</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EB0CF3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Міська мережа зовнішнього освітлення</w:t>
            </w:r>
          </w:p>
        </w:tc>
        <w:tc>
          <w:tcPr>
            <w:tcW w:w="2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0B22E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світлофорів на LED, влаштування підсвічування пішохідних переходів</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4736F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 МФО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15426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ЕМЗО «Міськсвітло»</w:t>
            </w:r>
          </w:p>
        </w:tc>
        <w:tc>
          <w:tcPr>
            <w:tcW w:w="859"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7BA24A7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1 262</w:t>
            </w:r>
          </w:p>
        </w:tc>
        <w:tc>
          <w:tcPr>
            <w:tcW w:w="851" w:type="dxa"/>
            <w:tcBorders>
              <w:top w:val="nil"/>
              <w:left w:val="nil"/>
              <w:bottom w:val="single" w:sz="4" w:space="0" w:color="000000"/>
              <w:right w:val="single" w:sz="4" w:space="0" w:color="000000"/>
            </w:tcBorders>
            <w:shd w:val="clear" w:color="000000" w:fill="FFFFFF"/>
            <w:tcMar>
              <w:left w:w="28" w:type="dxa"/>
              <w:right w:w="28" w:type="dxa"/>
            </w:tcMar>
            <w:vAlign w:val="center"/>
            <w:hideMark/>
          </w:tcPr>
          <w:p w14:paraId="1C10265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 1262</w:t>
            </w:r>
          </w:p>
        </w:tc>
        <w:tc>
          <w:tcPr>
            <w:tcW w:w="100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29B2FA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400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80941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BD9EC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234</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E8023A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E3EFA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2019</w:t>
            </w:r>
          </w:p>
        </w:tc>
        <w:tc>
          <w:tcPr>
            <w:tcW w:w="78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6E499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09F0D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57E76466" w14:textId="77777777" w:rsidTr="00314A5E">
        <w:trPr>
          <w:trHeight w:val="363"/>
        </w:trPr>
        <w:tc>
          <w:tcPr>
            <w:tcW w:w="7750" w:type="dxa"/>
            <w:gridSpan w:val="6"/>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9CCD348"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«Муніципальне зовнішнє освітлення»</w:t>
            </w:r>
          </w:p>
        </w:tc>
        <w:tc>
          <w:tcPr>
            <w:tcW w:w="8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D241EE"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26 262</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3819F6"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40 000</w:t>
            </w:r>
          </w:p>
        </w:tc>
        <w:tc>
          <w:tcPr>
            <w:tcW w:w="100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48A552"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2 900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FB020B"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0</w:t>
            </w:r>
          </w:p>
        </w:tc>
        <w:tc>
          <w:tcPr>
            <w:tcW w:w="7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8A563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1 699</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C1B078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3FD783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F91D6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EA19A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1A7E7821" w14:textId="77777777" w:rsidTr="00314A5E">
        <w:trPr>
          <w:trHeight w:val="300"/>
        </w:trPr>
        <w:tc>
          <w:tcPr>
            <w:tcW w:w="15452" w:type="dxa"/>
            <w:gridSpan w:val="15"/>
            <w:tcBorders>
              <w:top w:val="single" w:sz="4" w:space="0" w:color="000000"/>
              <w:left w:val="single" w:sz="4" w:space="0" w:color="000000"/>
              <w:bottom w:val="single" w:sz="4" w:space="0" w:color="auto"/>
              <w:right w:val="single" w:sz="4" w:space="0" w:color="000000"/>
            </w:tcBorders>
            <w:shd w:val="clear" w:color="000000" w:fill="F2F2F2"/>
            <w:tcMar>
              <w:left w:w="28" w:type="dxa"/>
              <w:right w:w="28" w:type="dxa"/>
            </w:tcMar>
            <w:vAlign w:val="center"/>
            <w:hideMark/>
          </w:tcPr>
          <w:p w14:paraId="63038E7F"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 Житлові будівлі</w:t>
            </w:r>
          </w:p>
        </w:tc>
      </w:tr>
      <w:tr w:rsidR="0077465E" w:rsidRPr="0077465E" w14:paraId="13894C7B" w14:textId="77777777" w:rsidTr="00314A5E">
        <w:trPr>
          <w:trHeight w:val="2085"/>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D3433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3.1.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C725F2"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енергоефективних заходів в житловому секторі, в т.ч. комплексна термомодернізація багатоквартирних житлових будинків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0783E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5B920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вікон, дверей, встановлення балансувальних кранів, утеплення фасадів, дахів, цоколю, влаштування енергоефективного освітлення, сонячних панелей тощо в багатоквартирних житлових будинках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FCF17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 державний бюджет, бюджет громади,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C8A93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житлового господарства,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1173C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79 605</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93ABC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9 240 000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31CF4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308 000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E8C21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9A44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81 928</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D0D23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1CB93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FAE9F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EDB6C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 адаптація до зміни клімату</w:t>
            </w:r>
          </w:p>
        </w:tc>
      </w:tr>
      <w:tr w:rsidR="0077465E" w:rsidRPr="0077465E" w14:paraId="7C947A0E" w14:textId="77777777" w:rsidTr="00314A5E">
        <w:trPr>
          <w:trHeight w:val="168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7C4E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59B0EC"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Покращення енергоефективності системи теплопостачання в житлових будинках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E55A3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Системи теплопостачання житлових будинків</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C32CB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Переоснащення індивідуальних теплових пунктів, встановлення лічильників тепла в багатоповерхових житлових будинках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97A45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державний бюджет,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87EC4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житлового господарства,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81323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17 750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71606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385 000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8CD84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121 800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526C8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1AEC4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35 200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E773A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4BA98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B26E5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3EE99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7FC4E700"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1B655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3.3.</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0CB1C6"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Зміна поведінки кінцевого споживача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0CBE9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Інформаційні та комунікаційні технології</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F9640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Створення інформаційно консультаційного центру для населення, проведення інформаційних кампаній, Днів енергії, освітні кампанії тощо</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7F360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48DAC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 управління по зв’язкам з громадськістю</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FDC02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13 312</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C1C3C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14 400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7F9B4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14 800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75D12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E5D2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4 277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D707E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571BC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D1B30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CDF88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 клімату</w:t>
            </w:r>
          </w:p>
        </w:tc>
      </w:tr>
      <w:tr w:rsidR="0077465E" w:rsidRPr="0077465E" w14:paraId="621D9722" w14:textId="77777777" w:rsidTr="00314A5E">
        <w:trPr>
          <w:trHeight w:val="300"/>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DEEA87"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«Житлові будівлі»</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D81CE0"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110 667</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D8A36E"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9 639 400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027592"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444 600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654E3D"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7738BA"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121 405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C804B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6AF0A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9FD5C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D9A86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012C2A39" w14:textId="77777777" w:rsidTr="00314A5E">
        <w:trPr>
          <w:trHeight w:val="300"/>
        </w:trPr>
        <w:tc>
          <w:tcPr>
            <w:tcW w:w="14176" w:type="dxa"/>
            <w:gridSpan w:val="14"/>
            <w:tcBorders>
              <w:top w:val="single" w:sz="4" w:space="0" w:color="auto"/>
              <w:left w:val="single" w:sz="4" w:space="0" w:color="000000"/>
              <w:bottom w:val="single" w:sz="4" w:space="0" w:color="auto"/>
              <w:right w:val="single" w:sz="4" w:space="0" w:color="000000"/>
            </w:tcBorders>
            <w:shd w:val="clear" w:color="000000" w:fill="F2F2F2"/>
            <w:tcMar>
              <w:left w:w="28" w:type="dxa"/>
              <w:right w:w="28" w:type="dxa"/>
            </w:tcMar>
            <w:vAlign w:val="center"/>
            <w:hideMark/>
          </w:tcPr>
          <w:p w14:paraId="243BE3E5"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 Третинні будівлі, обладнання/об’єкти</w:t>
            </w:r>
          </w:p>
        </w:tc>
        <w:tc>
          <w:tcPr>
            <w:tcW w:w="1276" w:type="dxa"/>
            <w:tcBorders>
              <w:top w:val="single" w:sz="4" w:space="0" w:color="auto"/>
              <w:left w:val="nil"/>
              <w:bottom w:val="single" w:sz="4" w:space="0" w:color="auto"/>
              <w:right w:val="single" w:sz="4" w:space="0" w:color="000000"/>
            </w:tcBorders>
            <w:shd w:val="clear" w:color="000000" w:fill="F2F2F2"/>
            <w:tcMar>
              <w:left w:w="28" w:type="dxa"/>
              <w:right w:w="28" w:type="dxa"/>
            </w:tcMar>
            <w:vAlign w:val="center"/>
            <w:hideMark/>
          </w:tcPr>
          <w:p w14:paraId="28A29B4A"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 </w:t>
            </w:r>
          </w:p>
        </w:tc>
      </w:tr>
      <w:tr w:rsidR="0077465E" w:rsidRPr="0077465E" w14:paraId="6B8FE518" w14:textId="77777777" w:rsidTr="00314A5E">
        <w:trPr>
          <w:trHeight w:val="26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5C730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4.1.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B4738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Стимулювання представників бізнесу до використання енергоефективного обладнання та приладів освітлення</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C0238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Комплексна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1F8D1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Популяризація раціонального використання енергії та  використання відновлюваних джерел, проведення виставок-ярмарок енергоефективного обладнання та технологій, розробка та впровадження місцевих програм підтримки місцевого бізнесу для розвитку відновлюваних джерел підтримки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749B3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 бюджет громади,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73BAD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D2A6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5D013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360 000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03810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9 726</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78D2C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6 000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3B578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5 481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9A1FE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C6A16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2BE1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84B13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53A3F7C8" w14:textId="77777777" w:rsidTr="00314A5E">
        <w:trPr>
          <w:trHeight w:val="570"/>
        </w:trPr>
        <w:tc>
          <w:tcPr>
            <w:tcW w:w="7750" w:type="dxa"/>
            <w:gridSpan w:val="6"/>
            <w:tcBorders>
              <w:top w:val="single" w:sz="4" w:space="0" w:color="auto"/>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A54C08F"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«Третинні будівлі, обладнання/об’єкти»</w:t>
            </w:r>
          </w:p>
        </w:tc>
        <w:tc>
          <w:tcPr>
            <w:tcW w:w="85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06BE4B8"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0</w:t>
            </w:r>
          </w:p>
        </w:tc>
        <w:tc>
          <w:tcPr>
            <w:tcW w:w="85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6325E94"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360 000</w:t>
            </w:r>
          </w:p>
        </w:tc>
        <w:tc>
          <w:tcPr>
            <w:tcW w:w="100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056337C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9 726</w:t>
            </w:r>
          </w:p>
        </w:tc>
        <w:tc>
          <w:tcPr>
            <w:tcW w:w="75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4A60537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6 000</w:t>
            </w:r>
          </w:p>
        </w:tc>
        <w:tc>
          <w:tcPr>
            <w:tcW w:w="75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6C6EEB92"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5 481</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6503D1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7F44A1B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06FC441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14:paraId="16CD0E2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56FD924A" w14:textId="77777777" w:rsidTr="00314A5E">
        <w:trPr>
          <w:trHeight w:val="300"/>
        </w:trPr>
        <w:tc>
          <w:tcPr>
            <w:tcW w:w="15452" w:type="dxa"/>
            <w:gridSpan w:val="15"/>
            <w:tcBorders>
              <w:top w:val="single" w:sz="4" w:space="0" w:color="000000"/>
              <w:left w:val="single" w:sz="4" w:space="0" w:color="000000"/>
              <w:bottom w:val="single" w:sz="4" w:space="0" w:color="auto"/>
              <w:right w:val="single" w:sz="4" w:space="0" w:color="000000"/>
            </w:tcBorders>
            <w:shd w:val="clear" w:color="000000" w:fill="D9D9D9"/>
            <w:tcMar>
              <w:left w:w="28" w:type="dxa"/>
              <w:right w:w="28" w:type="dxa"/>
            </w:tcMar>
            <w:vAlign w:val="center"/>
            <w:hideMark/>
          </w:tcPr>
          <w:p w14:paraId="54658DCB"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5. Транспорт</w:t>
            </w:r>
          </w:p>
        </w:tc>
      </w:tr>
      <w:tr w:rsidR="0077465E" w:rsidRPr="0077465E" w14:paraId="62DA5ED2"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E2102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9277E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 xml:space="preserve">Оптимізація схем руху міського транспорту </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0E49D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Оптимізація схем дорожнього руху</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34434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Розмежування маршрутів громадського електротранспорту та автотранспорту, введення одностороннього руху на деяких ділянках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05EA2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F4176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управління патрульної поліції</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32D0B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7CDCF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43 200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3587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3 737</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A9C92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95D86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1 384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9B79A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95CE4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17943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9E100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24F6DF0C"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47C9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DDD3E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системи паркування у громаді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170D6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Паркування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68E82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Влаштування парковок для автомобілів, запровадження електронної навігаційної системи для вільних паркувальних місць</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9EF69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65B65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114B7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420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89444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23 040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0E855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1 446</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1EDB2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CA8B5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386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503B1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F864F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6D9C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1DBD6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 клімату</w:t>
            </w:r>
          </w:p>
        </w:tc>
      </w:tr>
      <w:tr w:rsidR="0077465E" w:rsidRPr="0077465E" w14:paraId="1D19D0A2" w14:textId="77777777" w:rsidTr="00314A5E">
        <w:trPr>
          <w:trHeight w:val="168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D79AA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5.3.</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55344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Запровадження обмежень на використання приватного та вантажного автотранспорту в межах міста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C3CE2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Пішохідний та велорух</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C79A4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 xml:space="preserve">Обмеження руху автомобілів в центральній частині міста через створення «зелених» та пішохідних зон, розвантаження центру міста та основних вулиць </w:t>
            </w:r>
            <w:r w:rsidRPr="0077465E">
              <w:rPr>
                <w:rFonts w:ascii="Times New Roman" w:eastAsia="Times New Roman" w:hAnsi="Times New Roman" w:cs="Times New Roman"/>
                <w:color w:val="000000"/>
                <w:sz w:val="20"/>
                <w:szCs w:val="18"/>
              </w:rPr>
              <w:lastRenderedPageBreak/>
              <w:t>від вантажних транспортних засобів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5C0C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70595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управління патрульної поліції</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21604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76C08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25 146</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C410B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10 803</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C2465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11A69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2 690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2FC13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156D0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05330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84AE2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зміни клімату</w:t>
            </w:r>
          </w:p>
        </w:tc>
      </w:tr>
      <w:tr w:rsidR="0077465E" w:rsidRPr="0077465E" w14:paraId="085EE19C" w14:textId="77777777" w:rsidTr="00314A5E">
        <w:trPr>
          <w:trHeight w:val="168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658EC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5.4.</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22229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міської мережі електротранспорту</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94946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Електротранспорт</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0D223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Оновлення та збільшення кількості рухомого складу громадського електротранспорту, встановлення електрозарядних станцій для приватних електромобілів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E5C87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8FB5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DE03B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299 340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41E45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592 000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E1BB7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4 931</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E29B1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65157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2 914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F5CBC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975EB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189E7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851AB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6DA2C5AE"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01CC3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5.5.</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03B90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Підвищення якості надання послуг у громадському транспорті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DD84E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Інформаційні та комунікаційні технології</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4153F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безготівкового розрахунку в громадському транспорті (електронний квиток)</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3ED25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 бюджет громади</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193D5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53CAC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967AA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ECFE8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2 093</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EDB6B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88833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1 237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1EE04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8EAA9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2024</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33D99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Завершено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2F7B8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6ED8EBE9"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8683A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5.6.</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620D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велоінфраструктури міста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D6E39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Пішохідний та велорух</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E72CF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Будівництво та розвиток мережі велосипедних зон, зв’язку між ними, влаштування паркувальних місць для велосипедів, облаштування навігацією веломаршрутів тощо</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B5EB3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0D2F6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E0C33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ADB00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112 000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46EC5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9 147</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E5796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6E6BC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3 650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29C6E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C141D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06F95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97851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зміни клімату</w:t>
            </w:r>
          </w:p>
        </w:tc>
      </w:tr>
      <w:tr w:rsidR="0077465E" w:rsidRPr="0077465E" w14:paraId="16EB641D" w14:textId="77777777" w:rsidTr="00314A5E">
        <w:trPr>
          <w:trHeight w:val="186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DF4AD3"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5.7.</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4639D3"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пішохідної інфраструктури у громаді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251DD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Пішохідний та велорух</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F6477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Проведення поточних та капітальних ремонтів тротуарного покриття, влаштування пішохідної інфраструктури – урни, лавочки, засоби обмеження доступу авто на пішохідні доріжки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20D7B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МТД</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00F48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транспорту та зв’язку,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B2BA5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A34B6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28 800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90D0A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5 512</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A0E0B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D9D51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1 472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D018D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55A8F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40537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CFC5F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зміни клімату</w:t>
            </w:r>
          </w:p>
        </w:tc>
      </w:tr>
      <w:tr w:rsidR="0077465E" w:rsidRPr="0077465E" w14:paraId="5C69B124" w14:textId="77777777" w:rsidTr="00314A5E">
        <w:trPr>
          <w:trHeight w:val="300"/>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6C60E9"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«Транспорт»</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CEA335"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300 110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581CEB"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824 186</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5A3617"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37 669</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D9FE93"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082EA9"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13 733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F2DA6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B115B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9B73E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B993D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3BC2A067" w14:textId="77777777" w:rsidTr="00314A5E">
        <w:trPr>
          <w:trHeight w:val="300"/>
        </w:trPr>
        <w:tc>
          <w:tcPr>
            <w:tcW w:w="14176" w:type="dxa"/>
            <w:gridSpan w:val="14"/>
            <w:tcBorders>
              <w:top w:val="single" w:sz="4" w:space="0" w:color="auto"/>
              <w:left w:val="single" w:sz="4" w:space="0" w:color="000000"/>
              <w:bottom w:val="single" w:sz="4" w:space="0" w:color="auto"/>
              <w:right w:val="single" w:sz="4" w:space="0" w:color="000000"/>
            </w:tcBorders>
            <w:shd w:val="clear" w:color="000000" w:fill="F2F2F2"/>
            <w:tcMar>
              <w:left w:w="28" w:type="dxa"/>
              <w:right w:w="28" w:type="dxa"/>
            </w:tcMar>
            <w:vAlign w:val="center"/>
            <w:hideMark/>
          </w:tcPr>
          <w:p w14:paraId="5DBD8C97"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lastRenderedPageBreak/>
              <w:t>6. Місцеве виробництво електроенергії</w:t>
            </w:r>
          </w:p>
        </w:tc>
        <w:tc>
          <w:tcPr>
            <w:tcW w:w="1276" w:type="dxa"/>
            <w:tcBorders>
              <w:top w:val="single" w:sz="4" w:space="0" w:color="auto"/>
              <w:left w:val="nil"/>
              <w:bottom w:val="single" w:sz="4" w:space="0" w:color="auto"/>
              <w:right w:val="single" w:sz="4" w:space="0" w:color="000000"/>
            </w:tcBorders>
            <w:shd w:val="clear" w:color="000000" w:fill="F2F2F2"/>
            <w:tcMar>
              <w:left w:w="28" w:type="dxa"/>
              <w:right w:w="28" w:type="dxa"/>
            </w:tcMar>
            <w:vAlign w:val="center"/>
            <w:hideMark/>
          </w:tcPr>
          <w:p w14:paraId="4BC766E1"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 </w:t>
            </w:r>
          </w:p>
        </w:tc>
      </w:tr>
      <w:tr w:rsidR="0077465E" w:rsidRPr="0077465E" w14:paraId="43845FDA" w14:textId="77777777" w:rsidTr="00314A5E">
        <w:trPr>
          <w:trHeight w:val="156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90610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E6A8E0"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Реалізація потенціалу малої гідроенергетики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E96BB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Гідроенергетика</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D66396"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Будівництво гідроелектростанцій на існуючих гідротехнічних спорудах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B740F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451F6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 управління комунального господарства</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D25EB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29 200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87E04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94 900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B3E92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050D9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E7DE3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352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455E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59FCC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435B9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CE4D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48B86C24" w14:textId="77777777" w:rsidTr="00314A5E">
        <w:trPr>
          <w:trHeight w:val="72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5E142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38BDFD"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Реалізація потенціалу вітроенергетики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DD833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Вітроенергетика</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002C9F"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Визначення потенціалу та впровадження вітрової енергетики на території громади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BCC6D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24582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57BA2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8D0AC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1 680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E2B53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4E67F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52 440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F7C4B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30 730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42E46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41B65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FCD67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BB4E5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7F2BDFAA" w14:textId="77777777" w:rsidTr="00314A5E">
        <w:trPr>
          <w:trHeight w:val="1425"/>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197E7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6.3.</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1474F6"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Реалізації потенціалу сонячної енергетики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D7FF3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Фотовольтаіка</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67F3B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Будівництво сонячної електростанції загальною потужністю до 10 МВт</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FDBFE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B79D2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15407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56871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15 000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888AB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3E6BE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12 800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BEDD4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7 501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3ADA0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CA5EE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A8D95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Призупинено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A74C6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17A7F958" w14:textId="77777777" w:rsidTr="00314A5E">
        <w:trPr>
          <w:trHeight w:val="120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30768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6.4.</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3F863C"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Встановлення фотовольтаічних систем на приватних житлових будинках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0D954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Фотовольтаіка</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2554DC"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Встановлення наземних та дахових СЕС на приватних житлових будинках та прибудинкових ділянках</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35440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7EAA2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Власники приватних будинків</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52D1E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85 100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4B005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207 356</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59657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959DB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6 800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CFF3A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3 985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C44CA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BC7DF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39B03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2A2A5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Подолання енергетичної бідності</w:t>
            </w:r>
          </w:p>
        </w:tc>
      </w:tr>
      <w:tr w:rsidR="0077465E" w:rsidRPr="0077465E" w14:paraId="1EEFE24B" w14:textId="77777777" w:rsidTr="00314A5E">
        <w:trPr>
          <w:trHeight w:val="120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156A5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6.5.</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9DE02E"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Резервна генерація електроенергії</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AE044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Інше (резервна генерація)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E5E64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Використання електрогенераторів на біо- паливі в умовах відключення централізованого електропостачання</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C072F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 інші кошти</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07055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Комунальні підприємства</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64700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2AE12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0CBE3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E9C8B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C565E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E21CF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7DFA5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FA71F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F2E2B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275C1643" w14:textId="77777777" w:rsidTr="00314A5E">
        <w:trPr>
          <w:trHeight w:val="270"/>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C914FC"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«Місцеве виробництво електроенергії»</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36FB2A"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114 300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4E3839"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318 936</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CFC4D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C02A2E"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72 640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1EDCBC"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42 567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06F0B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4D5CD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EFA56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AA5A6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079101BE" w14:textId="77777777" w:rsidTr="00314A5E">
        <w:trPr>
          <w:trHeight w:val="300"/>
        </w:trPr>
        <w:tc>
          <w:tcPr>
            <w:tcW w:w="14176" w:type="dxa"/>
            <w:gridSpan w:val="14"/>
            <w:tcBorders>
              <w:top w:val="single" w:sz="4" w:space="0" w:color="auto"/>
              <w:left w:val="single" w:sz="4" w:space="0" w:color="000000"/>
              <w:bottom w:val="single" w:sz="4" w:space="0" w:color="auto"/>
              <w:right w:val="single" w:sz="4" w:space="0" w:color="000000"/>
            </w:tcBorders>
            <w:shd w:val="clear" w:color="000000" w:fill="F2F2F2"/>
            <w:tcMar>
              <w:left w:w="28" w:type="dxa"/>
              <w:right w:w="28" w:type="dxa"/>
            </w:tcMar>
            <w:vAlign w:val="center"/>
            <w:hideMark/>
          </w:tcPr>
          <w:p w14:paraId="12CEDC30"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7. Місцеве виробництво тепла/холоду</w:t>
            </w:r>
          </w:p>
        </w:tc>
        <w:tc>
          <w:tcPr>
            <w:tcW w:w="1276" w:type="dxa"/>
            <w:tcBorders>
              <w:top w:val="single" w:sz="4" w:space="0" w:color="auto"/>
              <w:left w:val="nil"/>
              <w:bottom w:val="single" w:sz="4" w:space="0" w:color="auto"/>
              <w:right w:val="single" w:sz="4" w:space="0" w:color="000000"/>
            </w:tcBorders>
            <w:shd w:val="clear" w:color="000000" w:fill="F2F2F2"/>
            <w:tcMar>
              <w:left w:w="28" w:type="dxa"/>
              <w:right w:w="28" w:type="dxa"/>
            </w:tcMar>
            <w:vAlign w:val="center"/>
            <w:hideMark/>
          </w:tcPr>
          <w:p w14:paraId="24E1DABB"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 </w:t>
            </w:r>
          </w:p>
        </w:tc>
      </w:tr>
      <w:tr w:rsidR="0077465E" w:rsidRPr="0077465E" w14:paraId="5F98DBDC" w14:textId="77777777" w:rsidTr="00314A5E">
        <w:trPr>
          <w:trHeight w:val="3345"/>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FC864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7.1.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B82ABB"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інноваційних технологій в системі теплопостачання міста Житомира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4C391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Комбінована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36726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Створення енергоефективного житлового кварталу (Домбровського, 30): заміна котлів НІІСТУ-5 на конденсаційні котли, заміна теплових мереж, встановлення  теплового насосу</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CEE36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КП «ЖТКЕ», NEFCO, SIDA</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F6E36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"ЖТКЕ"</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7E990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19 284</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C0396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19 284</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677B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2 032</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0C62A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115</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30FD3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620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6F772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3A1DC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945D1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C4FFD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128CA688" w14:textId="77777777" w:rsidTr="00314A5E">
        <w:trPr>
          <w:trHeight w:val="216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377C9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B25A8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Розвиток системи теплопостачання міста Житомира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47F26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Комбінована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2BB2A2"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теплових мереж на попередньоізольовані; реконструкція центральних теплових пунктів; встановлення котлів на альтернативних видах палива; заміна котлів НІІСТУ-5, впровадження когенераційних технологій з використанням біомаси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70E0C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МФО, кредит ЄБРР, інші джерела фінансування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6CB3D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"ЖТКЕ"</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3B649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250 320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8EE4D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480 000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EF2E0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12 217</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C6B04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2 443</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65111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4 237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4DB13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95641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2026</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2E055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90013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2FE60DCF" w14:textId="77777777" w:rsidTr="00314A5E">
        <w:trPr>
          <w:trHeight w:val="192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DD5E5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7.3</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77F1A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"Енергоефективність в місті Житомирі"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7ECEF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Комбінована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D79DA5"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Заміна теплових мереж, реконструкція котелень, встановлення когенераційних технологій з використанням біомаси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C7A5B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МФО, грант "SECO", інші джерела фінансування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2C86F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"ЖТКЕ"</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4186E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468 480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E0D3A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468 480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23E2E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9 176</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C4140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1 835</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412A3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3 182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FE038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DA5A0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2024</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CFF3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9687D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1A46B4DD" w14:textId="77777777" w:rsidTr="00314A5E">
        <w:trPr>
          <w:trHeight w:val="1515"/>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AC9BB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lastRenderedPageBreak/>
              <w:t>7.4</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DE62F8"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Побудова ТЕЦ, що працює на твердому вiдновлюваному паливi (SRF) та деревній трiсці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87935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Комбінована дія</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2D5DBB"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Побудова ТЕЦ, будівництво магістральних трубопроводів, підведення інженерних мереж</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71ADF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2ADCA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комунального господарства, КП "ЖТКЕ"</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60C8C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03D575"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1 750 000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20CEC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AAA4D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26 380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832E3D"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7 600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91BB5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CCE90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2030</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136A2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DC737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w:t>
            </w:r>
          </w:p>
        </w:tc>
      </w:tr>
      <w:tr w:rsidR="0077465E" w:rsidRPr="0077465E" w14:paraId="080D22D5" w14:textId="77777777" w:rsidTr="00314A5E">
        <w:trPr>
          <w:trHeight w:val="270"/>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9535EA"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«Місцеве виробництво тепла/холоду»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420B40"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738 084</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B68DC3"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967 764</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6940D1"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23 425</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E856A3"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30 773</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507458"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15 639</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8C3899"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641D4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C2E7A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3DF5D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7DF5A792" w14:textId="77777777" w:rsidTr="00314A5E">
        <w:trPr>
          <w:trHeight w:val="300"/>
        </w:trPr>
        <w:tc>
          <w:tcPr>
            <w:tcW w:w="15452" w:type="dxa"/>
            <w:gridSpan w:val="15"/>
            <w:tcBorders>
              <w:top w:val="single" w:sz="4" w:space="0" w:color="auto"/>
              <w:left w:val="single" w:sz="4" w:space="0" w:color="000000"/>
              <w:bottom w:val="single" w:sz="4" w:space="0" w:color="auto"/>
              <w:right w:val="single" w:sz="4" w:space="0" w:color="000000"/>
            </w:tcBorders>
            <w:shd w:val="clear" w:color="000000" w:fill="D9D9D9"/>
            <w:tcMar>
              <w:left w:w="28" w:type="dxa"/>
              <w:right w:w="28" w:type="dxa"/>
            </w:tcMar>
            <w:vAlign w:val="center"/>
            <w:hideMark/>
          </w:tcPr>
          <w:p w14:paraId="7AFE043E" w14:textId="77777777" w:rsidR="0077465E" w:rsidRPr="0077465E" w:rsidRDefault="0077465E" w:rsidP="0077465E">
            <w:pPr>
              <w:spacing w:after="0" w:line="240" w:lineRule="auto"/>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8. Управління відходами</w:t>
            </w:r>
          </w:p>
        </w:tc>
      </w:tr>
      <w:tr w:rsidR="0077465E" w:rsidRPr="0077465E" w14:paraId="5329D9F3" w14:textId="77777777" w:rsidTr="00314A5E">
        <w:trPr>
          <w:trHeight w:val="144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2A7F5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8.1.</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648E83"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Впровадження системи ефективного управління відходами та їх глибокої утилізації</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BC2A3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відходами</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ACEFF9"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Будівництво високотехнологічного сміттєпереробного заводу</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F1BC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Бюджет громади, приватні інвестиції, МТД, МФО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5A09C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житлового господарства, департамент економічного розвитку</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36A2D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48 000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12C44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72 000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001F3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8 880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BAA23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8 880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EE60B6"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5 204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01179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F1A2F0"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2024</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04B0C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79FF534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Адаптація до змін клімату</w:t>
            </w:r>
          </w:p>
        </w:tc>
      </w:tr>
      <w:tr w:rsidR="0077465E" w:rsidRPr="0077465E" w14:paraId="5EC6E65B" w14:textId="77777777" w:rsidTr="00314A5E">
        <w:trPr>
          <w:trHeight w:val="960"/>
        </w:trPr>
        <w:tc>
          <w:tcPr>
            <w:tcW w:w="56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9B2A8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8.2.</w:t>
            </w:r>
          </w:p>
        </w:tc>
        <w:tc>
          <w:tcPr>
            <w:tcW w:w="15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BA4791"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Дегазація полігону ТПВ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586211"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Управління відходами</w:t>
            </w:r>
          </w:p>
        </w:tc>
        <w:tc>
          <w:tcPr>
            <w:tcW w:w="2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B6D83A" w14:textId="77777777" w:rsidR="0077465E" w:rsidRPr="0077465E" w:rsidRDefault="0077465E" w:rsidP="0077465E">
            <w:pPr>
              <w:spacing w:after="0" w:line="240" w:lineRule="auto"/>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Збір та утилізація звалищного газу, будівництво електрогенеруючої установки на полігоні ТПВ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920FCC"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приватні інвестиції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74E013"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Приватний інвестор ТОВ «ЛНК»</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C5000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9E350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65216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BEB69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2 000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70BB92"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55 000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D8804A"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BE962F"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2015</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947A4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Виконано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24546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5EDA1F2F" w14:textId="77777777" w:rsidTr="00314A5E">
        <w:trPr>
          <w:trHeight w:val="300"/>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80237A"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Всього по розділу «Управління відходами»</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DDC0CF"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48 000</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3A9598"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72 000</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89E49A"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8 880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13AF81"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10 880</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40AD3F"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18"/>
              </w:rPr>
            </w:pPr>
            <w:r w:rsidRPr="0077465E">
              <w:rPr>
                <w:rFonts w:ascii="Times New Roman" w:eastAsia="Times New Roman" w:hAnsi="Times New Roman" w:cs="Times New Roman"/>
                <w:b/>
                <w:bCs/>
                <w:color w:val="000000"/>
                <w:sz w:val="20"/>
                <w:szCs w:val="18"/>
              </w:rPr>
              <w:t>60 204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432B5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E39B0E"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78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C01CC4"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1C32EB"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18"/>
              </w:rPr>
            </w:pPr>
            <w:r w:rsidRPr="0077465E">
              <w:rPr>
                <w:rFonts w:ascii="Times New Roman" w:eastAsia="Times New Roman" w:hAnsi="Times New Roman" w:cs="Times New Roman"/>
                <w:color w:val="000000"/>
                <w:sz w:val="20"/>
                <w:szCs w:val="18"/>
              </w:rPr>
              <w:t>Х</w:t>
            </w:r>
          </w:p>
        </w:tc>
      </w:tr>
      <w:tr w:rsidR="0077465E" w:rsidRPr="0077465E" w14:paraId="239F5465" w14:textId="77777777" w:rsidTr="00314A5E">
        <w:trPr>
          <w:trHeight w:val="405"/>
        </w:trPr>
        <w:tc>
          <w:tcPr>
            <w:tcW w:w="7750" w:type="dxa"/>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EB48A7" w14:textId="77777777" w:rsidR="0077465E" w:rsidRPr="0077465E" w:rsidRDefault="0077465E" w:rsidP="0077465E">
            <w:pPr>
              <w:spacing w:after="0" w:line="240" w:lineRule="auto"/>
              <w:jc w:val="right"/>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Разом по Плану заходів з пом’якшення наслідків зміни клімату на період 2011-2030</w:t>
            </w:r>
          </w:p>
        </w:tc>
        <w:tc>
          <w:tcPr>
            <w:tcW w:w="85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4F352B"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2 836 397</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B767E5"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15 552 684</w:t>
            </w:r>
          </w:p>
        </w:tc>
        <w:tc>
          <w:tcPr>
            <w:tcW w:w="10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199BA6"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577 806</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518E2"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124 593</w:t>
            </w:r>
          </w:p>
        </w:tc>
        <w:tc>
          <w:tcPr>
            <w:tcW w:w="7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4846F5" w14:textId="77777777" w:rsidR="0077465E" w:rsidRPr="0077465E" w:rsidRDefault="0077465E" w:rsidP="0077465E">
            <w:pPr>
              <w:spacing w:after="0" w:line="240" w:lineRule="auto"/>
              <w:jc w:val="center"/>
              <w:rPr>
                <w:rFonts w:ascii="Times New Roman" w:eastAsia="Times New Roman" w:hAnsi="Times New Roman" w:cs="Times New Roman"/>
                <w:b/>
                <w:bCs/>
                <w:color w:val="000000"/>
                <w:sz w:val="20"/>
                <w:szCs w:val="20"/>
              </w:rPr>
            </w:pPr>
            <w:r w:rsidRPr="0077465E">
              <w:rPr>
                <w:rFonts w:ascii="Times New Roman" w:eastAsia="Times New Roman" w:hAnsi="Times New Roman" w:cs="Times New Roman"/>
                <w:b/>
                <w:bCs/>
                <w:color w:val="000000"/>
                <w:sz w:val="20"/>
                <w:szCs w:val="20"/>
              </w:rPr>
              <w:t>287 360</w:t>
            </w:r>
          </w:p>
        </w:tc>
        <w:tc>
          <w:tcPr>
            <w:tcW w:w="2201" w:type="dxa"/>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D6E8F7"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20"/>
              </w:rPr>
            </w:pPr>
            <w:r w:rsidRPr="0077465E">
              <w:rPr>
                <w:rFonts w:ascii="Times New Roman" w:eastAsia="Times New Roman" w:hAnsi="Times New Roman" w:cs="Times New Roman"/>
                <w:color w:val="000000"/>
                <w:sz w:val="20"/>
                <w:szCs w:val="20"/>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B41BE8" w14:textId="77777777" w:rsidR="0077465E" w:rsidRPr="0077465E" w:rsidRDefault="0077465E" w:rsidP="0077465E">
            <w:pPr>
              <w:spacing w:after="0" w:line="240" w:lineRule="auto"/>
              <w:jc w:val="center"/>
              <w:rPr>
                <w:rFonts w:ascii="Times New Roman" w:eastAsia="Times New Roman" w:hAnsi="Times New Roman" w:cs="Times New Roman"/>
                <w:color w:val="000000"/>
                <w:sz w:val="20"/>
                <w:szCs w:val="20"/>
              </w:rPr>
            </w:pPr>
            <w:r w:rsidRPr="0077465E">
              <w:rPr>
                <w:rFonts w:ascii="Times New Roman" w:eastAsia="Times New Roman" w:hAnsi="Times New Roman" w:cs="Times New Roman"/>
                <w:color w:val="000000"/>
                <w:sz w:val="20"/>
                <w:szCs w:val="20"/>
              </w:rPr>
              <w:t>Х</w:t>
            </w:r>
          </w:p>
        </w:tc>
      </w:tr>
    </w:tbl>
    <w:p w14:paraId="32757A9D" w14:textId="77777777" w:rsidR="0077465E" w:rsidRDefault="0077465E" w:rsidP="0077465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
    <w:p w14:paraId="5FED9D4B" w14:textId="77777777" w:rsidR="00987269" w:rsidRDefault="00987269" w:rsidP="00987269">
      <w:pPr>
        <w:jc w:val="right"/>
        <w:rPr>
          <w:rFonts w:ascii="Times New Roman" w:eastAsia="Times New Roman" w:hAnsi="Times New Roman" w:cs="Times New Roman"/>
          <w:sz w:val="24"/>
          <w:szCs w:val="24"/>
        </w:rPr>
      </w:pPr>
    </w:p>
    <w:p w14:paraId="39B8324B" w14:textId="77777777" w:rsidR="00987269" w:rsidRPr="00987269" w:rsidRDefault="00987269" w:rsidP="00987269">
      <w:pPr>
        <w:rPr>
          <w:rFonts w:ascii="Times New Roman" w:eastAsia="Times New Roman" w:hAnsi="Times New Roman" w:cs="Times New Roman"/>
          <w:sz w:val="24"/>
          <w:szCs w:val="24"/>
        </w:rPr>
      </w:pPr>
    </w:p>
    <w:p w14:paraId="6A6E3E3C" w14:textId="77777777" w:rsidR="00987269" w:rsidRDefault="00987269" w:rsidP="00987269">
      <w:pPr>
        <w:tabs>
          <w:tab w:val="left" w:pos="8325"/>
        </w:tabs>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22567F95" w14:textId="77777777" w:rsidR="00C82386" w:rsidRPr="00987269" w:rsidRDefault="00987269" w:rsidP="00987269">
      <w:pPr>
        <w:tabs>
          <w:tab w:val="left" w:pos="8325"/>
        </w:tabs>
        <w:rPr>
          <w:rFonts w:ascii="Times New Roman" w:eastAsia="Times New Roman" w:hAnsi="Times New Roman" w:cs="Times New Roman"/>
          <w:sz w:val="24"/>
          <w:szCs w:val="24"/>
        </w:rPr>
        <w:sectPr w:rsidR="00C82386" w:rsidRPr="00987269">
          <w:pgSz w:w="16838" w:h="11906" w:orient="landscape"/>
          <w:pgMar w:top="1560" w:right="1134" w:bottom="851" w:left="1134" w:header="709" w:footer="709" w:gutter="0"/>
          <w:cols w:space="720"/>
        </w:sectPr>
      </w:pPr>
      <w:r>
        <w:rPr>
          <w:rFonts w:ascii="Times New Roman" w:eastAsia="Times New Roman" w:hAnsi="Times New Roman" w:cs="Times New Roman"/>
          <w:sz w:val="24"/>
          <w:szCs w:val="24"/>
        </w:rPr>
        <w:tab/>
      </w:r>
    </w:p>
    <w:p w14:paraId="6B692D4D" w14:textId="77777777" w:rsidR="00C82386" w:rsidRDefault="00E66F64">
      <w:pPr>
        <w:keepNext/>
        <w:keepLines/>
        <w:numPr>
          <w:ilvl w:val="1"/>
          <w:numId w:val="25"/>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61" w:name="_heading=h.3cqmetx" w:colFirst="0" w:colLast="0"/>
      <w:bookmarkEnd w:id="61"/>
      <w:r>
        <w:rPr>
          <w:rFonts w:ascii="Times New Roman" w:eastAsia="Times New Roman" w:hAnsi="Times New Roman" w:cs="Times New Roman"/>
          <w:b/>
          <w:color w:val="000000"/>
          <w:sz w:val="24"/>
          <w:szCs w:val="24"/>
        </w:rPr>
        <w:lastRenderedPageBreak/>
        <w:t>Ключові заходи з пом’якшення</w:t>
      </w:r>
    </w:p>
    <w:p w14:paraId="3CFBC953" w14:textId="77777777" w:rsidR="00C82386" w:rsidRPr="00A11685" w:rsidRDefault="00E66F64">
      <w:pPr>
        <w:spacing w:after="0"/>
        <w:rPr>
          <w:rFonts w:ascii="Times New Roman" w:eastAsia="Times New Roman" w:hAnsi="Times New Roman" w:cs="Times New Roman"/>
          <w:color w:val="000000"/>
          <w:sz w:val="24"/>
          <w:szCs w:val="24"/>
          <w:shd w:val="clear" w:color="auto" w:fill="FFFF99"/>
        </w:rPr>
      </w:pPr>
      <w:r>
        <w:rPr>
          <w:rFonts w:ascii="Times New Roman" w:eastAsia="Times New Roman" w:hAnsi="Times New Roman" w:cs="Times New Roman"/>
          <w:b/>
          <w:sz w:val="24"/>
          <w:szCs w:val="24"/>
        </w:rPr>
        <w:t>Ключовий захід # 1.</w:t>
      </w:r>
      <w:r>
        <w:rPr>
          <w:rFonts w:ascii="Times New Roman" w:eastAsia="Times New Roman" w:hAnsi="Times New Roman" w:cs="Times New Roman"/>
          <w:sz w:val="24"/>
          <w:szCs w:val="24"/>
        </w:rPr>
        <w:t xml:space="preserve"> </w:t>
      </w:r>
      <w:r w:rsidR="0020014E" w:rsidRPr="0020014E">
        <w:rPr>
          <w:rFonts w:ascii="Times New Roman" w:eastAsia="Times New Roman" w:hAnsi="Times New Roman" w:cs="Times New Roman"/>
          <w:color w:val="000000"/>
          <w:sz w:val="24"/>
          <w:szCs w:val="24"/>
          <w:u w:val="single"/>
          <w:shd w:val="clear" w:color="auto" w:fill="FFFF99"/>
        </w:rPr>
        <w:t>Будівництво ТЕЦ на біомасі на основі циклу Ренкіна (</w:t>
      </w:r>
      <w:r w:rsidR="0020014E" w:rsidRPr="0020014E">
        <w:rPr>
          <w:rFonts w:ascii="Times New Roman" w:eastAsia="Times New Roman" w:hAnsi="Times New Roman" w:cs="Times New Roman"/>
          <w:color w:val="000000"/>
          <w:sz w:val="24"/>
          <w:szCs w:val="24"/>
          <w:u w:val="single"/>
          <w:shd w:val="clear" w:color="auto" w:fill="FFFF99"/>
          <w:lang w:val="en-US"/>
        </w:rPr>
        <w:t>SECO</w:t>
      </w:r>
      <w:r w:rsidR="0020014E" w:rsidRPr="0020014E">
        <w:rPr>
          <w:rFonts w:ascii="Times New Roman" w:eastAsia="Times New Roman" w:hAnsi="Times New Roman" w:cs="Times New Roman"/>
          <w:color w:val="000000"/>
          <w:sz w:val="24"/>
          <w:szCs w:val="24"/>
          <w:u w:val="single"/>
          <w:shd w:val="clear" w:color="auto" w:fill="FFFF99"/>
        </w:rPr>
        <w:t>)</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547"/>
        <w:gridCol w:w="2499"/>
        <w:gridCol w:w="4858"/>
      </w:tblGrid>
      <w:tr w:rsidR="00A11685" w:rsidRPr="00340006" w14:paraId="155F914F" w14:textId="77777777" w:rsidTr="0020014E">
        <w:trPr>
          <w:trHeight w:val="582"/>
        </w:trPr>
        <w:tc>
          <w:tcPr>
            <w:tcW w:w="1951" w:type="dxa"/>
            <w:shd w:val="clear" w:color="auto" w:fill="D9D9D9"/>
            <w:vAlign w:val="center"/>
          </w:tcPr>
          <w:p w14:paraId="226753CA"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Показники проєкту</w:t>
            </w:r>
          </w:p>
        </w:tc>
        <w:tc>
          <w:tcPr>
            <w:tcW w:w="7904" w:type="dxa"/>
            <w:gridSpan w:val="3"/>
            <w:shd w:val="clear" w:color="auto" w:fill="D9D9D9"/>
            <w:vAlign w:val="center"/>
          </w:tcPr>
          <w:p w14:paraId="71062FAA"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Значення</w:t>
            </w:r>
          </w:p>
        </w:tc>
      </w:tr>
      <w:tr w:rsidR="00A11685" w:rsidRPr="004B07A1" w14:paraId="4B7DC20E" w14:textId="77777777" w:rsidTr="0020014E">
        <w:tc>
          <w:tcPr>
            <w:tcW w:w="1951" w:type="dxa"/>
            <w:vAlign w:val="center"/>
          </w:tcPr>
          <w:p w14:paraId="0E56439E"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Назва проєкту</w:t>
            </w:r>
          </w:p>
        </w:tc>
        <w:tc>
          <w:tcPr>
            <w:tcW w:w="7904" w:type="dxa"/>
            <w:gridSpan w:val="3"/>
            <w:shd w:val="clear" w:color="auto" w:fill="FFFF99"/>
            <w:vAlign w:val="center"/>
          </w:tcPr>
          <w:p w14:paraId="1E6CB58E" w14:textId="77777777" w:rsidR="00A11685" w:rsidRPr="00F81BFB" w:rsidRDefault="00A11685" w:rsidP="0020014E">
            <w:pPr>
              <w:jc w:val="both"/>
              <w:rPr>
                <w:rFonts w:ascii="Times New Roman" w:eastAsia="Times New Roman" w:hAnsi="Times New Roman" w:cs="Times New Roman"/>
                <w:color w:val="000000"/>
                <w:sz w:val="24"/>
                <w:szCs w:val="24"/>
              </w:rPr>
            </w:pPr>
            <w:r w:rsidRPr="004E1636">
              <w:rPr>
                <w:rFonts w:ascii="Times New Roman" w:eastAsia="Times New Roman" w:hAnsi="Times New Roman" w:cs="Times New Roman"/>
                <w:color w:val="000000"/>
                <w:sz w:val="24"/>
                <w:szCs w:val="24"/>
              </w:rPr>
              <w:t>«Енергоефективність в м. Житомир»</w:t>
            </w:r>
          </w:p>
        </w:tc>
      </w:tr>
      <w:tr w:rsidR="00A11685" w:rsidRPr="004B07A1" w14:paraId="19B3B856" w14:textId="77777777" w:rsidTr="0020014E">
        <w:trPr>
          <w:trHeight w:val="557"/>
        </w:trPr>
        <w:tc>
          <w:tcPr>
            <w:tcW w:w="1951" w:type="dxa"/>
            <w:vAlign w:val="center"/>
          </w:tcPr>
          <w:p w14:paraId="328A7924"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Опис проєкту</w:t>
            </w:r>
          </w:p>
          <w:p w14:paraId="05561CB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i/>
                <w:color w:val="000000"/>
                <w:sz w:val="24"/>
                <w:szCs w:val="24"/>
              </w:rPr>
              <w:t>(до 300 слів)</w:t>
            </w:r>
          </w:p>
        </w:tc>
        <w:tc>
          <w:tcPr>
            <w:tcW w:w="7904" w:type="dxa"/>
            <w:gridSpan w:val="3"/>
            <w:shd w:val="clear" w:color="auto" w:fill="FFFF99"/>
            <w:vAlign w:val="center"/>
          </w:tcPr>
          <w:p w14:paraId="53977822" w14:textId="77777777" w:rsidR="00A11685" w:rsidRPr="004E1636" w:rsidRDefault="00A11685" w:rsidP="004E1636">
            <w:pPr>
              <w:jc w:val="both"/>
              <w:rPr>
                <w:rFonts w:ascii="Times New Roman" w:eastAsia="Times New Roman" w:hAnsi="Times New Roman" w:cs="Times New Roman"/>
                <w:color w:val="000000"/>
                <w:sz w:val="24"/>
                <w:szCs w:val="24"/>
              </w:rPr>
            </w:pPr>
            <w:r w:rsidRPr="004E1636">
              <w:rPr>
                <w:rFonts w:ascii="Times New Roman" w:eastAsia="Times New Roman" w:hAnsi="Times New Roman" w:cs="Times New Roman"/>
                <w:color w:val="000000"/>
                <w:sz w:val="24"/>
                <w:szCs w:val="24"/>
              </w:rPr>
              <w:t>Відповідно до Рамкової Угоди між Урядом Швейцарської Конфедерації та Урядом України про технічне та фінансове співробітництво, яку було укладено та підписано у м. Києві 13 жовтня 1997 року та ратифіковано Законом України від 14 травня 1999 року «Про ратифікацію Угоди між Урядом України і Урядом Швейцарської Конфедерації про технічне та фінансове співробітництво» та відповідно до рішення сесії Житомирської міської ради від 23.04.2015 р. № 887 «Про підтримку реалізації проєкту «Енергоефективність у м. Житомирі», між Державним секретаріатом з економічних питань Швейцарської Конфедерації, Міністерством регіонального розвитку, будівництва та житлово-комунального господарства України, містом Житомир та комунальним підприємством «Житомиртеплокомуненерго» Житомирської міської ради (КП «ЖТКЕ») 07.05.2015 р. було укладено Меморандум про взаєморозуміння щодо надання технічної та фінансової допомоги для проєкту з енергоефективності у м. Житомир.</w:t>
            </w:r>
          </w:p>
          <w:p w14:paraId="74E89547" w14:textId="77777777" w:rsidR="00A11685" w:rsidRPr="00C67AC9" w:rsidRDefault="00A11685" w:rsidP="004E1636">
            <w:pPr>
              <w:jc w:val="both"/>
              <w:rPr>
                <w:highlight w:val="yellow"/>
              </w:rPr>
            </w:pPr>
            <w:r w:rsidRPr="004E1636">
              <w:rPr>
                <w:rFonts w:ascii="Times New Roman" w:eastAsia="Times New Roman" w:hAnsi="Times New Roman" w:cs="Times New Roman"/>
                <w:color w:val="000000"/>
                <w:sz w:val="24"/>
                <w:szCs w:val="24"/>
              </w:rPr>
              <w:t>В рамках інвестиційного компоненту проєкту  «Енергоефективність в м. Житомир» було проведено реконструкцію районної котельні РК-10 шляхом встановлення термодинамічної установки органічного циклу Ренкіна (паливо-тріска деревини).  У 2021 році ввело в експлуатацію ТЕЦ (із термодинамічною установкою органічного циклу Ренкіна) на біомасі потужністю 7,1 МВт теплової та 1,2 МВт електричної енергії що дозволяє замістити 6,3 млн м3/рік природного газу.  Котельня працює на місцевому альтернативному виді палива – трісці деревини та інших відходах деревообробної промисловості.</w:t>
            </w:r>
          </w:p>
        </w:tc>
      </w:tr>
      <w:tr w:rsidR="00A11685" w:rsidRPr="004B07A1" w14:paraId="49F02E18" w14:textId="77777777" w:rsidTr="0020014E">
        <w:tc>
          <w:tcPr>
            <w:tcW w:w="1951" w:type="dxa"/>
            <w:vAlign w:val="center"/>
          </w:tcPr>
          <w:p w14:paraId="1EB3725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Метод фінансування</w:t>
            </w:r>
          </w:p>
        </w:tc>
        <w:tc>
          <w:tcPr>
            <w:tcW w:w="7904" w:type="dxa"/>
            <w:gridSpan w:val="3"/>
            <w:shd w:val="clear" w:color="auto" w:fill="FFFF99"/>
            <w:vAlign w:val="center"/>
          </w:tcPr>
          <w:p w14:paraId="6535544E" w14:textId="77777777" w:rsidR="00A11685" w:rsidRPr="00F81BFB" w:rsidRDefault="0020014E" w:rsidP="0020014E">
            <w:pPr>
              <w:spacing w:before="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w:t>
            </w:r>
            <w:r w:rsidR="00A11685" w:rsidRPr="0020014E">
              <w:rPr>
                <w:rFonts w:ascii="Times New Roman" w:eastAsia="Times New Roman" w:hAnsi="Times New Roman" w:cs="Times New Roman"/>
                <w:color w:val="000000"/>
                <w:sz w:val="24"/>
                <w:szCs w:val="24"/>
              </w:rPr>
              <w:t xml:space="preserve">езповоротна технічна допомога Уряду Швейцарії, </w:t>
            </w:r>
            <w:r>
              <w:rPr>
                <w:rFonts w:ascii="Times New Roman" w:eastAsia="Times New Roman" w:hAnsi="Times New Roman" w:cs="Times New Roman"/>
                <w:color w:val="000000"/>
                <w:sz w:val="24"/>
                <w:szCs w:val="24"/>
              </w:rPr>
              <w:t>бюджет громади</w:t>
            </w:r>
          </w:p>
        </w:tc>
      </w:tr>
      <w:tr w:rsidR="00A11685" w:rsidRPr="004B07A1" w14:paraId="79B1BC70" w14:textId="77777777" w:rsidTr="0020014E">
        <w:tc>
          <w:tcPr>
            <w:tcW w:w="1951" w:type="dxa"/>
            <w:vAlign w:val="center"/>
          </w:tcPr>
          <w:p w14:paraId="1E252EEE"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Відповідальні за впровадження</w:t>
            </w:r>
          </w:p>
        </w:tc>
        <w:tc>
          <w:tcPr>
            <w:tcW w:w="7904" w:type="dxa"/>
            <w:gridSpan w:val="3"/>
            <w:shd w:val="clear" w:color="auto" w:fill="FFFF99"/>
            <w:vAlign w:val="center"/>
          </w:tcPr>
          <w:p w14:paraId="13861CA2"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«Житомиртеплокомуненерго» Житомирської міської ради</w:t>
            </w:r>
          </w:p>
          <w:p w14:paraId="1B0520DC"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2ECA5FA1"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24C376CF" w14:textId="77777777" w:rsidR="00A11685" w:rsidRPr="004B07A1"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A11685" w:rsidRPr="004B07A1" w14:paraId="3F36FAEA" w14:textId="77777777" w:rsidTr="0020014E">
        <w:tc>
          <w:tcPr>
            <w:tcW w:w="1951" w:type="dxa"/>
            <w:vAlign w:val="center"/>
          </w:tcPr>
          <w:p w14:paraId="3296FB57"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Ефекти від впровадження</w:t>
            </w:r>
          </w:p>
        </w:tc>
        <w:tc>
          <w:tcPr>
            <w:tcW w:w="7904" w:type="dxa"/>
            <w:gridSpan w:val="3"/>
            <w:shd w:val="clear" w:color="auto" w:fill="FFFF99"/>
            <w:vAlign w:val="center"/>
          </w:tcPr>
          <w:p w14:paraId="65350CBF" w14:textId="77777777" w:rsidR="00A11685" w:rsidRPr="004B07A1" w:rsidRDefault="00A11685" w:rsidP="0020014E">
            <w:pPr>
              <w:jc w:val="both"/>
              <w:rPr>
                <w:rFonts w:ascii="Times New Roman" w:eastAsia="Times New Roman" w:hAnsi="Times New Roman" w:cs="Times New Roman"/>
                <w:color w:val="000000"/>
                <w:sz w:val="24"/>
                <w:szCs w:val="24"/>
              </w:rPr>
            </w:pPr>
            <w:r w:rsidRPr="00A11685">
              <w:rPr>
                <w:rFonts w:ascii="Times New Roman" w:eastAsia="Times New Roman" w:hAnsi="Times New Roman" w:cs="Times New Roman"/>
                <w:color w:val="000000"/>
                <w:sz w:val="24"/>
                <w:szCs w:val="24"/>
              </w:rPr>
              <w:t>73 багатоквартирних будинків у Житомирі отримують тепло від нової когенераційної станції. Заміщення природного газу до 6,4 млн м3 в рік.</w:t>
            </w:r>
          </w:p>
        </w:tc>
      </w:tr>
      <w:tr w:rsidR="00A11685" w:rsidRPr="004B07A1" w14:paraId="57EDD86A" w14:textId="77777777" w:rsidTr="0020014E">
        <w:tc>
          <w:tcPr>
            <w:tcW w:w="9855" w:type="dxa"/>
            <w:gridSpan w:val="4"/>
            <w:shd w:val="clear" w:color="auto" w:fill="F2F2F2"/>
            <w:vAlign w:val="center"/>
          </w:tcPr>
          <w:p w14:paraId="3B44C2B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Фінансові показники проєкту</w:t>
            </w:r>
          </w:p>
        </w:tc>
      </w:tr>
      <w:tr w:rsidR="00A11685" w:rsidRPr="004B07A1" w14:paraId="100F69A5" w14:textId="77777777" w:rsidTr="0020014E">
        <w:tc>
          <w:tcPr>
            <w:tcW w:w="4997" w:type="dxa"/>
            <w:gridSpan w:val="3"/>
            <w:vAlign w:val="center"/>
          </w:tcPr>
          <w:p w14:paraId="5A944BB9"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lastRenderedPageBreak/>
              <w:t>Загальна вартість проєкту, тис. грн.</w:t>
            </w:r>
          </w:p>
        </w:tc>
        <w:tc>
          <w:tcPr>
            <w:tcW w:w="4858" w:type="dxa"/>
            <w:shd w:val="clear" w:color="auto" w:fill="FFFF99"/>
            <w:vAlign w:val="center"/>
          </w:tcPr>
          <w:p w14:paraId="0629E3A8" w14:textId="77777777" w:rsidR="00A11685" w:rsidRPr="00F81BFB" w:rsidRDefault="0020014E"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290 944,0</w:t>
            </w:r>
          </w:p>
        </w:tc>
      </w:tr>
      <w:tr w:rsidR="00A11685" w:rsidRPr="004B07A1" w14:paraId="79215235" w14:textId="77777777" w:rsidTr="0020014E">
        <w:tc>
          <w:tcPr>
            <w:tcW w:w="4997" w:type="dxa"/>
            <w:gridSpan w:val="3"/>
            <w:vAlign w:val="center"/>
          </w:tcPr>
          <w:p w14:paraId="3A54889A"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Сума інвестованих коштів, тис. грн.</w:t>
            </w:r>
          </w:p>
        </w:tc>
        <w:tc>
          <w:tcPr>
            <w:tcW w:w="4858" w:type="dxa"/>
            <w:shd w:val="clear" w:color="auto" w:fill="FFFF99"/>
            <w:vAlign w:val="center"/>
          </w:tcPr>
          <w:p w14:paraId="5809557C" w14:textId="77777777" w:rsidR="00A11685" w:rsidRPr="004B07A1" w:rsidRDefault="0020014E"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290 944,0</w:t>
            </w:r>
          </w:p>
        </w:tc>
      </w:tr>
      <w:tr w:rsidR="00A11685" w:rsidRPr="004B07A1" w14:paraId="1C96B931" w14:textId="77777777" w:rsidTr="0020014E">
        <w:tc>
          <w:tcPr>
            <w:tcW w:w="4997" w:type="dxa"/>
            <w:gridSpan w:val="3"/>
            <w:vAlign w:val="center"/>
          </w:tcPr>
          <w:p w14:paraId="0E5BA52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Загальна вартість проєкту, євро</w:t>
            </w:r>
          </w:p>
        </w:tc>
        <w:tc>
          <w:tcPr>
            <w:tcW w:w="4858" w:type="dxa"/>
            <w:shd w:val="clear" w:color="auto" w:fill="FFFF99"/>
            <w:vAlign w:val="center"/>
          </w:tcPr>
          <w:p w14:paraId="6CDAAFCA" w14:textId="77777777" w:rsidR="00A11685" w:rsidRPr="004B07A1" w:rsidRDefault="006D11B1"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8 312</w:t>
            </w:r>
            <w:r>
              <w:rPr>
                <w:rFonts w:ascii="Times New Roman" w:eastAsia="Times New Roman" w:hAnsi="Times New Roman" w:cs="Times New Roman"/>
                <w:color w:val="000000"/>
                <w:sz w:val="24"/>
                <w:szCs w:val="24"/>
                <w:lang w:val="ru-RU"/>
              </w:rPr>
              <w:t> </w:t>
            </w:r>
            <w:r>
              <w:rPr>
                <w:rFonts w:ascii="Times New Roman" w:eastAsia="Times New Roman" w:hAnsi="Times New Roman" w:cs="Times New Roman"/>
                <w:color w:val="000000"/>
                <w:sz w:val="24"/>
                <w:szCs w:val="24"/>
              </w:rPr>
              <w:t>7</w:t>
            </w:r>
            <w:r>
              <w:rPr>
                <w:rFonts w:ascii="Times New Roman" w:eastAsia="Times New Roman" w:hAnsi="Times New Roman" w:cs="Times New Roman"/>
                <w:color w:val="000000"/>
                <w:sz w:val="24"/>
                <w:szCs w:val="24"/>
                <w:lang w:val="ru-RU"/>
              </w:rPr>
              <w:t>00</w:t>
            </w:r>
          </w:p>
        </w:tc>
      </w:tr>
      <w:tr w:rsidR="00A11685" w:rsidRPr="004B07A1" w14:paraId="640F6192" w14:textId="77777777" w:rsidTr="0020014E">
        <w:tc>
          <w:tcPr>
            <w:tcW w:w="4997" w:type="dxa"/>
            <w:gridSpan w:val="3"/>
            <w:vAlign w:val="center"/>
          </w:tcPr>
          <w:p w14:paraId="5D4B5A5A"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Сума інвестованих коштів, євро</w:t>
            </w:r>
          </w:p>
        </w:tc>
        <w:tc>
          <w:tcPr>
            <w:tcW w:w="4858" w:type="dxa"/>
            <w:shd w:val="clear" w:color="auto" w:fill="FFFF99"/>
            <w:vAlign w:val="center"/>
          </w:tcPr>
          <w:p w14:paraId="2ED60876" w14:textId="77777777" w:rsidR="00A11685" w:rsidRPr="006D11B1" w:rsidRDefault="0020014E" w:rsidP="006D11B1">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rPr>
              <w:t>8</w:t>
            </w:r>
            <w:r w:rsidR="006D11B1">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312</w:t>
            </w:r>
            <w:r w:rsidR="006D11B1">
              <w:rPr>
                <w:rFonts w:ascii="Times New Roman" w:eastAsia="Times New Roman" w:hAnsi="Times New Roman" w:cs="Times New Roman"/>
                <w:color w:val="000000"/>
                <w:sz w:val="24"/>
                <w:szCs w:val="24"/>
                <w:lang w:val="ru-RU"/>
              </w:rPr>
              <w:t> </w:t>
            </w:r>
            <w:r>
              <w:rPr>
                <w:rFonts w:ascii="Times New Roman" w:eastAsia="Times New Roman" w:hAnsi="Times New Roman" w:cs="Times New Roman"/>
                <w:color w:val="000000"/>
                <w:sz w:val="24"/>
                <w:szCs w:val="24"/>
              </w:rPr>
              <w:t>7</w:t>
            </w:r>
            <w:r w:rsidR="006D11B1">
              <w:rPr>
                <w:rFonts w:ascii="Times New Roman" w:eastAsia="Times New Roman" w:hAnsi="Times New Roman" w:cs="Times New Roman"/>
                <w:color w:val="000000"/>
                <w:sz w:val="24"/>
                <w:szCs w:val="24"/>
                <w:lang w:val="ru-RU"/>
              </w:rPr>
              <w:t>00</w:t>
            </w:r>
          </w:p>
        </w:tc>
      </w:tr>
      <w:tr w:rsidR="00A11685" w:rsidRPr="004B07A1" w14:paraId="217F8E2E" w14:textId="77777777" w:rsidTr="0020014E">
        <w:tc>
          <w:tcPr>
            <w:tcW w:w="4997" w:type="dxa"/>
            <w:gridSpan w:val="3"/>
            <w:vAlign w:val="center"/>
          </w:tcPr>
          <w:p w14:paraId="3D1EFB8D"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Фінансова економія, тис. грн/рік</w:t>
            </w:r>
          </w:p>
        </w:tc>
        <w:tc>
          <w:tcPr>
            <w:tcW w:w="4858" w:type="dxa"/>
            <w:shd w:val="clear" w:color="auto" w:fill="FFFF99"/>
            <w:vAlign w:val="center"/>
          </w:tcPr>
          <w:p w14:paraId="68A51E12" w14:textId="77777777" w:rsidR="00A11685" w:rsidRPr="006D11B1" w:rsidRDefault="006D11B1" w:rsidP="006D11B1">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Х</w:t>
            </w:r>
          </w:p>
        </w:tc>
      </w:tr>
      <w:tr w:rsidR="00A11685" w:rsidRPr="004B07A1" w14:paraId="28917AB9" w14:textId="77777777" w:rsidTr="0020014E">
        <w:tc>
          <w:tcPr>
            <w:tcW w:w="4997" w:type="dxa"/>
            <w:gridSpan w:val="3"/>
            <w:vAlign w:val="center"/>
          </w:tcPr>
          <w:p w14:paraId="357E34EE" w14:textId="77777777" w:rsidR="00A11685" w:rsidRPr="004B07A1" w:rsidRDefault="00A11685" w:rsidP="0077465E">
            <w:pPr>
              <w:rPr>
                <w:rFonts w:ascii="Times New Roman" w:eastAsia="Times New Roman" w:hAnsi="Times New Roman" w:cs="Times New Roman"/>
                <w:sz w:val="24"/>
                <w:szCs w:val="24"/>
              </w:rPr>
            </w:pPr>
            <w:r w:rsidRPr="004B07A1">
              <w:rPr>
                <w:rFonts w:ascii="Times New Roman" w:eastAsia="Times New Roman" w:hAnsi="Times New Roman" w:cs="Times New Roman"/>
                <w:color w:val="000000"/>
                <w:sz w:val="24"/>
                <w:szCs w:val="24"/>
              </w:rPr>
              <w:t>Фінансова економія, євро/рік</w:t>
            </w:r>
          </w:p>
        </w:tc>
        <w:tc>
          <w:tcPr>
            <w:tcW w:w="4858" w:type="dxa"/>
            <w:shd w:val="clear" w:color="auto" w:fill="FFFF99"/>
            <w:vAlign w:val="center"/>
          </w:tcPr>
          <w:p w14:paraId="45C16D78" w14:textId="77777777" w:rsidR="00A11685" w:rsidRPr="004B07A1" w:rsidRDefault="0020014E" w:rsidP="0077465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w:t>
            </w:r>
          </w:p>
        </w:tc>
      </w:tr>
      <w:tr w:rsidR="00A11685" w:rsidRPr="004B07A1" w14:paraId="15AB7D1A" w14:textId="77777777" w:rsidTr="0020014E">
        <w:tc>
          <w:tcPr>
            <w:tcW w:w="4997" w:type="dxa"/>
            <w:gridSpan w:val="3"/>
            <w:vAlign w:val="center"/>
          </w:tcPr>
          <w:p w14:paraId="701DD4C9"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Термін окупності проєкту</w:t>
            </w:r>
          </w:p>
        </w:tc>
        <w:tc>
          <w:tcPr>
            <w:tcW w:w="4858" w:type="dxa"/>
            <w:shd w:val="clear" w:color="auto" w:fill="FFFF99"/>
            <w:vAlign w:val="center"/>
          </w:tcPr>
          <w:p w14:paraId="43790B18" w14:textId="77777777" w:rsidR="00A11685" w:rsidRPr="004B07A1" w:rsidRDefault="0020014E"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A11685" w:rsidRPr="004B07A1" w14:paraId="4753FC50" w14:textId="77777777" w:rsidTr="0020014E">
        <w:tc>
          <w:tcPr>
            <w:tcW w:w="9855" w:type="dxa"/>
            <w:gridSpan w:val="4"/>
            <w:shd w:val="clear" w:color="auto" w:fill="F2F2F2"/>
            <w:vAlign w:val="center"/>
          </w:tcPr>
          <w:p w14:paraId="6EEAF8B4"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Технічні показники проєкту</w:t>
            </w:r>
          </w:p>
        </w:tc>
      </w:tr>
      <w:tr w:rsidR="00A11685" w:rsidRPr="004B07A1" w14:paraId="16EDF6F2" w14:textId="77777777" w:rsidTr="0020014E">
        <w:tc>
          <w:tcPr>
            <w:tcW w:w="4997" w:type="dxa"/>
            <w:gridSpan w:val="3"/>
            <w:vAlign w:val="center"/>
          </w:tcPr>
          <w:p w14:paraId="7C036AB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Зменшення використання енергоресурсів в результаті впровадження проєкту (МВт.год/рік)</w:t>
            </w:r>
          </w:p>
        </w:tc>
        <w:tc>
          <w:tcPr>
            <w:tcW w:w="4858" w:type="dxa"/>
            <w:shd w:val="clear" w:color="auto" w:fill="FFFF99"/>
            <w:vAlign w:val="center"/>
          </w:tcPr>
          <w:p w14:paraId="2A20FC24" w14:textId="77777777" w:rsidR="00A11685" w:rsidRPr="0020014E" w:rsidRDefault="00A11685" w:rsidP="0020014E">
            <w:pPr>
              <w:jc w:val="center"/>
              <w:rPr>
                <w:rFonts w:ascii="Times New Roman" w:eastAsia="Times New Roman" w:hAnsi="Times New Roman" w:cs="Times New Roman"/>
                <w:color w:val="000000"/>
                <w:sz w:val="24"/>
                <w:szCs w:val="24"/>
              </w:rPr>
            </w:pPr>
            <w:r w:rsidRPr="0020014E">
              <w:rPr>
                <w:rFonts w:ascii="Times New Roman" w:eastAsia="Times New Roman" w:hAnsi="Times New Roman" w:cs="Times New Roman"/>
                <w:color w:val="000000"/>
                <w:sz w:val="24"/>
                <w:szCs w:val="24"/>
              </w:rPr>
              <w:t>8</w:t>
            </w:r>
            <w:r w:rsidR="0020014E">
              <w:rPr>
                <w:rFonts w:ascii="Times New Roman" w:eastAsia="Times New Roman" w:hAnsi="Times New Roman" w:cs="Times New Roman"/>
                <w:color w:val="000000"/>
                <w:sz w:val="24"/>
                <w:szCs w:val="24"/>
              </w:rPr>
              <w:t> </w:t>
            </w:r>
            <w:r w:rsidRPr="0020014E">
              <w:rPr>
                <w:rFonts w:ascii="Times New Roman" w:eastAsia="Times New Roman" w:hAnsi="Times New Roman" w:cs="Times New Roman"/>
                <w:color w:val="000000"/>
                <w:sz w:val="24"/>
                <w:szCs w:val="24"/>
              </w:rPr>
              <w:t>050</w:t>
            </w:r>
          </w:p>
          <w:p w14:paraId="4E75C406" w14:textId="77777777" w:rsidR="00A11685" w:rsidRPr="00C67AC9" w:rsidRDefault="00A11685" w:rsidP="0077465E">
            <w:pPr>
              <w:jc w:val="center"/>
              <w:rPr>
                <w:rFonts w:ascii="Times New Roman" w:eastAsia="Times New Roman" w:hAnsi="Times New Roman" w:cs="Times New Roman"/>
                <w:color w:val="000000"/>
                <w:sz w:val="24"/>
                <w:szCs w:val="24"/>
              </w:rPr>
            </w:pPr>
          </w:p>
        </w:tc>
      </w:tr>
      <w:tr w:rsidR="00A11685" w:rsidRPr="004B07A1" w14:paraId="0C361F9C" w14:textId="77777777" w:rsidTr="0020014E">
        <w:tc>
          <w:tcPr>
            <w:tcW w:w="4997" w:type="dxa"/>
            <w:gridSpan w:val="3"/>
            <w:vAlign w:val="center"/>
          </w:tcPr>
          <w:p w14:paraId="4227507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Збільшення виробництва енергії з ВДЕ в результаті впровадження проєкту (МВт.год/рік)</w:t>
            </w:r>
          </w:p>
        </w:tc>
        <w:tc>
          <w:tcPr>
            <w:tcW w:w="4858" w:type="dxa"/>
            <w:shd w:val="clear" w:color="auto" w:fill="FFFF99"/>
            <w:vAlign w:val="center"/>
          </w:tcPr>
          <w:p w14:paraId="7945F788" w14:textId="77777777" w:rsidR="00A11685" w:rsidRPr="00C67AC9" w:rsidRDefault="0020014E" w:rsidP="0077465E">
            <w:pPr>
              <w:pBdr>
                <w:top w:val="nil"/>
                <w:left w:val="nil"/>
                <w:bottom w:val="nil"/>
                <w:right w:val="nil"/>
                <w:between w:val="nil"/>
              </w:pBdr>
              <w:ind w:left="720" w:hanging="72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8 800</w:t>
            </w:r>
          </w:p>
        </w:tc>
      </w:tr>
      <w:tr w:rsidR="00A11685" w:rsidRPr="004B07A1" w14:paraId="305C9CA6" w14:textId="77777777" w:rsidTr="0020014E">
        <w:tc>
          <w:tcPr>
            <w:tcW w:w="4997" w:type="dxa"/>
            <w:gridSpan w:val="3"/>
            <w:vAlign w:val="center"/>
          </w:tcPr>
          <w:p w14:paraId="13675940"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Скорочення викидів СО</w:t>
            </w:r>
            <w:r w:rsidRPr="004B07A1">
              <w:rPr>
                <w:rFonts w:ascii="Times New Roman" w:eastAsia="Times New Roman" w:hAnsi="Times New Roman" w:cs="Times New Roman"/>
                <w:color w:val="000000"/>
                <w:sz w:val="24"/>
                <w:szCs w:val="24"/>
                <w:vertAlign w:val="subscript"/>
              </w:rPr>
              <w:t>2</w:t>
            </w:r>
            <w:r w:rsidRPr="004B07A1">
              <w:rPr>
                <w:rFonts w:ascii="Times New Roman" w:eastAsia="Times New Roman" w:hAnsi="Times New Roman" w:cs="Times New Roman"/>
                <w:color w:val="000000"/>
                <w:sz w:val="24"/>
                <w:szCs w:val="24"/>
              </w:rPr>
              <w:t xml:space="preserve"> в результаті впровадження проєкту, т/рік</w:t>
            </w:r>
          </w:p>
        </w:tc>
        <w:tc>
          <w:tcPr>
            <w:tcW w:w="4858" w:type="dxa"/>
            <w:shd w:val="clear" w:color="auto" w:fill="FFFF99"/>
            <w:vAlign w:val="center"/>
          </w:tcPr>
          <w:p w14:paraId="7ED79ADA" w14:textId="77777777" w:rsidR="00A11685" w:rsidRPr="00C67AC9" w:rsidRDefault="00A11685" w:rsidP="0020014E">
            <w:pPr>
              <w:ind w:left="720" w:hanging="720"/>
              <w:jc w:val="center"/>
              <w:rPr>
                <w:rFonts w:ascii="Times New Roman" w:eastAsia="Times New Roman" w:hAnsi="Times New Roman" w:cs="Times New Roman"/>
                <w:color w:val="000000"/>
                <w:sz w:val="24"/>
                <w:szCs w:val="24"/>
              </w:rPr>
            </w:pPr>
            <w:r w:rsidRPr="0020014E">
              <w:rPr>
                <w:rFonts w:ascii="Times New Roman" w:eastAsia="Times New Roman" w:hAnsi="Times New Roman" w:cs="Times New Roman"/>
                <w:color w:val="000000"/>
                <w:sz w:val="24"/>
                <w:szCs w:val="24"/>
              </w:rPr>
              <w:t>12 650</w:t>
            </w:r>
          </w:p>
        </w:tc>
      </w:tr>
      <w:tr w:rsidR="00A11685" w:rsidRPr="004B07A1" w14:paraId="4D1D2CEC" w14:textId="77777777" w:rsidTr="0020014E">
        <w:tc>
          <w:tcPr>
            <w:tcW w:w="9855" w:type="dxa"/>
            <w:gridSpan w:val="4"/>
            <w:shd w:val="clear" w:color="auto" w:fill="F2F2F2"/>
            <w:vAlign w:val="center"/>
          </w:tcPr>
          <w:p w14:paraId="6BF26518"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Виконання</w:t>
            </w:r>
          </w:p>
        </w:tc>
      </w:tr>
      <w:tr w:rsidR="00A11685" w:rsidRPr="004B07A1" w14:paraId="3AA6CEE4" w14:textId="77777777" w:rsidTr="0020014E">
        <w:tc>
          <w:tcPr>
            <w:tcW w:w="4997" w:type="dxa"/>
            <w:gridSpan w:val="3"/>
            <w:vAlign w:val="center"/>
          </w:tcPr>
          <w:p w14:paraId="73514674"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Терміни виконання</w:t>
            </w:r>
            <w:r w:rsidRPr="004B07A1">
              <w:rPr>
                <w:rFonts w:ascii="Times New Roman" w:eastAsia="Times New Roman" w:hAnsi="Times New Roman" w:cs="Times New Roman"/>
                <w:color w:val="000000"/>
                <w:sz w:val="24"/>
                <w:szCs w:val="24"/>
              </w:rPr>
              <w:br/>
              <w:t>(рік початку, рік закінчення)</w:t>
            </w:r>
          </w:p>
        </w:tc>
        <w:tc>
          <w:tcPr>
            <w:tcW w:w="4858" w:type="dxa"/>
            <w:shd w:val="clear" w:color="auto" w:fill="FFFF99"/>
            <w:vAlign w:val="center"/>
          </w:tcPr>
          <w:p w14:paraId="1008BF7D" w14:textId="77777777" w:rsidR="00A11685" w:rsidRPr="004B07A1" w:rsidRDefault="00A11685"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2018-2024</w:t>
            </w:r>
          </w:p>
        </w:tc>
      </w:tr>
      <w:tr w:rsidR="00A11685" w:rsidRPr="004B07A1" w14:paraId="6D9524EC" w14:textId="77777777" w:rsidTr="0020014E">
        <w:tc>
          <w:tcPr>
            <w:tcW w:w="4997" w:type="dxa"/>
            <w:gridSpan w:val="3"/>
            <w:vAlign w:val="center"/>
          </w:tcPr>
          <w:p w14:paraId="2C5BC850"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Стан виконання</w:t>
            </w:r>
          </w:p>
        </w:tc>
        <w:tc>
          <w:tcPr>
            <w:tcW w:w="4858" w:type="dxa"/>
            <w:shd w:val="clear" w:color="auto" w:fill="FFFF99"/>
            <w:vAlign w:val="center"/>
          </w:tcPr>
          <w:p w14:paraId="5820637A" w14:textId="77777777" w:rsidR="00A11685" w:rsidRPr="004B07A1" w:rsidRDefault="0020014E"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Завершено</w:t>
            </w:r>
          </w:p>
        </w:tc>
      </w:tr>
      <w:tr w:rsidR="00A11685" w:rsidRPr="004B07A1" w14:paraId="273E83FA" w14:textId="77777777" w:rsidTr="0020014E">
        <w:tc>
          <w:tcPr>
            <w:tcW w:w="9855" w:type="dxa"/>
            <w:gridSpan w:val="4"/>
            <w:shd w:val="clear" w:color="auto" w:fill="F2F2F2"/>
            <w:vAlign w:val="center"/>
          </w:tcPr>
          <w:p w14:paraId="0DB65744" w14:textId="77777777" w:rsidR="00A11685" w:rsidRPr="004B07A1" w:rsidRDefault="00A11685" w:rsidP="00A11685">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Публікації, фото, відео</w:t>
            </w:r>
            <w:r>
              <w:rPr>
                <w:rFonts w:ascii="Times New Roman" w:eastAsia="Times New Roman" w:hAnsi="Times New Roman" w:cs="Times New Roman"/>
                <w:color w:val="000000"/>
                <w:sz w:val="24"/>
                <w:szCs w:val="24"/>
              </w:rPr>
              <w:t xml:space="preserve">: </w:t>
            </w:r>
            <w:hyperlink r:id="rId57" w:history="1">
              <w:r w:rsidRPr="00B039A3">
                <w:rPr>
                  <w:rStyle w:val="ad"/>
                  <w:rFonts w:ascii="Times New Roman" w:eastAsia="Times New Roman" w:hAnsi="Times New Roman" w:cs="Times New Roman"/>
                  <w:sz w:val="24"/>
                  <w:szCs w:val="24"/>
                </w:rPr>
                <w:t>https://zt-rada.gov.ua/?pages=17635</w:t>
              </w:r>
            </w:hyperlink>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br/>
            </w:r>
            <w:hyperlink r:id="rId58" w:history="1">
              <w:r w:rsidRPr="00B039A3">
                <w:rPr>
                  <w:rStyle w:val="ad"/>
                  <w:rFonts w:ascii="Times New Roman" w:eastAsia="Times New Roman" w:hAnsi="Times New Roman" w:cs="Times New Roman"/>
                  <w:sz w:val="24"/>
                  <w:szCs w:val="24"/>
                </w:rPr>
                <w:t>https://zt-rada.gov.ua/?pages=14914</w:t>
              </w:r>
            </w:hyperlink>
            <w:r>
              <w:rPr>
                <w:rFonts w:ascii="Times New Roman" w:eastAsia="Times New Roman" w:hAnsi="Times New Roman" w:cs="Times New Roman"/>
                <w:color w:val="000000"/>
                <w:sz w:val="24"/>
                <w:szCs w:val="24"/>
              </w:rPr>
              <w:t xml:space="preserve"> </w:t>
            </w:r>
          </w:p>
        </w:tc>
      </w:tr>
      <w:tr w:rsidR="00A11685" w:rsidRPr="004B07A1" w14:paraId="3BBFB47A" w14:textId="77777777" w:rsidTr="0020014E">
        <w:tc>
          <w:tcPr>
            <w:tcW w:w="2498" w:type="dxa"/>
            <w:gridSpan w:val="2"/>
            <w:vAlign w:val="center"/>
          </w:tcPr>
          <w:p w14:paraId="2459D11C" w14:textId="77777777" w:rsidR="00A11685" w:rsidRPr="004B07A1" w:rsidRDefault="00A11685" w:rsidP="0077465E">
            <w:pPr>
              <w:rPr>
                <w:rFonts w:ascii="Times New Roman" w:eastAsia="Times New Roman" w:hAnsi="Times New Roman" w:cs="Times New Roman"/>
                <w:sz w:val="24"/>
                <w:szCs w:val="24"/>
              </w:rPr>
            </w:pPr>
            <w:r w:rsidRPr="004B07A1">
              <w:rPr>
                <w:rFonts w:ascii="Times New Roman" w:eastAsia="Times New Roman" w:hAnsi="Times New Roman" w:cs="Times New Roman"/>
                <w:color w:val="000000"/>
                <w:sz w:val="24"/>
                <w:szCs w:val="24"/>
              </w:rPr>
              <w:t>Сторінка вебсайту</w:t>
            </w:r>
          </w:p>
        </w:tc>
        <w:tc>
          <w:tcPr>
            <w:tcW w:w="7357" w:type="dxa"/>
            <w:gridSpan w:val="2"/>
            <w:shd w:val="clear" w:color="auto" w:fill="FFFF99"/>
            <w:vAlign w:val="center"/>
          </w:tcPr>
          <w:p w14:paraId="24B7D6FF" w14:textId="77777777" w:rsidR="00A11685" w:rsidRPr="0020014E" w:rsidRDefault="0020014E" w:rsidP="0077465E">
            <w:pPr>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tke.org.ua</w:t>
            </w:r>
          </w:p>
        </w:tc>
      </w:tr>
      <w:tr w:rsidR="00A11685" w:rsidRPr="004B07A1" w14:paraId="4858DD9F" w14:textId="77777777" w:rsidTr="0020014E">
        <w:tc>
          <w:tcPr>
            <w:tcW w:w="2498" w:type="dxa"/>
            <w:gridSpan w:val="2"/>
            <w:vAlign w:val="center"/>
          </w:tcPr>
          <w:p w14:paraId="447B7CDE" w14:textId="77777777" w:rsidR="00A11685" w:rsidRPr="004B07A1" w:rsidRDefault="00A11685" w:rsidP="0077465E">
            <w:pPr>
              <w:rPr>
                <w:rFonts w:ascii="Times New Roman" w:eastAsia="Times New Roman" w:hAnsi="Times New Roman" w:cs="Times New Roman"/>
                <w:sz w:val="24"/>
                <w:szCs w:val="24"/>
              </w:rPr>
            </w:pPr>
            <w:r w:rsidRPr="004B07A1">
              <w:rPr>
                <w:rFonts w:ascii="Times New Roman" w:eastAsia="Times New Roman" w:hAnsi="Times New Roman" w:cs="Times New Roman"/>
                <w:color w:val="000000"/>
                <w:sz w:val="24"/>
                <w:szCs w:val="24"/>
              </w:rPr>
              <w:t>Посилання на відео</w:t>
            </w:r>
          </w:p>
        </w:tc>
        <w:tc>
          <w:tcPr>
            <w:tcW w:w="7357" w:type="dxa"/>
            <w:gridSpan w:val="2"/>
            <w:shd w:val="clear" w:color="auto" w:fill="FFFF99"/>
            <w:vAlign w:val="center"/>
          </w:tcPr>
          <w:p w14:paraId="5072349A" w14:textId="77777777" w:rsidR="00A11685" w:rsidRPr="004B07A1" w:rsidRDefault="0020014E"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en-US"/>
              </w:rPr>
              <w:t>tke.org.ua</w:t>
            </w:r>
          </w:p>
        </w:tc>
      </w:tr>
      <w:tr w:rsidR="00A11685" w:rsidRPr="004B07A1" w14:paraId="37DF036A" w14:textId="77777777" w:rsidTr="0020014E">
        <w:trPr>
          <w:trHeight w:val="578"/>
        </w:trPr>
        <w:tc>
          <w:tcPr>
            <w:tcW w:w="9855" w:type="dxa"/>
            <w:gridSpan w:val="4"/>
            <w:shd w:val="clear" w:color="auto" w:fill="FFFF99"/>
            <w:vAlign w:val="center"/>
          </w:tcPr>
          <w:p w14:paraId="143B0943" w14:textId="77777777" w:rsidR="00A11685" w:rsidRPr="004B07A1" w:rsidRDefault="0020014E" w:rsidP="0020014E">
            <w:pPr>
              <w:jc w:val="center"/>
              <w:rPr>
                <w:rFonts w:ascii="Times New Roman" w:eastAsia="Times New Roman" w:hAnsi="Times New Roman" w:cs="Times New Roman"/>
                <w:color w:val="000000"/>
                <w:sz w:val="24"/>
                <w:szCs w:val="24"/>
              </w:rPr>
            </w:pPr>
            <w:r>
              <w:rPr>
                <w:noProof/>
                <w:lang w:val="ru-RU"/>
              </w:rPr>
              <w:lastRenderedPageBreak/>
              <w:drawing>
                <wp:inline distT="0" distB="0" distL="0" distR="0" wp14:anchorId="64DD003D" wp14:editId="0D5F1B26">
                  <wp:extent cx="3495675" cy="4374145"/>
                  <wp:effectExtent l="0" t="0" r="0" b="7620"/>
                  <wp:docPr id="37" name="Рисунок 37" descr="https://zt-rada.gov.ua/files/upload/sitephotos/img163724410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https://zt-rada.gov.ua/files/upload/sitephotos/img1637244106_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01880" cy="4381909"/>
                          </a:xfrm>
                          <a:prstGeom prst="rect">
                            <a:avLst/>
                          </a:prstGeom>
                          <a:noFill/>
                          <a:ln>
                            <a:noFill/>
                          </a:ln>
                        </pic:spPr>
                      </pic:pic>
                    </a:graphicData>
                  </a:graphic>
                </wp:inline>
              </w:drawing>
            </w:r>
          </w:p>
        </w:tc>
      </w:tr>
      <w:tr w:rsidR="00A11685" w:rsidRPr="004B07A1" w14:paraId="7A245F18" w14:textId="77777777" w:rsidTr="0020014E">
        <w:trPr>
          <w:trHeight w:val="426"/>
        </w:trPr>
        <w:tc>
          <w:tcPr>
            <w:tcW w:w="9855" w:type="dxa"/>
            <w:gridSpan w:val="4"/>
            <w:shd w:val="clear" w:color="auto" w:fill="F2F2F2"/>
            <w:vAlign w:val="center"/>
          </w:tcPr>
          <w:p w14:paraId="0192DC9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Результати проєкту</w:t>
            </w:r>
          </w:p>
        </w:tc>
      </w:tr>
      <w:tr w:rsidR="00A11685" w:rsidRPr="004B07A1" w14:paraId="072E78D2" w14:textId="77777777" w:rsidTr="0020014E">
        <w:trPr>
          <w:trHeight w:val="70"/>
        </w:trPr>
        <w:tc>
          <w:tcPr>
            <w:tcW w:w="9855" w:type="dxa"/>
            <w:gridSpan w:val="4"/>
            <w:shd w:val="clear" w:color="auto" w:fill="FFFF99"/>
            <w:vAlign w:val="center"/>
          </w:tcPr>
          <w:p w14:paraId="6061134E" w14:textId="77777777" w:rsidR="00A11685" w:rsidRPr="004B07A1" w:rsidRDefault="0020014E" w:rsidP="0077465E">
            <w:pPr>
              <w:spacing w:before="60" w:after="60"/>
              <w:rPr>
                <w:rFonts w:ascii="Times New Roman" w:eastAsia="Times New Roman" w:hAnsi="Times New Roman" w:cs="Times New Roman"/>
                <w:color w:val="000000"/>
                <w:sz w:val="24"/>
                <w:szCs w:val="24"/>
              </w:rPr>
            </w:pPr>
            <w:r w:rsidRPr="00A11685">
              <w:rPr>
                <w:rFonts w:ascii="Times New Roman" w:eastAsia="Times New Roman" w:hAnsi="Times New Roman" w:cs="Times New Roman"/>
                <w:color w:val="000000"/>
                <w:sz w:val="24"/>
                <w:szCs w:val="24"/>
              </w:rPr>
              <w:t>73 багатоквартирних будинків у Житомирі отримують тепло від нової когенераційної станції. Заміщення природного газу до 6,4 млн м3 в рік.</w:t>
            </w:r>
          </w:p>
        </w:tc>
      </w:tr>
    </w:tbl>
    <w:p w14:paraId="1CDDCFD5" w14:textId="77777777" w:rsidR="00A11685" w:rsidRDefault="00A11685">
      <w:pPr>
        <w:spacing w:after="0"/>
        <w:rPr>
          <w:rFonts w:ascii="Times New Roman" w:eastAsia="Times New Roman" w:hAnsi="Times New Roman" w:cs="Times New Roman"/>
          <w:sz w:val="24"/>
          <w:szCs w:val="24"/>
        </w:rPr>
      </w:pPr>
    </w:p>
    <w:p w14:paraId="047AD30F" w14:textId="77777777" w:rsidR="00C82386" w:rsidRPr="00A11685" w:rsidRDefault="00E66F64" w:rsidP="0020014E">
      <w:pPr>
        <w:pBdr>
          <w:top w:val="nil"/>
          <w:left w:val="nil"/>
          <w:bottom w:val="nil"/>
          <w:right w:val="nil"/>
          <w:between w:val="nil"/>
        </w:pBdr>
        <w:spacing w:before="240"/>
        <w:ind w:left="4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Ключовий захід # 2.</w:t>
      </w:r>
      <w:r>
        <w:rPr>
          <w:rFonts w:ascii="Times New Roman" w:eastAsia="Times New Roman" w:hAnsi="Times New Roman" w:cs="Times New Roman"/>
          <w:color w:val="000000"/>
          <w:sz w:val="24"/>
          <w:szCs w:val="24"/>
        </w:rPr>
        <w:t xml:space="preserve"> </w:t>
      </w:r>
      <w:r w:rsidR="0020014E" w:rsidRPr="0020014E">
        <w:rPr>
          <w:rFonts w:ascii="Times New Roman" w:eastAsia="Times New Roman" w:hAnsi="Times New Roman" w:cs="Times New Roman"/>
          <w:color w:val="000000"/>
          <w:sz w:val="24"/>
          <w:szCs w:val="24"/>
          <w:u w:val="single"/>
          <w:shd w:val="clear" w:color="auto" w:fill="FFFF99"/>
        </w:rPr>
        <w:t>Утеплення 40 будівель закладів освіти (KfW)</w:t>
      </w:r>
    </w:p>
    <w:tbl>
      <w:tblPr>
        <w:tblStyle w:val="affffff2"/>
        <w:tblW w:w="96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4394"/>
        <w:gridCol w:w="3289"/>
      </w:tblGrid>
      <w:tr w:rsidR="00A11685" w:rsidRPr="004B07A1" w14:paraId="50CC7032" w14:textId="77777777" w:rsidTr="0020014E">
        <w:tc>
          <w:tcPr>
            <w:tcW w:w="1951" w:type="dxa"/>
            <w:shd w:val="clear" w:color="auto" w:fill="D9D9D9"/>
            <w:vAlign w:val="center"/>
          </w:tcPr>
          <w:p w14:paraId="76FF8E28" w14:textId="77777777" w:rsidR="00A11685" w:rsidRPr="004B07A1" w:rsidRDefault="00A11685" w:rsidP="0077465E">
            <w:pPr>
              <w:jc w:val="cente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Показники проєкту</w:t>
            </w:r>
          </w:p>
        </w:tc>
        <w:tc>
          <w:tcPr>
            <w:tcW w:w="7683" w:type="dxa"/>
            <w:gridSpan w:val="2"/>
            <w:shd w:val="clear" w:color="auto" w:fill="D9D9D9"/>
            <w:vAlign w:val="center"/>
          </w:tcPr>
          <w:p w14:paraId="44FD9F13" w14:textId="77777777" w:rsidR="00A11685" w:rsidRPr="004B07A1" w:rsidRDefault="00A11685" w:rsidP="0077465E">
            <w:pPr>
              <w:jc w:val="cente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Значення</w:t>
            </w:r>
          </w:p>
        </w:tc>
      </w:tr>
      <w:tr w:rsidR="00A11685" w:rsidRPr="004B07A1" w14:paraId="25B2C94F" w14:textId="77777777" w:rsidTr="0020014E">
        <w:tc>
          <w:tcPr>
            <w:tcW w:w="1951" w:type="dxa"/>
            <w:vAlign w:val="center"/>
          </w:tcPr>
          <w:p w14:paraId="4DF91544"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Назва проєкту</w:t>
            </w:r>
          </w:p>
        </w:tc>
        <w:tc>
          <w:tcPr>
            <w:tcW w:w="7683" w:type="dxa"/>
            <w:gridSpan w:val="2"/>
            <w:shd w:val="clear" w:color="auto" w:fill="FFFF99"/>
            <w:vAlign w:val="center"/>
          </w:tcPr>
          <w:p w14:paraId="67B1A924" w14:textId="77777777" w:rsidR="00A11685" w:rsidRPr="004B07A1" w:rsidRDefault="00A11685" w:rsidP="0077465E">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Реалізація проєкту «Енергоефективність в громадах І» </w:t>
            </w:r>
            <w:r w:rsidRPr="006422ED">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lang w:val="en-US"/>
              </w:rPr>
              <w:t>KFW</w:t>
            </w:r>
            <w:r w:rsidRPr="006422ED">
              <w:rPr>
                <w:rFonts w:ascii="Times New Roman" w:eastAsia="Times New Roman" w:hAnsi="Times New Roman" w:cs="Times New Roman"/>
                <w:color w:val="000000"/>
                <w:sz w:val="24"/>
                <w:szCs w:val="24"/>
              </w:rPr>
              <w:t>)</w:t>
            </w:r>
          </w:p>
        </w:tc>
      </w:tr>
      <w:tr w:rsidR="00A11685" w:rsidRPr="004B07A1" w14:paraId="55FD8745" w14:textId="77777777" w:rsidTr="0020014E">
        <w:trPr>
          <w:trHeight w:val="557"/>
        </w:trPr>
        <w:tc>
          <w:tcPr>
            <w:tcW w:w="1951" w:type="dxa"/>
            <w:vAlign w:val="center"/>
          </w:tcPr>
          <w:p w14:paraId="56E19F8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Опис проєкту</w:t>
            </w:r>
          </w:p>
          <w:p w14:paraId="28B126D4"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i/>
                <w:color w:val="000000"/>
                <w:sz w:val="24"/>
                <w:szCs w:val="24"/>
              </w:rPr>
              <w:t>(до 300 слів)</w:t>
            </w:r>
          </w:p>
        </w:tc>
        <w:tc>
          <w:tcPr>
            <w:tcW w:w="7683" w:type="dxa"/>
            <w:gridSpan w:val="2"/>
            <w:shd w:val="clear" w:color="auto" w:fill="FFFF99"/>
            <w:vAlign w:val="center"/>
          </w:tcPr>
          <w:p w14:paraId="2F2B5C5F" w14:textId="77777777" w:rsidR="00A11685" w:rsidRPr="0020014E" w:rsidRDefault="00A11685" w:rsidP="0077465E">
            <w:pP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2019 році між м. Житомиром та українським офісом </w:t>
            </w:r>
            <w:r>
              <w:rPr>
                <w:rFonts w:ascii="Times New Roman" w:eastAsia="Times New Roman" w:hAnsi="Times New Roman" w:cs="Times New Roman"/>
                <w:color w:val="000000"/>
                <w:sz w:val="24"/>
                <w:szCs w:val="24"/>
                <w:lang w:val="en-US"/>
              </w:rPr>
              <w:t>Kreditanstalt</w:t>
            </w:r>
            <w:r w:rsidRPr="006422E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Fur</w:t>
            </w:r>
            <w:r w:rsidRPr="006422E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Wiederaufbau</w:t>
            </w:r>
            <w:r w:rsidRPr="006422E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KFW</w:t>
            </w:r>
            <w:r w:rsidRPr="006422ED">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що офіційним представництвом Україні державного банку розвитку Федеративної Республіки Німеччина </w:t>
            </w:r>
            <w:r w:rsidRPr="006422ED">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lang w:val="en-US"/>
              </w:rPr>
              <w:t>KFW</w:t>
            </w:r>
            <w:r w:rsidRPr="006422ED">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укладено Протокол про наміри щодо підготовки та реалізації проєкту «Енергоефективність в громадах І». Ціль проєкту відповідає завданням та заходам, що визначені програмою діяльності Кабінету Міністрів України, Угодою про асоціацію між Україною, з однієї сторони, та Європейським Союзом, Європейським </w:t>
            </w:r>
            <w:r w:rsidRPr="0020014E">
              <w:rPr>
                <w:rFonts w:ascii="Times New Roman" w:eastAsia="Times New Roman" w:hAnsi="Times New Roman" w:cs="Times New Roman"/>
                <w:color w:val="000000"/>
                <w:sz w:val="24"/>
                <w:szCs w:val="24"/>
              </w:rPr>
              <w:t xml:space="preserve">співтовариством з атомної енергії і їхніми державами-членами, з іншої сторони, пріоритетам розвитку Житомирської міської територіальної громади. </w:t>
            </w:r>
          </w:p>
          <w:p w14:paraId="2D837BAF" w14:textId="77777777" w:rsidR="00A11685" w:rsidRDefault="00A11685" w:rsidP="0077465E">
            <w:pPr>
              <w:spacing w:before="120" w:after="120"/>
              <w:jc w:val="both"/>
              <w:rPr>
                <w:rFonts w:ascii="Times New Roman" w:eastAsia="Times New Roman" w:hAnsi="Times New Roman" w:cs="Times New Roman"/>
                <w:color w:val="000000"/>
                <w:sz w:val="24"/>
                <w:szCs w:val="24"/>
              </w:rPr>
            </w:pPr>
            <w:r w:rsidRPr="0020014E">
              <w:rPr>
                <w:rFonts w:ascii="Times New Roman" w:eastAsia="Times New Roman" w:hAnsi="Times New Roman" w:cs="Times New Roman"/>
                <w:color w:val="000000"/>
                <w:sz w:val="24"/>
                <w:szCs w:val="24"/>
              </w:rPr>
              <w:t>В рамках проєкту запланована термореновація 40 будів</w:t>
            </w:r>
            <w:r w:rsidR="0020014E" w:rsidRPr="0020014E">
              <w:rPr>
                <w:rFonts w:ascii="Times New Roman" w:eastAsia="Times New Roman" w:hAnsi="Times New Roman" w:cs="Times New Roman"/>
                <w:color w:val="000000"/>
                <w:sz w:val="24"/>
                <w:szCs w:val="24"/>
              </w:rPr>
              <w:t>е</w:t>
            </w:r>
            <w:r w:rsidRPr="0020014E">
              <w:rPr>
                <w:rFonts w:ascii="Times New Roman" w:eastAsia="Times New Roman" w:hAnsi="Times New Roman" w:cs="Times New Roman"/>
                <w:color w:val="000000"/>
                <w:sz w:val="24"/>
                <w:szCs w:val="24"/>
              </w:rPr>
              <w:t>ль закладів бюджетної сфери  (закладів освіти) Житомирської міської</w:t>
            </w:r>
            <w:r>
              <w:rPr>
                <w:rFonts w:ascii="Times New Roman" w:eastAsia="Times New Roman" w:hAnsi="Times New Roman" w:cs="Times New Roman"/>
                <w:color w:val="000000"/>
                <w:sz w:val="24"/>
                <w:szCs w:val="24"/>
              </w:rPr>
              <w:t xml:space="preserve"> об’єднаної територіальної громади. Для реалізації проєкту було проведено техніко-</w:t>
            </w:r>
            <w:r>
              <w:rPr>
                <w:rFonts w:ascii="Times New Roman" w:eastAsia="Times New Roman" w:hAnsi="Times New Roman" w:cs="Times New Roman"/>
                <w:color w:val="000000"/>
                <w:sz w:val="24"/>
                <w:szCs w:val="24"/>
              </w:rPr>
              <w:lastRenderedPageBreak/>
              <w:t>економічне обґрунтування. В рамках проєкту заплановано здійснити теплоізоляцію зовнішніх стін, заміна вікон та дверей на енергоефективні, модернізація систем вентиляції та опалення, оновлення санітарних та кухонних приміщень та спортивних залів у вибраних навчальних закладах, закупівля обладнання та програмного забезпечення з метою вдосконалення існуючих систем моніторингу енергії громадських будівель, тренінги для керівників громадських будівель з експлуатації та обслуговування відновлених будівель.</w:t>
            </w:r>
          </w:p>
          <w:p w14:paraId="282CB3E1" w14:textId="77777777" w:rsidR="00A11685" w:rsidRPr="00416B39" w:rsidRDefault="00A11685" w:rsidP="0077465E">
            <w:pP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Проєкт спрямований на підвищення енергоефективності та задоволеності користувачів у обраних загальноосвітніх навчальних закладах (школах) та дошкільних навчальних закладах (садочках) Житомира. Проєкт має  сприяти значному скороченню видатків бюджету ЖМТГ на енергопостачання для окремих громадських будівель.</w:t>
            </w:r>
          </w:p>
        </w:tc>
      </w:tr>
      <w:tr w:rsidR="00A11685" w:rsidRPr="004B07A1" w14:paraId="5B7477CD" w14:textId="77777777" w:rsidTr="0020014E">
        <w:tc>
          <w:tcPr>
            <w:tcW w:w="1951" w:type="dxa"/>
            <w:vAlign w:val="center"/>
          </w:tcPr>
          <w:p w14:paraId="7A3B354F"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lastRenderedPageBreak/>
              <w:t>Метод фінансування</w:t>
            </w:r>
          </w:p>
        </w:tc>
        <w:tc>
          <w:tcPr>
            <w:tcW w:w="7683" w:type="dxa"/>
            <w:gridSpan w:val="2"/>
            <w:shd w:val="clear" w:color="auto" w:fill="FFFF99"/>
            <w:vAlign w:val="center"/>
          </w:tcPr>
          <w:p w14:paraId="4C791055" w14:textId="77777777" w:rsidR="00A11685" w:rsidRPr="004B07A1" w:rsidRDefault="00A11685" w:rsidP="0077465E">
            <w:pPr>
              <w:spacing w:before="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Кредитні та грантові кошти</w:t>
            </w:r>
          </w:p>
        </w:tc>
      </w:tr>
      <w:tr w:rsidR="00A11685" w:rsidRPr="004B07A1" w14:paraId="49B9B395" w14:textId="77777777" w:rsidTr="0020014E">
        <w:tc>
          <w:tcPr>
            <w:tcW w:w="1951" w:type="dxa"/>
            <w:vAlign w:val="center"/>
          </w:tcPr>
          <w:p w14:paraId="1E24D508"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Відповідальні за впровадження</w:t>
            </w:r>
          </w:p>
        </w:tc>
        <w:tc>
          <w:tcPr>
            <w:tcW w:w="7683" w:type="dxa"/>
            <w:gridSpan w:val="2"/>
            <w:shd w:val="clear" w:color="auto" w:fill="FFFF99"/>
            <w:vAlign w:val="center"/>
          </w:tcPr>
          <w:p w14:paraId="060D5A6B"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p w14:paraId="49526B6D"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79F0030B" w14:textId="77777777" w:rsidR="00A11685"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07B1C405" w14:textId="77777777" w:rsidR="00A11685" w:rsidRPr="004B07A1" w:rsidRDefault="00A11685" w:rsidP="0077465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A11685" w:rsidRPr="004B07A1" w14:paraId="55347965" w14:textId="77777777" w:rsidTr="0020014E">
        <w:tc>
          <w:tcPr>
            <w:tcW w:w="1951" w:type="dxa"/>
            <w:vAlign w:val="center"/>
          </w:tcPr>
          <w:p w14:paraId="742B24B5"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Ефекти від впровадження</w:t>
            </w:r>
          </w:p>
        </w:tc>
        <w:tc>
          <w:tcPr>
            <w:tcW w:w="7683" w:type="dxa"/>
            <w:gridSpan w:val="2"/>
            <w:shd w:val="clear" w:color="auto" w:fill="FFFF99"/>
            <w:vAlign w:val="center"/>
          </w:tcPr>
          <w:p w14:paraId="362C1BD5" w14:textId="77777777" w:rsidR="00A11685" w:rsidRPr="004B07A1" w:rsidRDefault="00A11685" w:rsidP="0077465E">
            <w:pPr>
              <w:rPr>
                <w:rFonts w:ascii="Times New Roman" w:eastAsia="Times New Roman" w:hAnsi="Times New Roman" w:cs="Times New Roman"/>
                <w:color w:val="000000"/>
                <w:sz w:val="24"/>
                <w:szCs w:val="24"/>
              </w:rPr>
            </w:pPr>
          </w:p>
        </w:tc>
      </w:tr>
      <w:tr w:rsidR="00A11685" w:rsidRPr="004B07A1" w14:paraId="04DA2FFD" w14:textId="77777777" w:rsidTr="0020014E">
        <w:tc>
          <w:tcPr>
            <w:tcW w:w="9634" w:type="dxa"/>
            <w:gridSpan w:val="3"/>
            <w:shd w:val="clear" w:color="auto" w:fill="F2F2F2"/>
            <w:vAlign w:val="center"/>
          </w:tcPr>
          <w:p w14:paraId="5921E850"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Фінансові показники проєкту</w:t>
            </w:r>
          </w:p>
        </w:tc>
      </w:tr>
      <w:tr w:rsidR="00A11685" w:rsidRPr="004B07A1" w14:paraId="12F0BC58" w14:textId="77777777" w:rsidTr="0020014E">
        <w:tc>
          <w:tcPr>
            <w:tcW w:w="6345" w:type="dxa"/>
            <w:gridSpan w:val="2"/>
            <w:vAlign w:val="center"/>
          </w:tcPr>
          <w:p w14:paraId="416FB81B"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Загальна вартість проєкту, тис. грн.</w:t>
            </w:r>
          </w:p>
        </w:tc>
        <w:tc>
          <w:tcPr>
            <w:tcW w:w="3289" w:type="dxa"/>
            <w:shd w:val="clear" w:color="auto" w:fill="FFFF99"/>
            <w:vAlign w:val="center"/>
          </w:tcPr>
          <w:p w14:paraId="75F6AA50" w14:textId="77777777" w:rsidR="00A11685" w:rsidRPr="006D11B1" w:rsidRDefault="006D11B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637 747,5</w:t>
            </w:r>
          </w:p>
        </w:tc>
      </w:tr>
      <w:tr w:rsidR="00A11685" w:rsidRPr="004B07A1" w14:paraId="1EB9E006" w14:textId="77777777" w:rsidTr="0020014E">
        <w:tc>
          <w:tcPr>
            <w:tcW w:w="6345" w:type="dxa"/>
            <w:gridSpan w:val="2"/>
            <w:vAlign w:val="center"/>
          </w:tcPr>
          <w:p w14:paraId="38764A6B"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Сума інвестованих коштів, тис. грн.</w:t>
            </w:r>
          </w:p>
        </w:tc>
        <w:tc>
          <w:tcPr>
            <w:tcW w:w="3289" w:type="dxa"/>
            <w:shd w:val="clear" w:color="auto" w:fill="FFFF99"/>
            <w:vAlign w:val="center"/>
          </w:tcPr>
          <w:p w14:paraId="2D11CB88" w14:textId="77777777" w:rsidR="00A11685" w:rsidRPr="006D11B1" w:rsidRDefault="006D11B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0,0</w:t>
            </w:r>
          </w:p>
        </w:tc>
      </w:tr>
      <w:tr w:rsidR="00A11685" w:rsidRPr="004B07A1" w14:paraId="6EE7AFDC" w14:textId="77777777" w:rsidTr="0020014E">
        <w:tc>
          <w:tcPr>
            <w:tcW w:w="6345" w:type="dxa"/>
            <w:gridSpan w:val="2"/>
            <w:vAlign w:val="center"/>
          </w:tcPr>
          <w:p w14:paraId="5BD401D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Загальна вартість проєкту, євро</w:t>
            </w:r>
          </w:p>
        </w:tc>
        <w:tc>
          <w:tcPr>
            <w:tcW w:w="3289" w:type="dxa"/>
            <w:shd w:val="clear" w:color="auto" w:fill="FFFF99"/>
            <w:vAlign w:val="center"/>
          </w:tcPr>
          <w:p w14:paraId="6F56C59B" w14:textId="77777777" w:rsidR="00A11685" w:rsidRPr="006D11B1" w:rsidRDefault="006D11B1" w:rsidP="006D11B1">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12 754 950</w:t>
            </w:r>
          </w:p>
        </w:tc>
      </w:tr>
      <w:tr w:rsidR="00A11685" w:rsidRPr="004B07A1" w14:paraId="143BA5FE" w14:textId="77777777" w:rsidTr="0020014E">
        <w:tc>
          <w:tcPr>
            <w:tcW w:w="6345" w:type="dxa"/>
            <w:gridSpan w:val="2"/>
            <w:vAlign w:val="center"/>
          </w:tcPr>
          <w:p w14:paraId="4952822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Сума інвестованих коштів, євро</w:t>
            </w:r>
          </w:p>
        </w:tc>
        <w:tc>
          <w:tcPr>
            <w:tcW w:w="3289" w:type="dxa"/>
            <w:shd w:val="clear" w:color="auto" w:fill="FFFF99"/>
            <w:vAlign w:val="center"/>
          </w:tcPr>
          <w:p w14:paraId="7D572BE3" w14:textId="77777777" w:rsidR="00A11685" w:rsidRPr="006D11B1" w:rsidRDefault="006D11B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0,0</w:t>
            </w:r>
          </w:p>
        </w:tc>
      </w:tr>
      <w:tr w:rsidR="00A11685" w:rsidRPr="004B07A1" w14:paraId="7FF09001" w14:textId="77777777" w:rsidTr="0020014E">
        <w:tc>
          <w:tcPr>
            <w:tcW w:w="6345" w:type="dxa"/>
            <w:gridSpan w:val="2"/>
            <w:vAlign w:val="center"/>
          </w:tcPr>
          <w:p w14:paraId="4F5BC4EF"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Фінансова економія, тис. грн/рік</w:t>
            </w:r>
          </w:p>
        </w:tc>
        <w:tc>
          <w:tcPr>
            <w:tcW w:w="3289" w:type="dxa"/>
            <w:shd w:val="clear" w:color="auto" w:fill="FFFF99"/>
            <w:vAlign w:val="center"/>
          </w:tcPr>
          <w:p w14:paraId="0E9EDF7E" w14:textId="77777777" w:rsidR="00A11685" w:rsidRPr="006D11B1" w:rsidRDefault="00360EF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66 350,00</w:t>
            </w:r>
          </w:p>
        </w:tc>
      </w:tr>
      <w:tr w:rsidR="00A11685" w:rsidRPr="004B07A1" w14:paraId="5EC7BE8B" w14:textId="77777777" w:rsidTr="0020014E">
        <w:tc>
          <w:tcPr>
            <w:tcW w:w="6345" w:type="dxa"/>
            <w:gridSpan w:val="2"/>
            <w:vAlign w:val="center"/>
          </w:tcPr>
          <w:p w14:paraId="4AD16F26" w14:textId="77777777" w:rsidR="00A11685" w:rsidRPr="004B07A1" w:rsidRDefault="00A11685" w:rsidP="0077465E">
            <w:pPr>
              <w:rPr>
                <w:rFonts w:ascii="Times New Roman" w:eastAsia="Times New Roman" w:hAnsi="Times New Roman" w:cs="Times New Roman"/>
                <w:sz w:val="24"/>
                <w:szCs w:val="24"/>
              </w:rPr>
            </w:pPr>
            <w:r w:rsidRPr="004B07A1">
              <w:rPr>
                <w:rFonts w:ascii="Times New Roman" w:eastAsia="Times New Roman" w:hAnsi="Times New Roman" w:cs="Times New Roman"/>
                <w:color w:val="000000"/>
                <w:sz w:val="24"/>
                <w:szCs w:val="24"/>
              </w:rPr>
              <w:t>Фінансова економія, євро/рік</w:t>
            </w:r>
          </w:p>
        </w:tc>
        <w:tc>
          <w:tcPr>
            <w:tcW w:w="3289" w:type="dxa"/>
            <w:shd w:val="clear" w:color="auto" w:fill="FFFF99"/>
            <w:vAlign w:val="center"/>
          </w:tcPr>
          <w:p w14:paraId="5FA1D726" w14:textId="77777777" w:rsidR="00A11685" w:rsidRPr="006D11B1" w:rsidRDefault="00360EF1" w:rsidP="0077465E">
            <w:pPr>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1 327 000,00</w:t>
            </w:r>
          </w:p>
        </w:tc>
      </w:tr>
      <w:tr w:rsidR="00A11685" w:rsidRPr="004B07A1" w14:paraId="5C5B5581" w14:textId="77777777" w:rsidTr="0020014E">
        <w:tc>
          <w:tcPr>
            <w:tcW w:w="6345" w:type="dxa"/>
            <w:gridSpan w:val="2"/>
            <w:vAlign w:val="center"/>
          </w:tcPr>
          <w:p w14:paraId="2FE5D05C"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Термін окупності проєкту</w:t>
            </w:r>
          </w:p>
        </w:tc>
        <w:tc>
          <w:tcPr>
            <w:tcW w:w="3289" w:type="dxa"/>
            <w:shd w:val="clear" w:color="auto" w:fill="FFFF99"/>
            <w:vAlign w:val="center"/>
          </w:tcPr>
          <w:p w14:paraId="1E77288C" w14:textId="77777777" w:rsidR="00A11685" w:rsidRPr="00360EF1" w:rsidRDefault="00360EF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26,4 роки</w:t>
            </w:r>
          </w:p>
        </w:tc>
      </w:tr>
      <w:tr w:rsidR="00A11685" w:rsidRPr="004B07A1" w14:paraId="1B25C6EA" w14:textId="77777777" w:rsidTr="0020014E">
        <w:tc>
          <w:tcPr>
            <w:tcW w:w="9634" w:type="dxa"/>
            <w:gridSpan w:val="3"/>
            <w:shd w:val="clear" w:color="auto" w:fill="F2F2F2"/>
            <w:vAlign w:val="center"/>
          </w:tcPr>
          <w:p w14:paraId="36EC1D1E"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Технічні показники проєкту</w:t>
            </w:r>
          </w:p>
        </w:tc>
      </w:tr>
      <w:tr w:rsidR="00A11685" w:rsidRPr="004B07A1" w14:paraId="445523B4" w14:textId="77777777" w:rsidTr="0020014E">
        <w:tc>
          <w:tcPr>
            <w:tcW w:w="6345" w:type="dxa"/>
            <w:gridSpan w:val="2"/>
            <w:vAlign w:val="center"/>
          </w:tcPr>
          <w:p w14:paraId="134CCFA2"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Зменшення використання енергоресурсів в результаті впровадження проєкту (МВт.год/рік)</w:t>
            </w:r>
          </w:p>
        </w:tc>
        <w:tc>
          <w:tcPr>
            <w:tcW w:w="3289" w:type="dxa"/>
            <w:shd w:val="clear" w:color="auto" w:fill="FFFF99"/>
            <w:vAlign w:val="center"/>
          </w:tcPr>
          <w:p w14:paraId="04C63E6A" w14:textId="77777777" w:rsidR="00A11685" w:rsidRPr="00360EF1" w:rsidRDefault="00360EF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23 244,0</w:t>
            </w:r>
          </w:p>
        </w:tc>
      </w:tr>
      <w:tr w:rsidR="00A11685" w:rsidRPr="004B07A1" w14:paraId="5E1BEC68" w14:textId="77777777" w:rsidTr="0020014E">
        <w:tc>
          <w:tcPr>
            <w:tcW w:w="6345" w:type="dxa"/>
            <w:gridSpan w:val="2"/>
            <w:vAlign w:val="center"/>
          </w:tcPr>
          <w:p w14:paraId="114776E7"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Збільшення виробництва енергії з ВДЕ в результаті впровадження проєкту (МВт.год/рік)</w:t>
            </w:r>
          </w:p>
        </w:tc>
        <w:tc>
          <w:tcPr>
            <w:tcW w:w="3289" w:type="dxa"/>
            <w:shd w:val="clear" w:color="auto" w:fill="FFFF99"/>
            <w:vAlign w:val="center"/>
          </w:tcPr>
          <w:p w14:paraId="7DA92C78" w14:textId="77777777" w:rsidR="00A11685" w:rsidRPr="00360EF1" w:rsidRDefault="00360EF1" w:rsidP="0077465E">
            <w:pPr>
              <w:pBdr>
                <w:top w:val="nil"/>
                <w:left w:val="nil"/>
                <w:bottom w:val="nil"/>
                <w:right w:val="nil"/>
                <w:between w:val="nil"/>
              </w:pBdr>
              <w:spacing w:after="200" w:line="276" w:lineRule="auto"/>
              <w:ind w:left="720" w:hanging="720"/>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Х</w:t>
            </w:r>
          </w:p>
        </w:tc>
      </w:tr>
      <w:tr w:rsidR="00A11685" w:rsidRPr="004B07A1" w14:paraId="4C6B3DCE" w14:textId="77777777" w:rsidTr="0020014E">
        <w:tc>
          <w:tcPr>
            <w:tcW w:w="6345" w:type="dxa"/>
            <w:gridSpan w:val="2"/>
            <w:vAlign w:val="center"/>
          </w:tcPr>
          <w:p w14:paraId="70493283"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Скорочення викидів СО</w:t>
            </w:r>
            <w:r w:rsidRPr="004B07A1">
              <w:rPr>
                <w:rFonts w:ascii="Times New Roman" w:eastAsia="Times New Roman" w:hAnsi="Times New Roman" w:cs="Times New Roman"/>
                <w:color w:val="000000"/>
                <w:sz w:val="24"/>
                <w:szCs w:val="24"/>
                <w:vertAlign w:val="subscript"/>
              </w:rPr>
              <w:t>2</w:t>
            </w:r>
            <w:r w:rsidRPr="004B07A1">
              <w:rPr>
                <w:rFonts w:ascii="Times New Roman" w:eastAsia="Times New Roman" w:hAnsi="Times New Roman" w:cs="Times New Roman"/>
                <w:color w:val="000000"/>
                <w:sz w:val="24"/>
                <w:szCs w:val="24"/>
              </w:rPr>
              <w:t xml:space="preserve"> в результаті впровадження проєкту, т/рік</w:t>
            </w:r>
          </w:p>
        </w:tc>
        <w:tc>
          <w:tcPr>
            <w:tcW w:w="3289" w:type="dxa"/>
            <w:shd w:val="clear" w:color="auto" w:fill="FFFF99"/>
            <w:vAlign w:val="center"/>
          </w:tcPr>
          <w:p w14:paraId="4323B889" w14:textId="77777777" w:rsidR="00A11685" w:rsidRPr="00360EF1" w:rsidRDefault="00360EF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6 071,0</w:t>
            </w:r>
          </w:p>
        </w:tc>
      </w:tr>
      <w:tr w:rsidR="00A11685" w:rsidRPr="004B07A1" w14:paraId="26581E3D" w14:textId="77777777" w:rsidTr="0020014E">
        <w:tc>
          <w:tcPr>
            <w:tcW w:w="9634" w:type="dxa"/>
            <w:gridSpan w:val="3"/>
            <w:shd w:val="clear" w:color="auto" w:fill="F2F2F2"/>
            <w:vAlign w:val="center"/>
          </w:tcPr>
          <w:p w14:paraId="492EE01A"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Виконання</w:t>
            </w:r>
          </w:p>
        </w:tc>
      </w:tr>
      <w:tr w:rsidR="00A11685" w:rsidRPr="004B07A1" w14:paraId="75557D2F" w14:textId="77777777" w:rsidTr="0020014E">
        <w:tc>
          <w:tcPr>
            <w:tcW w:w="6345" w:type="dxa"/>
            <w:gridSpan w:val="2"/>
            <w:vAlign w:val="center"/>
          </w:tcPr>
          <w:p w14:paraId="1D8CC70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Терміни виконання</w:t>
            </w:r>
            <w:r w:rsidRPr="004B07A1">
              <w:rPr>
                <w:rFonts w:ascii="Times New Roman" w:eastAsia="Times New Roman" w:hAnsi="Times New Roman" w:cs="Times New Roman"/>
                <w:color w:val="000000"/>
                <w:sz w:val="24"/>
                <w:szCs w:val="24"/>
              </w:rPr>
              <w:br/>
              <w:t>(рік початку, рік закінчення)</w:t>
            </w:r>
          </w:p>
        </w:tc>
        <w:tc>
          <w:tcPr>
            <w:tcW w:w="3289" w:type="dxa"/>
            <w:shd w:val="clear" w:color="auto" w:fill="FFFF99"/>
            <w:vAlign w:val="center"/>
          </w:tcPr>
          <w:p w14:paraId="3CBB37B9" w14:textId="77777777" w:rsidR="00A11685" w:rsidRPr="00360EF1" w:rsidRDefault="00360EF1" w:rsidP="0077465E">
            <w:pPr>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2025-2028</w:t>
            </w:r>
          </w:p>
        </w:tc>
      </w:tr>
      <w:tr w:rsidR="00A11685" w:rsidRPr="004B07A1" w14:paraId="35A6C429" w14:textId="77777777" w:rsidTr="0020014E">
        <w:tc>
          <w:tcPr>
            <w:tcW w:w="6345" w:type="dxa"/>
            <w:gridSpan w:val="2"/>
            <w:vAlign w:val="center"/>
          </w:tcPr>
          <w:p w14:paraId="6BB07121"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Стан виконання</w:t>
            </w:r>
          </w:p>
        </w:tc>
        <w:tc>
          <w:tcPr>
            <w:tcW w:w="3289" w:type="dxa"/>
            <w:shd w:val="clear" w:color="auto" w:fill="FFFF99"/>
            <w:vAlign w:val="center"/>
          </w:tcPr>
          <w:p w14:paraId="6AF0DEF8" w14:textId="77777777" w:rsidR="00A11685" w:rsidRPr="00360EF1" w:rsidRDefault="00360EF1"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ru-RU"/>
              </w:rPr>
              <w:t>На етапі підготовки</w:t>
            </w:r>
          </w:p>
        </w:tc>
      </w:tr>
      <w:tr w:rsidR="00A11685" w:rsidRPr="004B07A1" w14:paraId="39BE1221" w14:textId="77777777" w:rsidTr="0020014E">
        <w:tc>
          <w:tcPr>
            <w:tcW w:w="9634" w:type="dxa"/>
            <w:gridSpan w:val="3"/>
            <w:shd w:val="clear" w:color="auto" w:fill="F2F2F2"/>
            <w:vAlign w:val="center"/>
          </w:tcPr>
          <w:p w14:paraId="59C01A4E"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Публікації, фото, відео</w:t>
            </w:r>
          </w:p>
        </w:tc>
      </w:tr>
      <w:tr w:rsidR="00A11685" w:rsidRPr="004B07A1" w14:paraId="1F551BE4" w14:textId="77777777" w:rsidTr="0020014E">
        <w:tc>
          <w:tcPr>
            <w:tcW w:w="6345" w:type="dxa"/>
            <w:gridSpan w:val="2"/>
            <w:vAlign w:val="center"/>
          </w:tcPr>
          <w:p w14:paraId="4BCA5620"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Сторінка вебсайту</w:t>
            </w:r>
          </w:p>
        </w:tc>
        <w:tc>
          <w:tcPr>
            <w:tcW w:w="3289" w:type="dxa"/>
            <w:shd w:val="clear" w:color="auto" w:fill="FFFF99"/>
            <w:vAlign w:val="center"/>
          </w:tcPr>
          <w:p w14:paraId="2C56F72C" w14:textId="77777777" w:rsidR="00A11685" w:rsidRPr="00614D54" w:rsidRDefault="00360EF1" w:rsidP="00360EF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zt-rada.gov.ua</w:t>
            </w:r>
            <w:r w:rsidR="00A11685" w:rsidRPr="00614D54">
              <w:rPr>
                <w:rFonts w:ascii="Times New Roman" w:eastAsia="Times New Roman" w:hAnsi="Times New Roman" w:cs="Times New Roman"/>
                <w:color w:val="000000"/>
                <w:sz w:val="20"/>
                <w:szCs w:val="20"/>
              </w:rPr>
              <w:t xml:space="preserve"> </w:t>
            </w:r>
          </w:p>
        </w:tc>
      </w:tr>
      <w:tr w:rsidR="00A11685" w:rsidRPr="004B07A1" w14:paraId="6A6625E5" w14:textId="77777777" w:rsidTr="0020014E">
        <w:tc>
          <w:tcPr>
            <w:tcW w:w="6345" w:type="dxa"/>
            <w:gridSpan w:val="2"/>
            <w:vAlign w:val="center"/>
          </w:tcPr>
          <w:p w14:paraId="1F1BC98E" w14:textId="77777777" w:rsidR="00A11685" w:rsidRPr="004B07A1"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Посилання на відео</w:t>
            </w:r>
          </w:p>
        </w:tc>
        <w:tc>
          <w:tcPr>
            <w:tcW w:w="3289" w:type="dxa"/>
            <w:shd w:val="clear" w:color="auto" w:fill="FFFF99"/>
            <w:vAlign w:val="center"/>
          </w:tcPr>
          <w:p w14:paraId="08100A41" w14:textId="77777777" w:rsidR="00A11685" w:rsidRPr="00360EF1" w:rsidRDefault="00360EF1" w:rsidP="0077465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Х</w:t>
            </w:r>
          </w:p>
        </w:tc>
      </w:tr>
      <w:tr w:rsidR="00A11685" w:rsidRPr="004B07A1" w14:paraId="34DD35F2" w14:textId="77777777" w:rsidTr="0020014E">
        <w:trPr>
          <w:trHeight w:val="578"/>
        </w:trPr>
        <w:tc>
          <w:tcPr>
            <w:tcW w:w="9634" w:type="dxa"/>
            <w:gridSpan w:val="3"/>
            <w:shd w:val="clear" w:color="auto" w:fill="FFFF99"/>
            <w:vAlign w:val="center"/>
          </w:tcPr>
          <w:p w14:paraId="6BC8AA90" w14:textId="77777777" w:rsidR="00A11685" w:rsidRPr="004B07A1" w:rsidRDefault="00A11685" w:rsidP="0077465E">
            <w:pPr>
              <w:jc w:val="center"/>
              <w:rPr>
                <w:rFonts w:ascii="Times New Roman" w:eastAsia="Times New Roman" w:hAnsi="Times New Roman" w:cs="Times New Roman"/>
                <w:i/>
                <w:color w:val="000000"/>
                <w:sz w:val="24"/>
                <w:szCs w:val="24"/>
              </w:rPr>
            </w:pPr>
            <w:r w:rsidRPr="004B07A1">
              <w:rPr>
                <w:rFonts w:ascii="Times New Roman" w:eastAsia="Times New Roman" w:hAnsi="Times New Roman" w:cs="Times New Roman"/>
                <w:i/>
                <w:color w:val="000000"/>
                <w:sz w:val="24"/>
                <w:szCs w:val="24"/>
              </w:rPr>
              <w:t>(Фото, Ілюстрація)</w:t>
            </w:r>
          </w:p>
          <w:p w14:paraId="0C44577E" w14:textId="77777777" w:rsidR="00A11685" w:rsidRPr="004B07A1" w:rsidRDefault="00A11685" w:rsidP="0077465E">
            <w:pPr>
              <w:jc w:val="center"/>
              <w:rPr>
                <w:rFonts w:ascii="Times New Roman" w:eastAsia="Times New Roman" w:hAnsi="Times New Roman" w:cs="Times New Roman"/>
                <w:color w:val="000000"/>
                <w:sz w:val="24"/>
                <w:szCs w:val="24"/>
              </w:rPr>
            </w:pPr>
          </w:p>
        </w:tc>
      </w:tr>
      <w:tr w:rsidR="00A11685" w:rsidRPr="00340006" w14:paraId="20C61ED1" w14:textId="77777777" w:rsidTr="0020014E">
        <w:trPr>
          <w:trHeight w:val="426"/>
        </w:trPr>
        <w:tc>
          <w:tcPr>
            <w:tcW w:w="9634" w:type="dxa"/>
            <w:gridSpan w:val="3"/>
            <w:shd w:val="clear" w:color="auto" w:fill="F2F2F2"/>
            <w:vAlign w:val="center"/>
          </w:tcPr>
          <w:p w14:paraId="256B4F18" w14:textId="77777777" w:rsidR="00A11685" w:rsidRPr="00340006" w:rsidRDefault="00A11685" w:rsidP="0077465E">
            <w:pPr>
              <w:rPr>
                <w:rFonts w:ascii="Times New Roman" w:eastAsia="Times New Roman" w:hAnsi="Times New Roman" w:cs="Times New Roman"/>
                <w:color w:val="000000"/>
                <w:sz w:val="24"/>
                <w:szCs w:val="24"/>
              </w:rPr>
            </w:pPr>
            <w:r w:rsidRPr="004B07A1">
              <w:rPr>
                <w:rFonts w:ascii="Times New Roman" w:eastAsia="Times New Roman" w:hAnsi="Times New Roman" w:cs="Times New Roman"/>
                <w:color w:val="000000"/>
                <w:sz w:val="24"/>
                <w:szCs w:val="24"/>
              </w:rPr>
              <w:t>Результати проєкту</w:t>
            </w:r>
          </w:p>
        </w:tc>
      </w:tr>
      <w:tr w:rsidR="00A11685" w:rsidRPr="00340006" w14:paraId="671262FD" w14:textId="77777777" w:rsidTr="00360EF1">
        <w:trPr>
          <w:trHeight w:val="982"/>
        </w:trPr>
        <w:tc>
          <w:tcPr>
            <w:tcW w:w="9634" w:type="dxa"/>
            <w:gridSpan w:val="3"/>
            <w:shd w:val="clear" w:color="auto" w:fill="FFFF99"/>
            <w:vAlign w:val="center"/>
          </w:tcPr>
          <w:p w14:paraId="6B98FC42" w14:textId="77777777" w:rsidR="00A11685" w:rsidRPr="00340006" w:rsidRDefault="00360EF1" w:rsidP="00360EF1">
            <w:pPr>
              <w:spacing w:before="60" w:after="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Очікувані результати: утеплені 40 будівель закладів освіти Житомирської громади, досягнуті показники економії енергії та забезпечено комфортні умови для учасників освітнього процесу</w:t>
            </w:r>
          </w:p>
        </w:tc>
      </w:tr>
    </w:tbl>
    <w:p w14:paraId="476C7D38" w14:textId="77777777" w:rsidR="00C82386" w:rsidRPr="00360EF1" w:rsidRDefault="00E66F64" w:rsidP="00360EF1">
      <w:pPr>
        <w:pBdr>
          <w:top w:val="nil"/>
          <w:left w:val="nil"/>
          <w:bottom w:val="nil"/>
          <w:right w:val="nil"/>
          <w:between w:val="nil"/>
        </w:pBdr>
        <w:spacing w:before="240"/>
        <w:ind w:left="420"/>
        <w:rPr>
          <w:rFonts w:ascii="Times New Roman" w:eastAsia="Times New Roman" w:hAnsi="Times New Roman" w:cs="Times New Roman"/>
          <w:color w:val="000000"/>
          <w:sz w:val="24"/>
          <w:szCs w:val="24"/>
          <w:u w:val="single"/>
          <w:shd w:val="clear" w:color="auto" w:fill="FFFF99"/>
        </w:rPr>
      </w:pPr>
      <w:r>
        <w:rPr>
          <w:rFonts w:ascii="Times New Roman" w:eastAsia="Times New Roman" w:hAnsi="Times New Roman" w:cs="Times New Roman"/>
          <w:b/>
          <w:color w:val="000000"/>
          <w:sz w:val="24"/>
          <w:szCs w:val="24"/>
        </w:rPr>
        <w:lastRenderedPageBreak/>
        <w:t>Ключовий захід # 3</w:t>
      </w:r>
      <w:r>
        <w:rPr>
          <w:color w:val="000000"/>
        </w:rPr>
        <w:t xml:space="preserve"> </w:t>
      </w:r>
      <w:r w:rsidRPr="00360EF1">
        <w:rPr>
          <w:rFonts w:ascii="Times New Roman" w:eastAsia="Times New Roman" w:hAnsi="Times New Roman" w:cs="Times New Roman"/>
          <w:color w:val="000000"/>
          <w:sz w:val="24"/>
          <w:szCs w:val="24"/>
          <w:u w:val="single"/>
          <w:shd w:val="clear" w:color="auto" w:fill="FFFF99"/>
        </w:rPr>
        <w:t>Термомодернізація багатоквартирних будинків (ОСББ)</w:t>
      </w:r>
    </w:p>
    <w:tbl>
      <w:tblPr>
        <w:tblStyle w:val="affffff3"/>
        <w:tblW w:w="96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4394"/>
        <w:gridCol w:w="3289"/>
      </w:tblGrid>
      <w:tr w:rsidR="00A11685" w:rsidRPr="00340006" w14:paraId="12FCA584" w14:textId="77777777" w:rsidTr="00360EF1">
        <w:tc>
          <w:tcPr>
            <w:tcW w:w="1951" w:type="dxa"/>
            <w:shd w:val="clear" w:color="auto" w:fill="D9D9D9"/>
          </w:tcPr>
          <w:p w14:paraId="280CAA1B"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Показники проєкту</w:t>
            </w:r>
          </w:p>
        </w:tc>
        <w:tc>
          <w:tcPr>
            <w:tcW w:w="7683" w:type="dxa"/>
            <w:gridSpan w:val="2"/>
            <w:tcBorders>
              <w:bottom w:val="single" w:sz="4" w:space="0" w:color="000000"/>
            </w:tcBorders>
            <w:shd w:val="clear" w:color="auto" w:fill="D9D9D9"/>
          </w:tcPr>
          <w:p w14:paraId="08E6A2B5"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Значення</w:t>
            </w:r>
          </w:p>
        </w:tc>
      </w:tr>
      <w:tr w:rsidR="00A11685" w:rsidRPr="00340006" w14:paraId="545F70DE" w14:textId="77777777" w:rsidTr="00360EF1">
        <w:tc>
          <w:tcPr>
            <w:tcW w:w="1951" w:type="dxa"/>
          </w:tcPr>
          <w:p w14:paraId="01666F6E"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Назва проєкту</w:t>
            </w:r>
          </w:p>
        </w:tc>
        <w:tc>
          <w:tcPr>
            <w:tcW w:w="7683" w:type="dxa"/>
            <w:gridSpan w:val="2"/>
            <w:shd w:val="clear" w:color="auto" w:fill="FFFF99"/>
          </w:tcPr>
          <w:p w14:paraId="51CD8475"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Термомодернізація багатоквартирних будинків (ОСББ)</w:t>
            </w:r>
          </w:p>
        </w:tc>
      </w:tr>
      <w:tr w:rsidR="00A11685" w:rsidRPr="00340006" w14:paraId="312DD502" w14:textId="77777777" w:rsidTr="00360EF1">
        <w:trPr>
          <w:trHeight w:val="557"/>
        </w:trPr>
        <w:tc>
          <w:tcPr>
            <w:tcW w:w="1951" w:type="dxa"/>
          </w:tcPr>
          <w:p w14:paraId="6C79DD52"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Опис проєкту</w:t>
            </w:r>
          </w:p>
          <w:p w14:paraId="1A2C897A"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i/>
                <w:color w:val="000000"/>
                <w:sz w:val="24"/>
                <w:szCs w:val="24"/>
              </w:rPr>
              <w:t>(до 300 слів)</w:t>
            </w:r>
          </w:p>
        </w:tc>
        <w:tc>
          <w:tcPr>
            <w:tcW w:w="7683" w:type="dxa"/>
            <w:gridSpan w:val="2"/>
            <w:shd w:val="clear" w:color="auto" w:fill="FFFF99"/>
          </w:tcPr>
          <w:p w14:paraId="39A2DC5F" w14:textId="77777777" w:rsidR="00DD30B2" w:rsidRPr="00DD30B2" w:rsidRDefault="00DD30B2" w:rsidP="0077465E">
            <w:pP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Підтримка термомодернізації житлових будинків громади, де створені ОСББ, в рамках реалізації програми «ЕНЕРГОДІМ».</w:t>
            </w:r>
          </w:p>
          <w:p w14:paraId="37ECF431" w14:textId="77777777" w:rsidR="00A11685" w:rsidRDefault="00A11685" w:rsidP="0077465E">
            <w:pPr>
              <w:spacing w:before="120" w:after="120"/>
              <w:jc w:val="both"/>
              <w:rPr>
                <w:rFonts w:ascii="Times New Roman" w:eastAsia="Times New Roman" w:hAnsi="Times New Roman" w:cs="Times New Roman"/>
                <w:color w:val="000000"/>
                <w:sz w:val="24"/>
                <w:szCs w:val="24"/>
              </w:rPr>
            </w:pPr>
            <w:r w:rsidRPr="00EB3D68">
              <w:rPr>
                <w:rFonts w:ascii="Times New Roman" w:eastAsia="Times New Roman" w:hAnsi="Times New Roman" w:cs="Times New Roman"/>
                <w:color w:val="000000"/>
                <w:sz w:val="24"/>
                <w:szCs w:val="24"/>
              </w:rPr>
              <w:t>Дія державної програми «Енергодім» через Фонд Енергоефективності надає можливість впровадження енергоефективних заходів для будівель ОСББ, як мінімальний набір заходів (Пакет А) так і пакет повної термомодернізації (Пакет Б). Під час війни діють Пакет А спрощений, Пакет Б спрощений. В рамках програми на умовах співфінансування ОСББ маю можливість виконати наступні заходи: утеплення фасадів, даху, цоколю, заміна вікон та дверей, встановлення ІТП, промивка, гідравлічне балансування системи, заміна вікон на сходових клітках, відновлення теплової ізоляції трубопроводів, ремонт покрівель, заходи з санації інженерних мереж.</w:t>
            </w:r>
          </w:p>
          <w:p w14:paraId="1860C0D0" w14:textId="77777777" w:rsidR="00A11685" w:rsidRPr="00EB3D68" w:rsidRDefault="00A11685" w:rsidP="0077465E">
            <w:pPr>
              <w:spacing w:before="120" w:after="120"/>
              <w:jc w:val="both"/>
              <w:rPr>
                <w:rFonts w:ascii="Times New Roman" w:eastAsia="Times New Roman" w:hAnsi="Times New Roman" w:cs="Times New Roman"/>
                <w:color w:val="000000"/>
                <w:sz w:val="24"/>
                <w:szCs w:val="24"/>
              </w:rPr>
            </w:pPr>
            <w:r w:rsidRPr="00EB3D68">
              <w:rPr>
                <w:rFonts w:ascii="Times New Roman" w:eastAsia="Times New Roman" w:hAnsi="Times New Roman" w:cs="Times New Roman"/>
                <w:color w:val="000000"/>
                <w:sz w:val="24"/>
                <w:szCs w:val="24"/>
              </w:rPr>
              <w:t>Житловий фонд багатоквартирних будинків Житомирської громади станом на 01.11.2024 року налічує 1540 будинків, серед яких зареєстровано 480 об’єднання співвласників багатоквартирних будинків (далі - ОСББ) у 533 житлових будинках. Житловий фонд є одним з найбільш енергозатратних секторів. Найбільші витрати природного газу, ціна на який постійно зростає, здійснюються для опалення житла та для виробництва тепла системою централізованого теплопостачання. Потенціал економії теплової енергії для потреб опалення складає 40-60% в кожному будинку у випадку підвищення його енергозберігаючих характеристик.</w:t>
            </w:r>
          </w:p>
          <w:p w14:paraId="52D1AA34" w14:textId="77777777" w:rsidR="00A11685" w:rsidRPr="00360EF1" w:rsidRDefault="00A11685" w:rsidP="00360EF1">
            <w:pPr>
              <w:spacing w:before="120" w:after="120"/>
              <w:jc w:val="both"/>
              <w:rPr>
                <w:rFonts w:ascii="Times New Roman" w:eastAsia="Times New Roman" w:hAnsi="Times New Roman" w:cs="Times New Roman"/>
                <w:color w:val="000000"/>
                <w:sz w:val="24"/>
                <w:szCs w:val="24"/>
              </w:rPr>
            </w:pPr>
            <w:r w:rsidRPr="00EB3D68">
              <w:rPr>
                <w:rFonts w:ascii="Times New Roman" w:eastAsia="Times New Roman" w:hAnsi="Times New Roman" w:cs="Times New Roman"/>
                <w:color w:val="000000"/>
                <w:sz w:val="24"/>
                <w:szCs w:val="24"/>
              </w:rPr>
              <w:t>У 2015-2020 роках в Житомирі діяли міські програми підтримки запровадження енергоефективних заходів в рамках урядової програми «теплі кредити». ОСББ Житомира могли отримати відшкодування відсотків або частини тіла кредиту, взятого на впровадження заходів з підвищення енергоефективності. Після завершення програми «теплих кредитів» почала діяти програма «ЕНЕРГОДІМ» державної установи «Фонд енергоефективності».</w:t>
            </w:r>
          </w:p>
          <w:p w14:paraId="507B6109" w14:textId="77777777" w:rsidR="00A11685" w:rsidRPr="00360EF1" w:rsidRDefault="00A11685" w:rsidP="00360EF1">
            <w:pPr>
              <w:spacing w:before="120" w:after="120"/>
              <w:jc w:val="both"/>
              <w:rPr>
                <w:rFonts w:ascii="Times New Roman" w:eastAsia="Times New Roman" w:hAnsi="Times New Roman" w:cs="Times New Roman"/>
                <w:color w:val="000000"/>
                <w:sz w:val="24"/>
                <w:szCs w:val="24"/>
              </w:rPr>
            </w:pPr>
            <w:r w:rsidRPr="00EB3D68">
              <w:rPr>
                <w:rFonts w:ascii="Times New Roman" w:eastAsia="Times New Roman" w:hAnsi="Times New Roman" w:cs="Times New Roman"/>
                <w:color w:val="000000"/>
                <w:sz w:val="24"/>
                <w:szCs w:val="24"/>
              </w:rPr>
              <w:t>У зв’язку з воєнним станом на території України з лютого 2022 року банківські установи зупинили видачу кредитів для ОСББ.</w:t>
            </w:r>
          </w:p>
          <w:p w14:paraId="28466F70" w14:textId="77777777" w:rsidR="00A11685" w:rsidRPr="00EB3D68" w:rsidRDefault="00A11685" w:rsidP="00360EF1">
            <w:pPr>
              <w:spacing w:before="120" w:after="120"/>
              <w:jc w:val="both"/>
              <w:rPr>
                <w:rFonts w:ascii="Times New Roman" w:eastAsia="Times New Roman" w:hAnsi="Times New Roman" w:cs="Times New Roman"/>
                <w:color w:val="000000"/>
                <w:sz w:val="24"/>
                <w:szCs w:val="24"/>
                <w:lang w:val="ru-RU"/>
              </w:rPr>
            </w:pPr>
            <w:r w:rsidRPr="00EB3D68">
              <w:rPr>
                <w:rFonts w:ascii="Times New Roman" w:eastAsia="Times New Roman" w:hAnsi="Times New Roman" w:cs="Times New Roman"/>
                <w:color w:val="000000"/>
                <w:sz w:val="24"/>
                <w:szCs w:val="24"/>
              </w:rPr>
              <w:t>У 2023</w:t>
            </w:r>
            <w:r>
              <w:rPr>
                <w:rFonts w:ascii="Times New Roman" w:eastAsia="Times New Roman" w:hAnsi="Times New Roman" w:cs="Times New Roman"/>
                <w:color w:val="000000"/>
                <w:sz w:val="24"/>
                <w:szCs w:val="24"/>
              </w:rPr>
              <w:t xml:space="preserve"> та 2024</w:t>
            </w:r>
            <w:r w:rsidRPr="00EB3D68">
              <w:rPr>
                <w:rFonts w:ascii="Times New Roman" w:eastAsia="Times New Roman" w:hAnsi="Times New Roman" w:cs="Times New Roman"/>
                <w:color w:val="000000"/>
                <w:sz w:val="24"/>
                <w:szCs w:val="24"/>
              </w:rPr>
              <w:t xml:space="preserve"> ро</w:t>
            </w:r>
            <w:r>
              <w:rPr>
                <w:rFonts w:ascii="Times New Roman" w:eastAsia="Times New Roman" w:hAnsi="Times New Roman" w:cs="Times New Roman"/>
                <w:color w:val="000000"/>
                <w:sz w:val="24"/>
                <w:szCs w:val="24"/>
              </w:rPr>
              <w:t>ках</w:t>
            </w:r>
            <w:r w:rsidRPr="00EB3D68">
              <w:rPr>
                <w:rFonts w:ascii="Times New Roman" w:eastAsia="Times New Roman" w:hAnsi="Times New Roman" w:cs="Times New Roman"/>
                <w:color w:val="000000"/>
                <w:sz w:val="24"/>
                <w:szCs w:val="24"/>
              </w:rPr>
              <w:t xml:space="preserve"> було розроблено Порядок надання фінансової  підтримки для ОСББ (відшкодування частини від вартості виконаних робіт на заходи з енергоефективності)</w:t>
            </w:r>
            <w:r w:rsidRPr="00360EF1">
              <w:rPr>
                <w:rFonts w:ascii="Times New Roman" w:eastAsia="Times New Roman" w:hAnsi="Times New Roman" w:cs="Times New Roman"/>
                <w:color w:val="000000"/>
                <w:sz w:val="24"/>
                <w:szCs w:val="24"/>
              </w:rPr>
              <w:t> </w:t>
            </w:r>
            <w:r w:rsidRPr="00EB3D68">
              <w:rPr>
                <w:rFonts w:ascii="Times New Roman" w:eastAsia="Times New Roman" w:hAnsi="Times New Roman" w:cs="Times New Roman"/>
                <w:color w:val="000000"/>
                <w:sz w:val="24"/>
                <w:szCs w:val="24"/>
              </w:rPr>
              <w:t>як альтернатива діючому</w:t>
            </w:r>
            <w:r w:rsidRPr="00360EF1">
              <w:rPr>
                <w:rFonts w:ascii="Times New Roman" w:eastAsia="Times New Roman" w:hAnsi="Times New Roman" w:cs="Times New Roman"/>
                <w:color w:val="000000"/>
                <w:sz w:val="24"/>
                <w:szCs w:val="24"/>
              </w:rPr>
              <w:t> </w:t>
            </w:r>
            <w:r w:rsidRPr="00EB3D68">
              <w:rPr>
                <w:rFonts w:ascii="Times New Roman" w:eastAsia="Times New Roman" w:hAnsi="Times New Roman" w:cs="Times New Roman"/>
                <w:color w:val="000000"/>
                <w:sz w:val="24"/>
                <w:szCs w:val="24"/>
              </w:rPr>
              <w:t>Порядку</w:t>
            </w:r>
            <w:r w:rsidRPr="00360EF1">
              <w:rPr>
                <w:rFonts w:ascii="Times New Roman" w:eastAsia="Times New Roman" w:hAnsi="Times New Roman" w:cs="Times New Roman"/>
                <w:color w:val="000000"/>
                <w:sz w:val="24"/>
                <w:szCs w:val="24"/>
              </w:rPr>
              <w:t> </w:t>
            </w:r>
            <w:r w:rsidRPr="00EB3D68">
              <w:rPr>
                <w:rFonts w:ascii="Times New Roman" w:eastAsia="Times New Roman" w:hAnsi="Times New Roman" w:cs="Times New Roman"/>
                <w:color w:val="000000"/>
                <w:sz w:val="24"/>
                <w:szCs w:val="24"/>
              </w:rPr>
              <w:t>відшкодування відсотків по кредиту на впровадження заходів по програмі «</w:t>
            </w:r>
            <w:r w:rsidR="00360EF1">
              <w:rPr>
                <w:rFonts w:ascii="Times New Roman" w:eastAsia="Times New Roman" w:hAnsi="Times New Roman" w:cs="Times New Roman"/>
                <w:color w:val="000000"/>
                <w:sz w:val="24"/>
                <w:szCs w:val="24"/>
              </w:rPr>
              <w:t>ЕНЕРГОДІМ».</w:t>
            </w:r>
          </w:p>
        </w:tc>
      </w:tr>
      <w:tr w:rsidR="00A11685" w:rsidRPr="00340006" w14:paraId="4EC9873C" w14:textId="77777777" w:rsidTr="00360EF1">
        <w:tc>
          <w:tcPr>
            <w:tcW w:w="1951" w:type="dxa"/>
          </w:tcPr>
          <w:p w14:paraId="465185D8"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Метод фінансування</w:t>
            </w:r>
          </w:p>
        </w:tc>
        <w:tc>
          <w:tcPr>
            <w:tcW w:w="7683" w:type="dxa"/>
            <w:gridSpan w:val="2"/>
            <w:shd w:val="clear" w:color="auto" w:fill="FFFF99"/>
          </w:tcPr>
          <w:p w14:paraId="40887A53" w14:textId="77777777" w:rsidR="00A11685" w:rsidRPr="00340006" w:rsidRDefault="00A11685" w:rsidP="0077465E">
            <w:pPr>
              <w:spacing w:before="120"/>
              <w:jc w:val="both"/>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Власний внесок власників ОСББ, Фонд Енергоефективності</w:t>
            </w:r>
          </w:p>
        </w:tc>
      </w:tr>
      <w:tr w:rsidR="00A11685" w:rsidRPr="00340006" w14:paraId="4AC2EF65" w14:textId="77777777" w:rsidTr="00360EF1">
        <w:tc>
          <w:tcPr>
            <w:tcW w:w="1951" w:type="dxa"/>
          </w:tcPr>
          <w:p w14:paraId="2455F4C5"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Відповідальні за впровадження</w:t>
            </w:r>
          </w:p>
        </w:tc>
        <w:tc>
          <w:tcPr>
            <w:tcW w:w="7683" w:type="dxa"/>
            <w:gridSpan w:val="2"/>
            <w:shd w:val="clear" w:color="auto" w:fill="FFFF99"/>
          </w:tcPr>
          <w:p w14:paraId="109BF998"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Фонд Енергоефективності, співвласники ОСББ, управителі будинків</w:t>
            </w:r>
          </w:p>
        </w:tc>
      </w:tr>
      <w:tr w:rsidR="00A11685" w:rsidRPr="00340006" w14:paraId="0A8D8213" w14:textId="77777777" w:rsidTr="0077465E">
        <w:tc>
          <w:tcPr>
            <w:tcW w:w="9634" w:type="dxa"/>
            <w:gridSpan w:val="3"/>
            <w:shd w:val="clear" w:color="auto" w:fill="F2F2F2"/>
          </w:tcPr>
          <w:p w14:paraId="3366D1DB"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Фінансові показники проєкту</w:t>
            </w:r>
          </w:p>
        </w:tc>
      </w:tr>
      <w:tr w:rsidR="00A11685" w:rsidRPr="00340006" w14:paraId="373D893E" w14:textId="77777777" w:rsidTr="0077465E">
        <w:tc>
          <w:tcPr>
            <w:tcW w:w="6345" w:type="dxa"/>
            <w:gridSpan w:val="2"/>
          </w:tcPr>
          <w:p w14:paraId="71C3B943"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Загальна вартість проєкту, тис. грн.</w:t>
            </w:r>
          </w:p>
        </w:tc>
        <w:tc>
          <w:tcPr>
            <w:tcW w:w="3289" w:type="dxa"/>
            <w:shd w:val="clear" w:color="auto" w:fill="FFFF99"/>
          </w:tcPr>
          <w:p w14:paraId="7CA73F8A" w14:textId="77777777" w:rsidR="00A11685" w:rsidRPr="00340006"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9 240 000,0</w:t>
            </w:r>
          </w:p>
        </w:tc>
      </w:tr>
      <w:tr w:rsidR="00A11685" w:rsidRPr="00340006" w14:paraId="5FE2D645" w14:textId="77777777" w:rsidTr="0077465E">
        <w:tc>
          <w:tcPr>
            <w:tcW w:w="6345" w:type="dxa"/>
            <w:gridSpan w:val="2"/>
          </w:tcPr>
          <w:p w14:paraId="4EC6EFF5"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Сума інвестованих коштів, тис. грн.</w:t>
            </w:r>
          </w:p>
        </w:tc>
        <w:tc>
          <w:tcPr>
            <w:tcW w:w="3289" w:type="dxa"/>
            <w:shd w:val="clear" w:color="auto" w:fill="FFFF99"/>
          </w:tcPr>
          <w:p w14:paraId="40F05B14" w14:textId="77777777" w:rsidR="00A11685" w:rsidRPr="00340006" w:rsidRDefault="00DD30B2" w:rsidP="00DD30B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63 450,0</w:t>
            </w:r>
          </w:p>
        </w:tc>
      </w:tr>
      <w:tr w:rsidR="00A11685" w:rsidRPr="00340006" w14:paraId="7C3F4BDE" w14:textId="77777777" w:rsidTr="0077465E">
        <w:tc>
          <w:tcPr>
            <w:tcW w:w="6345" w:type="dxa"/>
            <w:gridSpan w:val="2"/>
          </w:tcPr>
          <w:p w14:paraId="1C430443"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Загальна вартість проєкту, євро</w:t>
            </w:r>
          </w:p>
        </w:tc>
        <w:tc>
          <w:tcPr>
            <w:tcW w:w="3289" w:type="dxa"/>
            <w:shd w:val="clear" w:color="auto" w:fill="FFFF99"/>
          </w:tcPr>
          <w:p w14:paraId="52074718" w14:textId="77777777" w:rsidR="00A11685" w:rsidRPr="00340006"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184 800 000,00</w:t>
            </w:r>
          </w:p>
        </w:tc>
      </w:tr>
      <w:tr w:rsidR="00A11685" w:rsidRPr="00340006" w14:paraId="1250DDFF" w14:textId="77777777" w:rsidTr="0077465E">
        <w:tc>
          <w:tcPr>
            <w:tcW w:w="6345" w:type="dxa"/>
            <w:gridSpan w:val="2"/>
          </w:tcPr>
          <w:p w14:paraId="234E6FEC"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lastRenderedPageBreak/>
              <w:t>Сума інвестованих коштів, євро</w:t>
            </w:r>
          </w:p>
        </w:tc>
        <w:tc>
          <w:tcPr>
            <w:tcW w:w="3289" w:type="dxa"/>
            <w:shd w:val="clear" w:color="auto" w:fill="FFFF99"/>
          </w:tcPr>
          <w:p w14:paraId="13287659" w14:textId="77777777" w:rsidR="00A11685" w:rsidRPr="00DD30B2" w:rsidRDefault="00DD30B2" w:rsidP="0077465E">
            <w:pPr>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1 812</w:t>
            </w:r>
            <w:r>
              <w:rPr>
                <w:rFonts w:ascii="Times New Roman" w:eastAsia="Times New Roman" w:hAnsi="Times New Roman" w:cs="Times New Roman"/>
                <w:color w:val="000000"/>
                <w:sz w:val="24"/>
                <w:szCs w:val="24"/>
                <w:lang w:val="en-US"/>
              </w:rPr>
              <w:t> 857.00</w:t>
            </w:r>
          </w:p>
        </w:tc>
      </w:tr>
      <w:tr w:rsidR="00A11685" w:rsidRPr="00340006" w14:paraId="7A6B7014" w14:textId="77777777" w:rsidTr="0077465E">
        <w:tc>
          <w:tcPr>
            <w:tcW w:w="6345" w:type="dxa"/>
            <w:gridSpan w:val="2"/>
          </w:tcPr>
          <w:p w14:paraId="436132D0"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Фінансова економія, тис. грн/рік</w:t>
            </w:r>
          </w:p>
        </w:tc>
        <w:tc>
          <w:tcPr>
            <w:tcW w:w="3289" w:type="dxa"/>
            <w:shd w:val="clear" w:color="auto" w:fill="FFFF99"/>
          </w:tcPr>
          <w:p w14:paraId="02E731BA" w14:textId="77777777" w:rsidR="00A11685" w:rsidRPr="00DD30B2"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A11685" w:rsidRPr="00340006" w14:paraId="1C73DF66" w14:textId="77777777" w:rsidTr="0077465E">
        <w:tc>
          <w:tcPr>
            <w:tcW w:w="6345" w:type="dxa"/>
            <w:gridSpan w:val="2"/>
          </w:tcPr>
          <w:p w14:paraId="06B7A25D" w14:textId="77777777" w:rsidR="00A11685" w:rsidRPr="00340006" w:rsidRDefault="00A11685" w:rsidP="0077465E">
            <w:pPr>
              <w:rPr>
                <w:rFonts w:ascii="Times New Roman" w:eastAsia="Times New Roman" w:hAnsi="Times New Roman" w:cs="Times New Roman"/>
                <w:sz w:val="24"/>
                <w:szCs w:val="24"/>
              </w:rPr>
            </w:pPr>
            <w:r w:rsidRPr="00340006">
              <w:rPr>
                <w:rFonts w:ascii="Times New Roman" w:eastAsia="Times New Roman" w:hAnsi="Times New Roman" w:cs="Times New Roman"/>
                <w:color w:val="000000"/>
                <w:sz w:val="24"/>
                <w:szCs w:val="24"/>
              </w:rPr>
              <w:t>Фінансова економія, євро/рік</w:t>
            </w:r>
          </w:p>
        </w:tc>
        <w:tc>
          <w:tcPr>
            <w:tcW w:w="3289" w:type="dxa"/>
            <w:shd w:val="clear" w:color="auto" w:fill="FFFF99"/>
          </w:tcPr>
          <w:p w14:paraId="4DDC6DFA" w14:textId="77777777" w:rsidR="00A11685" w:rsidRPr="00340006" w:rsidRDefault="00DD30B2" w:rsidP="0077465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w:t>
            </w:r>
          </w:p>
        </w:tc>
      </w:tr>
      <w:tr w:rsidR="00A11685" w:rsidRPr="00340006" w14:paraId="3170E820" w14:textId="77777777" w:rsidTr="0077465E">
        <w:tc>
          <w:tcPr>
            <w:tcW w:w="6345" w:type="dxa"/>
            <w:gridSpan w:val="2"/>
          </w:tcPr>
          <w:p w14:paraId="244DFBC9"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Термін окупності проєкту</w:t>
            </w:r>
          </w:p>
        </w:tc>
        <w:tc>
          <w:tcPr>
            <w:tcW w:w="3289" w:type="dxa"/>
            <w:shd w:val="clear" w:color="auto" w:fill="FFFF99"/>
          </w:tcPr>
          <w:p w14:paraId="5EC11C8B" w14:textId="77777777" w:rsidR="00A11685" w:rsidRPr="00DD30B2"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A11685" w:rsidRPr="00340006" w14:paraId="4F679447" w14:textId="77777777" w:rsidTr="0077465E">
        <w:tc>
          <w:tcPr>
            <w:tcW w:w="9634" w:type="dxa"/>
            <w:gridSpan w:val="3"/>
            <w:shd w:val="clear" w:color="auto" w:fill="F2F2F2"/>
          </w:tcPr>
          <w:p w14:paraId="5385CF1E"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Технічні показники проєкту</w:t>
            </w:r>
          </w:p>
        </w:tc>
      </w:tr>
      <w:tr w:rsidR="00A11685" w:rsidRPr="00340006" w14:paraId="49215568" w14:textId="77777777" w:rsidTr="0077465E">
        <w:tc>
          <w:tcPr>
            <w:tcW w:w="6345" w:type="dxa"/>
            <w:gridSpan w:val="2"/>
          </w:tcPr>
          <w:p w14:paraId="53B05497"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Зменшення використання енергоресурсів в результаті впровадження проєкту (МВт.год/рік)</w:t>
            </w:r>
          </w:p>
        </w:tc>
        <w:tc>
          <w:tcPr>
            <w:tcW w:w="3289" w:type="dxa"/>
            <w:shd w:val="clear" w:color="auto" w:fill="FFFF99"/>
          </w:tcPr>
          <w:p w14:paraId="2EA9F4CE" w14:textId="77777777" w:rsidR="00A11685" w:rsidRPr="00340006"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308 000,0</w:t>
            </w:r>
          </w:p>
        </w:tc>
      </w:tr>
      <w:tr w:rsidR="00A11685" w:rsidRPr="00340006" w14:paraId="12E7CF50" w14:textId="77777777" w:rsidTr="0077465E">
        <w:tc>
          <w:tcPr>
            <w:tcW w:w="6345" w:type="dxa"/>
            <w:gridSpan w:val="2"/>
          </w:tcPr>
          <w:p w14:paraId="1ED65711"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Збільшення виробництва енергії з ВДЕ в результаті впровадження проєкту (МВт.год/рік)</w:t>
            </w:r>
          </w:p>
        </w:tc>
        <w:tc>
          <w:tcPr>
            <w:tcW w:w="3289" w:type="dxa"/>
            <w:shd w:val="clear" w:color="auto" w:fill="FFFF99"/>
          </w:tcPr>
          <w:p w14:paraId="1FD6EA50" w14:textId="77777777" w:rsidR="00A11685" w:rsidRPr="00340006" w:rsidRDefault="00DD30B2" w:rsidP="0077465E">
            <w:pPr>
              <w:pBdr>
                <w:top w:val="nil"/>
                <w:left w:val="nil"/>
                <w:bottom w:val="nil"/>
                <w:right w:val="nil"/>
                <w:between w:val="nil"/>
              </w:pBdr>
              <w:spacing w:after="200" w:line="276" w:lineRule="auto"/>
              <w:ind w:left="720" w:hanging="72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r>
      <w:tr w:rsidR="00A11685" w:rsidRPr="00340006" w14:paraId="4A65D628" w14:textId="77777777" w:rsidTr="0077465E">
        <w:tc>
          <w:tcPr>
            <w:tcW w:w="6345" w:type="dxa"/>
            <w:gridSpan w:val="2"/>
          </w:tcPr>
          <w:p w14:paraId="6208F824"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Скорочення викидів СО</w:t>
            </w:r>
            <w:r w:rsidRPr="00340006">
              <w:rPr>
                <w:rFonts w:ascii="Times New Roman" w:eastAsia="Times New Roman" w:hAnsi="Times New Roman" w:cs="Times New Roman"/>
                <w:color w:val="000000"/>
                <w:sz w:val="24"/>
                <w:szCs w:val="24"/>
                <w:vertAlign w:val="subscript"/>
              </w:rPr>
              <w:t>2</w:t>
            </w:r>
            <w:r w:rsidRPr="00340006">
              <w:rPr>
                <w:rFonts w:ascii="Times New Roman" w:eastAsia="Times New Roman" w:hAnsi="Times New Roman" w:cs="Times New Roman"/>
                <w:color w:val="000000"/>
                <w:sz w:val="24"/>
                <w:szCs w:val="24"/>
              </w:rPr>
              <w:t xml:space="preserve"> в результаті впровадження проєкту, т/рік</w:t>
            </w:r>
          </w:p>
        </w:tc>
        <w:tc>
          <w:tcPr>
            <w:tcW w:w="3289" w:type="dxa"/>
            <w:shd w:val="clear" w:color="auto" w:fill="FFFF99"/>
          </w:tcPr>
          <w:p w14:paraId="0D24733E" w14:textId="77777777" w:rsidR="00A11685" w:rsidRPr="00340006" w:rsidRDefault="00DD30B2" w:rsidP="0077465E">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81 928,0</w:t>
            </w:r>
          </w:p>
        </w:tc>
      </w:tr>
      <w:tr w:rsidR="00A11685" w:rsidRPr="00340006" w14:paraId="0229F2D7" w14:textId="77777777" w:rsidTr="0077465E">
        <w:tc>
          <w:tcPr>
            <w:tcW w:w="9634" w:type="dxa"/>
            <w:gridSpan w:val="3"/>
            <w:shd w:val="clear" w:color="auto" w:fill="F2F2F2"/>
          </w:tcPr>
          <w:p w14:paraId="3FD5A50E"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Виконання</w:t>
            </w:r>
          </w:p>
        </w:tc>
      </w:tr>
      <w:tr w:rsidR="00A11685" w:rsidRPr="00340006" w14:paraId="23B94696" w14:textId="77777777" w:rsidTr="00D1501A">
        <w:tc>
          <w:tcPr>
            <w:tcW w:w="6345" w:type="dxa"/>
            <w:gridSpan w:val="2"/>
          </w:tcPr>
          <w:p w14:paraId="1E55D309"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Терміни виконання</w:t>
            </w:r>
            <w:r w:rsidRPr="00340006">
              <w:rPr>
                <w:rFonts w:ascii="Times New Roman" w:eastAsia="Times New Roman" w:hAnsi="Times New Roman" w:cs="Times New Roman"/>
                <w:color w:val="000000"/>
                <w:sz w:val="24"/>
                <w:szCs w:val="24"/>
              </w:rPr>
              <w:br/>
              <w:t>(рік початку, рік закінчення)</w:t>
            </w:r>
          </w:p>
        </w:tc>
        <w:tc>
          <w:tcPr>
            <w:tcW w:w="3289" w:type="dxa"/>
            <w:shd w:val="clear" w:color="auto" w:fill="FFFF99"/>
          </w:tcPr>
          <w:p w14:paraId="5D8DCB33"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15</w:t>
            </w:r>
            <w:r w:rsidRPr="00340006">
              <w:rPr>
                <w:rFonts w:ascii="Times New Roman" w:eastAsia="Times New Roman" w:hAnsi="Times New Roman" w:cs="Times New Roman"/>
                <w:color w:val="000000"/>
                <w:sz w:val="24"/>
                <w:szCs w:val="24"/>
              </w:rPr>
              <w:t>-2030</w:t>
            </w:r>
          </w:p>
        </w:tc>
      </w:tr>
      <w:tr w:rsidR="00A11685" w:rsidRPr="00340006" w14:paraId="52E16760" w14:textId="77777777" w:rsidTr="00D1501A">
        <w:tc>
          <w:tcPr>
            <w:tcW w:w="6345" w:type="dxa"/>
            <w:gridSpan w:val="2"/>
          </w:tcPr>
          <w:p w14:paraId="15D5A0EB"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Стан виконання</w:t>
            </w:r>
          </w:p>
        </w:tc>
        <w:tc>
          <w:tcPr>
            <w:tcW w:w="3289" w:type="dxa"/>
            <w:shd w:val="clear" w:color="auto" w:fill="FFFF99"/>
          </w:tcPr>
          <w:p w14:paraId="3F8B023B" w14:textId="77777777" w:rsidR="00A11685" w:rsidRPr="00340006" w:rsidRDefault="00A11685" w:rsidP="0077465E">
            <w:pPr>
              <w:jc w:val="cente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В процесі виконання</w:t>
            </w:r>
          </w:p>
        </w:tc>
      </w:tr>
      <w:tr w:rsidR="00A11685" w:rsidRPr="00340006" w14:paraId="55F0F285" w14:textId="77777777" w:rsidTr="0077465E">
        <w:tc>
          <w:tcPr>
            <w:tcW w:w="9634" w:type="dxa"/>
            <w:gridSpan w:val="3"/>
            <w:shd w:val="clear" w:color="auto" w:fill="F2F2F2"/>
          </w:tcPr>
          <w:p w14:paraId="2C47B4D4"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Публікації, фото, відео</w:t>
            </w:r>
          </w:p>
        </w:tc>
      </w:tr>
      <w:tr w:rsidR="00A11685" w:rsidRPr="00340006" w14:paraId="12C99DF7" w14:textId="77777777" w:rsidTr="0077465E">
        <w:trPr>
          <w:trHeight w:val="578"/>
        </w:trPr>
        <w:tc>
          <w:tcPr>
            <w:tcW w:w="9634" w:type="dxa"/>
            <w:gridSpan w:val="3"/>
            <w:shd w:val="clear" w:color="auto" w:fill="FFFF99"/>
          </w:tcPr>
          <w:p w14:paraId="1794B96D" w14:textId="77777777" w:rsidR="00A11685" w:rsidRPr="00614D54" w:rsidRDefault="00A11685" w:rsidP="0077465E">
            <w:pPr>
              <w:rPr>
                <w:rFonts w:ascii="Times New Roman" w:eastAsia="Times New Roman" w:hAnsi="Times New Roman" w:cs="Times New Roman"/>
                <w:color w:val="000000"/>
                <w:sz w:val="20"/>
                <w:szCs w:val="20"/>
              </w:rPr>
            </w:pPr>
            <w:hyperlink r:id="rId60" w:history="1">
              <w:r w:rsidRPr="00614D54">
                <w:rPr>
                  <w:rStyle w:val="ad"/>
                  <w:rFonts w:ascii="Times New Roman" w:eastAsia="Times New Roman" w:hAnsi="Times New Roman" w:cs="Times New Roman"/>
                  <w:sz w:val="20"/>
                  <w:szCs w:val="20"/>
                </w:rPr>
                <w:t>https://zt-rada.gov.ua/?pages=17958</w:t>
              </w:r>
            </w:hyperlink>
            <w:r w:rsidRPr="00614D54">
              <w:rPr>
                <w:rFonts w:ascii="Times New Roman" w:eastAsia="Times New Roman" w:hAnsi="Times New Roman" w:cs="Times New Roman"/>
                <w:color w:val="000000"/>
                <w:sz w:val="20"/>
                <w:szCs w:val="20"/>
              </w:rPr>
              <w:t xml:space="preserve"> </w:t>
            </w:r>
          </w:p>
          <w:p w14:paraId="3F9A4DA9" w14:textId="77777777" w:rsidR="00A11685" w:rsidRPr="00614D54" w:rsidRDefault="00A11685" w:rsidP="0077465E">
            <w:pPr>
              <w:rPr>
                <w:rFonts w:ascii="Times New Roman" w:eastAsia="Times New Roman" w:hAnsi="Times New Roman" w:cs="Times New Roman"/>
                <w:color w:val="000000"/>
                <w:sz w:val="20"/>
                <w:szCs w:val="20"/>
              </w:rPr>
            </w:pPr>
            <w:hyperlink r:id="rId61" w:history="1">
              <w:r w:rsidRPr="00614D54">
                <w:rPr>
                  <w:rStyle w:val="ad"/>
                  <w:rFonts w:ascii="Times New Roman" w:eastAsia="Times New Roman" w:hAnsi="Times New Roman" w:cs="Times New Roman"/>
                  <w:sz w:val="20"/>
                  <w:szCs w:val="20"/>
                </w:rPr>
                <w:t>https://zt-rada.gov.ua/?pages=19301</w:t>
              </w:r>
            </w:hyperlink>
            <w:r w:rsidRPr="00614D54">
              <w:rPr>
                <w:rFonts w:ascii="Times New Roman" w:eastAsia="Times New Roman" w:hAnsi="Times New Roman" w:cs="Times New Roman"/>
                <w:color w:val="000000"/>
                <w:sz w:val="20"/>
                <w:szCs w:val="20"/>
              </w:rPr>
              <w:t xml:space="preserve"> </w:t>
            </w:r>
          </w:p>
          <w:p w14:paraId="1DA215AD" w14:textId="77777777" w:rsidR="00A11685" w:rsidRPr="00614D54" w:rsidRDefault="00A11685" w:rsidP="0077465E">
            <w:pPr>
              <w:rPr>
                <w:rFonts w:ascii="Times New Roman" w:eastAsia="Times New Roman" w:hAnsi="Times New Roman" w:cs="Times New Roman"/>
                <w:color w:val="000000"/>
                <w:sz w:val="20"/>
                <w:szCs w:val="20"/>
              </w:rPr>
            </w:pPr>
            <w:hyperlink r:id="rId62" w:history="1">
              <w:r w:rsidRPr="00614D54">
                <w:rPr>
                  <w:rStyle w:val="ad"/>
                  <w:rFonts w:ascii="Times New Roman" w:eastAsia="Times New Roman" w:hAnsi="Times New Roman" w:cs="Times New Roman"/>
                  <w:sz w:val="20"/>
                  <w:szCs w:val="20"/>
                </w:rPr>
                <w:t>https://zt-rada.gov.ua/?pages=18423</w:t>
              </w:r>
            </w:hyperlink>
            <w:r w:rsidRPr="00614D54">
              <w:rPr>
                <w:rFonts w:ascii="Times New Roman" w:eastAsia="Times New Roman" w:hAnsi="Times New Roman" w:cs="Times New Roman"/>
                <w:color w:val="000000"/>
                <w:sz w:val="20"/>
                <w:szCs w:val="20"/>
              </w:rPr>
              <w:t xml:space="preserve"> </w:t>
            </w:r>
          </w:p>
          <w:p w14:paraId="6E265A0C" w14:textId="77777777" w:rsidR="00A11685" w:rsidRPr="00340006" w:rsidRDefault="00A11685" w:rsidP="0077465E">
            <w:pPr>
              <w:rPr>
                <w:rFonts w:ascii="Times New Roman" w:eastAsia="Times New Roman" w:hAnsi="Times New Roman" w:cs="Times New Roman"/>
                <w:sz w:val="24"/>
                <w:szCs w:val="24"/>
              </w:rPr>
            </w:pPr>
            <w:hyperlink r:id="rId63" w:history="1">
              <w:r w:rsidRPr="00614D54">
                <w:rPr>
                  <w:rStyle w:val="ad"/>
                  <w:rFonts w:ascii="Times New Roman" w:eastAsia="Times New Roman" w:hAnsi="Times New Roman" w:cs="Times New Roman"/>
                  <w:sz w:val="20"/>
                  <w:szCs w:val="20"/>
                </w:rPr>
                <w:t>https://zt-rada.gov.ua/?pages=14917</w:t>
              </w:r>
            </w:hyperlink>
          </w:p>
          <w:p w14:paraId="50597425" w14:textId="77777777" w:rsidR="00A11685" w:rsidRPr="00340006" w:rsidRDefault="00A11685" w:rsidP="0077465E">
            <w:pPr>
              <w:rPr>
                <w:rFonts w:ascii="Times New Roman" w:eastAsia="Times New Roman" w:hAnsi="Times New Roman" w:cs="Times New Roman"/>
                <w:sz w:val="24"/>
                <w:szCs w:val="24"/>
              </w:rPr>
            </w:pPr>
          </w:p>
        </w:tc>
      </w:tr>
      <w:tr w:rsidR="00A11685" w:rsidRPr="00340006" w14:paraId="190DA83B" w14:textId="77777777" w:rsidTr="0077465E">
        <w:trPr>
          <w:trHeight w:val="426"/>
        </w:trPr>
        <w:tc>
          <w:tcPr>
            <w:tcW w:w="9634" w:type="dxa"/>
            <w:gridSpan w:val="3"/>
            <w:shd w:val="clear" w:color="auto" w:fill="F2F2F2"/>
          </w:tcPr>
          <w:p w14:paraId="5BBDBD22" w14:textId="77777777" w:rsidR="00A11685" w:rsidRPr="00340006" w:rsidRDefault="00A11685" w:rsidP="0077465E">
            <w:pPr>
              <w:rPr>
                <w:rFonts w:ascii="Times New Roman" w:eastAsia="Times New Roman" w:hAnsi="Times New Roman" w:cs="Times New Roman"/>
                <w:color w:val="000000"/>
                <w:sz w:val="24"/>
                <w:szCs w:val="24"/>
              </w:rPr>
            </w:pPr>
            <w:r w:rsidRPr="00340006">
              <w:rPr>
                <w:rFonts w:ascii="Times New Roman" w:eastAsia="Times New Roman" w:hAnsi="Times New Roman" w:cs="Times New Roman"/>
                <w:color w:val="000000"/>
                <w:sz w:val="24"/>
                <w:szCs w:val="24"/>
              </w:rPr>
              <w:t>Результати проєкту</w:t>
            </w:r>
          </w:p>
        </w:tc>
      </w:tr>
      <w:tr w:rsidR="00A11685" w:rsidRPr="00340006" w14:paraId="2EBC1717" w14:textId="77777777" w:rsidTr="00D1501A">
        <w:trPr>
          <w:trHeight w:val="1985"/>
        </w:trPr>
        <w:tc>
          <w:tcPr>
            <w:tcW w:w="9634" w:type="dxa"/>
            <w:gridSpan w:val="3"/>
            <w:shd w:val="clear" w:color="auto" w:fill="FFFF99"/>
          </w:tcPr>
          <w:p w14:paraId="3BFBA1F8" w14:textId="77777777" w:rsidR="00A11685" w:rsidRPr="00D1501A" w:rsidRDefault="00A11685" w:rsidP="00D1501A">
            <w:pPr>
              <w:spacing w:before="120" w:after="120"/>
              <w:jc w:val="both"/>
              <w:rPr>
                <w:rFonts w:ascii="Times New Roman" w:eastAsia="Times New Roman" w:hAnsi="Times New Roman" w:cs="Times New Roman"/>
                <w:color w:val="000000"/>
                <w:sz w:val="24"/>
                <w:szCs w:val="24"/>
              </w:rPr>
            </w:pPr>
            <w:r w:rsidRPr="00D1501A">
              <w:rPr>
                <w:rFonts w:ascii="Times New Roman" w:eastAsia="Times New Roman" w:hAnsi="Times New Roman" w:cs="Times New Roman"/>
                <w:color w:val="000000"/>
                <w:sz w:val="24"/>
                <w:szCs w:val="24"/>
              </w:rPr>
              <w:t>Виконання енергоефективних заходів для житлового фонду Житомирської громади за підтримки державної програми «Е</w:t>
            </w:r>
            <w:r w:rsidR="00D1501A">
              <w:rPr>
                <w:rFonts w:ascii="Times New Roman" w:eastAsia="Times New Roman" w:hAnsi="Times New Roman" w:cs="Times New Roman"/>
                <w:color w:val="000000"/>
                <w:sz w:val="24"/>
                <w:szCs w:val="24"/>
              </w:rPr>
              <w:t>НЕРГОДІМ</w:t>
            </w:r>
            <w:r w:rsidRPr="00D1501A">
              <w:rPr>
                <w:rFonts w:ascii="Times New Roman" w:eastAsia="Times New Roman" w:hAnsi="Times New Roman" w:cs="Times New Roman"/>
                <w:color w:val="000000"/>
                <w:sz w:val="24"/>
                <w:szCs w:val="24"/>
              </w:rPr>
              <w:t>» є надзвичайно важливим з точки зору виконання поставлених цілей зі зменшення енергоспоживання та скорочення викидів СО</w:t>
            </w:r>
            <w:r w:rsidRPr="00D1501A">
              <w:rPr>
                <w:rFonts w:ascii="Times New Roman" w:eastAsia="Times New Roman" w:hAnsi="Times New Roman" w:cs="Times New Roman"/>
                <w:color w:val="000000"/>
                <w:sz w:val="24"/>
                <w:szCs w:val="24"/>
                <w:vertAlign w:val="subscript"/>
              </w:rPr>
              <w:t>2</w:t>
            </w:r>
            <w:r w:rsidRPr="00D1501A">
              <w:rPr>
                <w:rFonts w:ascii="Times New Roman" w:eastAsia="Times New Roman" w:hAnsi="Times New Roman" w:cs="Times New Roman"/>
                <w:color w:val="000000"/>
                <w:sz w:val="24"/>
                <w:szCs w:val="24"/>
              </w:rPr>
              <w:t>.</w:t>
            </w:r>
          </w:p>
          <w:p w14:paraId="3F818C52" w14:textId="77777777" w:rsidR="00A11685" w:rsidRPr="00D1501A" w:rsidRDefault="00A11685" w:rsidP="00D1501A">
            <w:pPr>
              <w:spacing w:before="120" w:after="120"/>
              <w:jc w:val="both"/>
              <w:rPr>
                <w:rFonts w:ascii="Times New Roman" w:eastAsia="Times New Roman" w:hAnsi="Times New Roman" w:cs="Times New Roman"/>
                <w:color w:val="000000"/>
                <w:sz w:val="24"/>
                <w:szCs w:val="24"/>
              </w:rPr>
            </w:pPr>
            <w:r w:rsidRPr="00D1501A">
              <w:rPr>
                <w:rFonts w:ascii="Times New Roman" w:eastAsia="Times New Roman" w:hAnsi="Times New Roman" w:cs="Times New Roman"/>
                <w:color w:val="000000"/>
                <w:sz w:val="24"/>
                <w:szCs w:val="24"/>
              </w:rPr>
              <w:t xml:space="preserve">За умов виконання запланованих заходів у житлових будівлях буде забезпечене зменшення споживання тепла не менш ніж на </w:t>
            </w:r>
            <w:r w:rsidR="00DD30B2">
              <w:rPr>
                <w:rFonts w:ascii="Times New Roman" w:eastAsia="Times New Roman" w:hAnsi="Times New Roman" w:cs="Times New Roman"/>
                <w:color w:val="000000"/>
                <w:sz w:val="24"/>
                <w:szCs w:val="24"/>
              </w:rPr>
              <w:t>308 000,0</w:t>
            </w:r>
            <w:r w:rsidRPr="00D1501A">
              <w:rPr>
                <w:rFonts w:ascii="Times New Roman" w:eastAsia="Times New Roman" w:hAnsi="Times New Roman" w:cs="Times New Roman"/>
                <w:color w:val="000000"/>
                <w:sz w:val="24"/>
                <w:szCs w:val="24"/>
              </w:rPr>
              <w:t xml:space="preserve"> МВт.год./рік, що дозволить скоротити викиди СО</w:t>
            </w:r>
            <w:r w:rsidRPr="00D1501A">
              <w:rPr>
                <w:rFonts w:ascii="Times New Roman" w:eastAsia="Times New Roman" w:hAnsi="Times New Roman" w:cs="Times New Roman"/>
                <w:color w:val="000000"/>
                <w:sz w:val="24"/>
                <w:szCs w:val="24"/>
                <w:vertAlign w:val="subscript"/>
              </w:rPr>
              <w:t>2</w:t>
            </w:r>
            <w:r w:rsidRPr="00D1501A">
              <w:rPr>
                <w:rFonts w:ascii="Times New Roman" w:eastAsia="Times New Roman" w:hAnsi="Times New Roman" w:cs="Times New Roman"/>
                <w:color w:val="000000"/>
                <w:sz w:val="24"/>
                <w:szCs w:val="24"/>
              </w:rPr>
              <w:t xml:space="preserve"> не менш ніж на </w:t>
            </w:r>
            <w:r w:rsidR="00DD30B2">
              <w:rPr>
                <w:rFonts w:ascii="Times New Roman" w:eastAsia="Times New Roman" w:hAnsi="Times New Roman" w:cs="Times New Roman"/>
                <w:color w:val="000000"/>
                <w:sz w:val="24"/>
                <w:szCs w:val="24"/>
              </w:rPr>
              <w:t>81 928,0</w:t>
            </w:r>
            <w:r w:rsidRPr="00D1501A">
              <w:rPr>
                <w:rFonts w:ascii="Times New Roman" w:eastAsia="Times New Roman" w:hAnsi="Times New Roman" w:cs="Times New Roman"/>
                <w:color w:val="000000"/>
                <w:sz w:val="24"/>
                <w:szCs w:val="24"/>
              </w:rPr>
              <w:t xml:space="preserve"> т щороку.</w:t>
            </w:r>
          </w:p>
          <w:p w14:paraId="67F10ED6" w14:textId="77777777" w:rsidR="00A11685" w:rsidRPr="00D1501A" w:rsidRDefault="00A11685" w:rsidP="00D1501A">
            <w:pPr>
              <w:spacing w:before="120" w:after="120"/>
              <w:jc w:val="both"/>
              <w:rPr>
                <w:rFonts w:ascii="Times New Roman" w:eastAsia="Times New Roman" w:hAnsi="Times New Roman" w:cs="Times New Roman"/>
                <w:color w:val="000000"/>
                <w:sz w:val="24"/>
                <w:szCs w:val="24"/>
              </w:rPr>
            </w:pPr>
            <w:r w:rsidRPr="00D1501A">
              <w:rPr>
                <w:rFonts w:ascii="Times New Roman" w:eastAsia="Times New Roman" w:hAnsi="Times New Roman" w:cs="Times New Roman"/>
                <w:color w:val="000000"/>
                <w:sz w:val="24"/>
                <w:szCs w:val="24"/>
              </w:rPr>
              <w:t>Додатковим результатом від виконання заходів стане забезпечення комфор</w:t>
            </w:r>
            <w:r w:rsidR="00DD30B2">
              <w:rPr>
                <w:rFonts w:ascii="Times New Roman" w:eastAsia="Times New Roman" w:hAnsi="Times New Roman" w:cs="Times New Roman"/>
                <w:color w:val="000000"/>
                <w:sz w:val="24"/>
                <w:szCs w:val="24"/>
              </w:rPr>
              <w:t>тної температури у приміщеннях</w:t>
            </w:r>
            <w:r w:rsidRPr="00D1501A">
              <w:rPr>
                <w:rFonts w:ascii="Times New Roman" w:eastAsia="Times New Roman" w:hAnsi="Times New Roman" w:cs="Times New Roman"/>
                <w:color w:val="000000"/>
                <w:sz w:val="24"/>
                <w:szCs w:val="24"/>
              </w:rPr>
              <w:t xml:space="preserve"> зимою і влітку, а також покращення технічного стану будівель та подовження строку експлуатації будівель.</w:t>
            </w:r>
          </w:p>
          <w:p w14:paraId="25D31AE9" w14:textId="77777777" w:rsidR="00A11685" w:rsidRPr="00340006" w:rsidRDefault="00A11685" w:rsidP="00D1501A">
            <w:pPr>
              <w:spacing w:before="120" w:after="120"/>
              <w:jc w:val="both"/>
              <w:rPr>
                <w:rFonts w:ascii="Times New Roman" w:eastAsia="Times New Roman" w:hAnsi="Times New Roman" w:cs="Times New Roman"/>
                <w:color w:val="000000"/>
                <w:sz w:val="24"/>
                <w:szCs w:val="24"/>
              </w:rPr>
            </w:pPr>
            <w:r w:rsidRPr="00D1501A">
              <w:rPr>
                <w:rFonts w:ascii="Times New Roman" w:eastAsia="Times New Roman" w:hAnsi="Times New Roman" w:cs="Times New Roman"/>
                <w:color w:val="000000"/>
                <w:sz w:val="24"/>
                <w:szCs w:val="24"/>
              </w:rPr>
              <w:t>За загальним спостереженням квартири у термомодернізованих будівлях, додають у своєї вартості плюс 10-15% порівняно з немодернізованими будівлями.</w:t>
            </w:r>
          </w:p>
        </w:tc>
      </w:tr>
    </w:tbl>
    <w:p w14:paraId="00CE9AE9" w14:textId="77777777" w:rsidR="00C82386" w:rsidRDefault="00E66F64" w:rsidP="00A11685">
      <w:pPr>
        <w:keepNext/>
        <w:keepLines/>
        <w:numPr>
          <w:ilvl w:val="1"/>
          <w:numId w:val="78"/>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62" w:name="_heading=h.1rvwp1q" w:colFirst="0" w:colLast="0"/>
      <w:bookmarkEnd w:id="62"/>
      <w:r>
        <w:rPr>
          <w:rFonts w:ascii="Times New Roman" w:eastAsia="Times New Roman" w:hAnsi="Times New Roman" w:cs="Times New Roman"/>
          <w:b/>
          <w:color w:val="000000"/>
          <w:sz w:val="24"/>
          <w:szCs w:val="24"/>
        </w:rPr>
        <w:t>Опис запланованих дій та заходів</w:t>
      </w:r>
    </w:p>
    <w:p w14:paraId="1119900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Всі заходи ПДСЕРК, що направлені на пом’якшення впливу змін клімату, мають вплив на зменшення споживання енергоресурсів або на збільшення частки використання відновлюваних джерел. Так, наприклад, якщо в будівлі дитячого садка встановлюються теплові насоси, це не означає, що споживання енергії зменшується. Це означає, що частина енергії, яка буде споживатися буде мати походження з відновлюваного джерела.</w:t>
      </w:r>
    </w:p>
    <w:p w14:paraId="1CB7E71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за типом витрат можуть бути розділені на маловитратні (інформаційно-навчальні, направлені за зміну свідомості мешканців) і заходи інфраструктурні, що направлені на виконання будівельних і інженерних робіт та потребують значних фінансових вкладень.</w:t>
      </w:r>
    </w:p>
    <w:p w14:paraId="562839D3"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Розрахунки з оцінки скорочення енергоспоживання та зменшення викидів СО2 проведені на підставі керівництва «</w:t>
      </w:r>
      <w:r w:rsidR="00421EC5" w:rsidRPr="00421EC5">
        <w:rPr>
          <w:rFonts w:ascii="Times New Roman" w:eastAsia="Times New Roman" w:hAnsi="Times New Roman" w:cs="Times New Roman"/>
          <w:sz w:val="24"/>
          <w:szCs w:val="24"/>
          <w:lang w:val="en-GB"/>
        </w:rPr>
        <w:t>How</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to</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develop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Sustainable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Energy</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and</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Climate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Action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Plan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in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the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Eastern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Partnership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Countries</w:t>
      </w:r>
      <w:r>
        <w:rPr>
          <w:rFonts w:ascii="Times New Roman" w:eastAsia="Times New Roman" w:hAnsi="Times New Roman" w:cs="Times New Roman"/>
          <w:sz w:val="24"/>
          <w:szCs w:val="24"/>
        </w:rPr>
        <w:t>», а також на підставі відповідей комунальних підприємств і експертної оцінки.</w:t>
      </w:r>
    </w:p>
    <w:p w14:paraId="603F3026" w14:textId="77777777" w:rsidR="00A11685" w:rsidRPr="00A11685" w:rsidRDefault="00A11685" w:rsidP="00A11685">
      <w:pPr>
        <w:pStyle w:val="a5"/>
        <w:keepNext/>
        <w:keepLines/>
        <w:numPr>
          <w:ilvl w:val="0"/>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bookmarkStart w:id="63" w:name="_heading=h.4bvk7pj" w:colFirst="0" w:colLast="0"/>
      <w:bookmarkEnd w:id="63"/>
    </w:p>
    <w:p w14:paraId="732717E4" w14:textId="77777777" w:rsidR="00A11685" w:rsidRPr="00A11685" w:rsidRDefault="00A11685" w:rsidP="00A11685">
      <w:pPr>
        <w:pStyle w:val="a5"/>
        <w:keepNext/>
        <w:keepLines/>
        <w:numPr>
          <w:ilvl w:val="1"/>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3DCC69DC" w14:textId="77777777" w:rsidR="00A11685" w:rsidRPr="00A11685" w:rsidRDefault="00A11685" w:rsidP="00A11685">
      <w:pPr>
        <w:pStyle w:val="a5"/>
        <w:keepNext/>
        <w:keepLines/>
        <w:numPr>
          <w:ilvl w:val="1"/>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6605E347" w14:textId="77777777" w:rsidR="00A11685" w:rsidRPr="00A11685" w:rsidRDefault="00A11685" w:rsidP="00A11685">
      <w:pPr>
        <w:pStyle w:val="a5"/>
        <w:keepNext/>
        <w:keepLines/>
        <w:numPr>
          <w:ilvl w:val="1"/>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0AED0A24" w14:textId="77777777" w:rsidR="00C82386" w:rsidRPr="007561B9" w:rsidRDefault="00E66F64" w:rsidP="007561B9">
      <w:pPr>
        <w:pStyle w:val="a5"/>
        <w:keepNext/>
        <w:keepLines/>
        <w:numPr>
          <w:ilvl w:val="2"/>
          <w:numId w:val="79"/>
        </w:numPr>
        <w:pBdr>
          <w:top w:val="nil"/>
          <w:left w:val="nil"/>
          <w:bottom w:val="nil"/>
          <w:right w:val="nil"/>
          <w:between w:val="nil"/>
        </w:pBdr>
        <w:spacing w:before="200" w:after="0"/>
        <w:rPr>
          <w:rFonts w:ascii="Times New Roman" w:eastAsia="Times New Roman" w:hAnsi="Times New Roman" w:cs="Times New Roman"/>
          <w:b/>
          <w:color w:val="000000"/>
          <w:sz w:val="24"/>
          <w:szCs w:val="24"/>
        </w:rPr>
      </w:pPr>
      <w:r w:rsidRPr="007561B9">
        <w:rPr>
          <w:rFonts w:ascii="Times New Roman" w:eastAsia="Times New Roman" w:hAnsi="Times New Roman" w:cs="Times New Roman"/>
          <w:b/>
          <w:color w:val="000000"/>
          <w:sz w:val="24"/>
          <w:szCs w:val="24"/>
        </w:rPr>
        <w:t>Заходи, що заплановані до виконання в муніципальному секторі</w:t>
      </w:r>
    </w:p>
    <w:p w14:paraId="42AAB76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Оскільки фінансування енергоспоживання муніципальних установ відбувається з міського бюджету, заходи, що направлені на зменшення енергоспоживання та збільшення використання відновлюваних джерел, є важливою складовою виконання ПДСЕРК. Покращуючи технічний стан будівель муніципальних установ, місцеві органи влади не тільки зменшують фінансове навантаження на міський бюджет, але і подають гарний, наочний приклад містянам відносно можливостей впровадження енергоефективних заходів і відновлюваних джерел.</w:t>
      </w:r>
    </w:p>
    <w:p w14:paraId="2A4AF0B1"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напрямки реалізації заходів з пом’якшення змін клімату у муніципальних будівлях:</w:t>
      </w:r>
    </w:p>
    <w:p w14:paraId="18007CF6"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організація і подальший розвиток міської системи енергоменеджменту (організація структури енергоменеджменту, впровадження обліку енергоресурсів за лічильниками, запровадження он-лайн моніторингу енергоспоживання, постійне навчання персоналу, вивчення інженерної бази будівель, проведення енергоаудитів будівель, розробка лімітів споживання енергоресурсів і впровадження системи стимулювання відповідальних осіб);</w:t>
      </w:r>
    </w:p>
    <w:p w14:paraId="65C6A7DB"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маловитратних заходів за власний кошт установ (встановлення дотягувачів, обслуговування віконних ущільнювачів, очищення поверхні ламп та світильників, заміна ламп розжарювання на світлодіодні, встановлення екранів за приладами опалення);</w:t>
      </w:r>
    </w:p>
    <w:p w14:paraId="11226922"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виконання окремих енергоефективних заходів з залученням коштів міського бюджету та додаткових інвестицій (заміна вікон та дверей на енергоефективні металопластикові, заміна світильників на LED, заміна застарілого кухонного обладнання і холодильників на сучасне, встановлення ІТП і балансувальних клапанів);</w:t>
      </w:r>
    </w:p>
    <w:p w14:paraId="7027F864"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виконання комплексних проектів з термомодернізації будівель (утеплення зовнішніх стін і цоколю, заміна вікон та дверей на енергоефективні металопластикові, встановлення індивідуального теплового пункту з погодозалежним керуванням температурою теплоносія, теплоізоляція трубопроводів опалення та гарячої води, утеплення даху і підвального перекриття, відновлення системи вентиляції з використанням рекуперації);</w:t>
      </w:r>
    </w:p>
    <w:p w14:paraId="487119A0"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проектів, направлених на використання відновлюваних джерел (теплові насоси, геліосистеми для підігріву гарячої води, сонячні батареї);</w:t>
      </w:r>
    </w:p>
    <w:p w14:paraId="35F0EE5C" w14:textId="77777777" w:rsidR="00C82386" w:rsidRDefault="00E66F64">
      <w:pPr>
        <w:numPr>
          <w:ilvl w:val="0"/>
          <w:numId w:val="1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власних котелень, з запровадженням використання альтернативного палива (дров, тріски, деревних відходів). Деревні види палива за умов поновлення обсягу деревних насаджень, вважаються відновлюваними;</w:t>
      </w:r>
    </w:p>
    <w:p w14:paraId="76F51416" w14:textId="77777777" w:rsidR="00C82386" w:rsidRDefault="00E66F64">
      <w:pPr>
        <w:numPr>
          <w:ilvl w:val="0"/>
          <w:numId w:val="11"/>
        </w:numPr>
        <w:pBdr>
          <w:top w:val="nil"/>
          <w:left w:val="nil"/>
          <w:bottom w:val="nil"/>
          <w:right w:val="nil"/>
          <w:between w:val="nil"/>
        </w:pBdr>
        <w:spacing w:after="0"/>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інформаційно-просвітницьких кампаній та підвищення мотивації щодо ощадливого використання енергії.</w:t>
      </w:r>
    </w:p>
    <w:p w14:paraId="331099F0" w14:textId="77777777" w:rsidR="00C82386" w:rsidRDefault="00E66F64">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Оскільки сектор «Муніципальні будівлі, обладнання/об’єкти» включає в себе також і всі комунальні підприємства (крім процесів виробництва і транспортування тепла та транспорту), до заходів цього сектору також відносяться всі заходи, що відносяться до систем водопостачання, водовідведення. </w:t>
      </w:r>
    </w:p>
    <w:p w14:paraId="1EEE4F1A"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ПДСЕРК пропонується провести заходи з реконструкції системи водопостачання/водовідведення, та підвищити енергоефективність роботи КП «Житомирводоканал». Цей захід має також значний вплив з адаптації до змін клімату, </w:t>
      </w:r>
      <w:r>
        <w:rPr>
          <w:rFonts w:ascii="Times New Roman" w:eastAsia="Times New Roman" w:hAnsi="Times New Roman" w:cs="Times New Roman"/>
          <w:color w:val="000000"/>
          <w:sz w:val="24"/>
          <w:szCs w:val="24"/>
        </w:rPr>
        <w:lastRenderedPageBreak/>
        <w:t>оскільки за результатами оцінки ризиків та вразливостей зміни клімату (ОРВ) проблеми забезпеченням якісною питною водою мають для громади велике значення.</w:t>
      </w:r>
    </w:p>
    <w:p w14:paraId="375D53CA" w14:textId="77777777" w:rsidR="00C82386" w:rsidRDefault="00E66F64">
      <w:pPr>
        <w:spacing w:before="240"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Між Україною та Міжнародним банком реконструкції та розвитку 26.05.2014  було підписано Угоду про позику №8391-ІV на реалізацію Проекту розвитку міської інфраструктури – 2. До участі в Проекті залучено 10 підприємств України, серед яких і КП «Житомирводоканал» ЖМР.</w:t>
      </w:r>
    </w:p>
    <w:p w14:paraId="126440D5" w14:textId="77777777" w:rsidR="00C82386" w:rsidRDefault="00E66F64">
      <w:pPr>
        <w:tabs>
          <w:tab w:val="left" w:pos="567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сума фінансування КП «Житомирводоканал» в рамках ПРМІ-2 становить 43,5 млн. дол. США.</w:t>
      </w:r>
    </w:p>
    <w:p w14:paraId="2B17D3B1" w14:textId="77777777" w:rsidR="00C82386" w:rsidRDefault="00E66F64">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Проєкти та заходи в рамках інвестиційної програми КП «Житомирводоканал», що заплановано реалізувати у 2022-2023 рр.</w:t>
      </w:r>
    </w:p>
    <w:p w14:paraId="4C20FC80" w14:textId="77777777" w:rsidR="00C82386" w:rsidRDefault="00C82386">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p>
    <w:p w14:paraId="2883941E" w14:textId="77777777" w:rsidR="00C82386" w:rsidRDefault="00C82386">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p>
    <w:p w14:paraId="5AD5FFAA" w14:textId="77777777" w:rsidR="00C82386" w:rsidRDefault="00C82386">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p>
    <w:p w14:paraId="5EBE0282" w14:textId="77777777" w:rsidR="00C82386" w:rsidRDefault="00C82386">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p>
    <w:p w14:paraId="3A7328B1" w14:textId="77777777" w:rsidR="00C82386" w:rsidRDefault="00C82386">
      <w:pPr>
        <w:pBdr>
          <w:top w:val="nil"/>
          <w:left w:val="nil"/>
          <w:bottom w:val="nil"/>
          <w:right w:val="nil"/>
          <w:between w:val="nil"/>
        </w:pBdr>
        <w:tabs>
          <w:tab w:val="left" w:pos="1134"/>
        </w:tabs>
        <w:spacing w:after="0"/>
        <w:ind w:firstLine="720"/>
        <w:jc w:val="both"/>
        <w:rPr>
          <w:rFonts w:ascii="Times New Roman" w:eastAsia="Times New Roman" w:hAnsi="Times New Roman" w:cs="Times New Roman"/>
          <w:color w:val="000000"/>
          <w:sz w:val="24"/>
          <w:szCs w:val="24"/>
        </w:rPr>
      </w:pPr>
    </w:p>
    <w:p w14:paraId="6EECE49E" w14:textId="77777777" w:rsidR="00C82386" w:rsidRDefault="00E66F64">
      <w:pPr>
        <w:tabs>
          <w:tab w:val="left" w:pos="6563"/>
        </w:tabs>
        <w:spacing w:before="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Заходи в рамках проекту Світового банку “Розвиток міської інфраструктури-2”</w:t>
      </w:r>
    </w:p>
    <w:p w14:paraId="110B64D5" w14:textId="77777777" w:rsidR="00C82386" w:rsidRDefault="00E66F64">
      <w:pPr>
        <w:spacing w:after="0"/>
        <w:ind w:firstLine="708"/>
        <w:jc w:val="both"/>
        <w:rPr>
          <w:rFonts w:ascii="Times New Roman" w:eastAsia="Times New Roman" w:hAnsi="Times New Roman" w:cs="Times New Roman"/>
          <w:color w:val="000000"/>
          <w:sz w:val="28"/>
          <w:szCs w:val="28"/>
        </w:rPr>
      </w:pPr>
      <w:r>
        <w:rPr>
          <w:noProof/>
          <w:lang w:val="ru-RU"/>
        </w:rPr>
        <mc:AlternateContent>
          <mc:Choice Requires="wpg">
            <w:drawing>
              <wp:anchor distT="0" distB="0" distL="114300" distR="114300" simplePos="0" relativeHeight="251659264" behindDoc="0" locked="0" layoutInCell="1" hidden="0" allowOverlap="1" wp14:anchorId="14A1455E" wp14:editId="09EEE258">
                <wp:simplePos x="0" y="0"/>
                <wp:positionH relativeFrom="column">
                  <wp:posOffset>76201</wp:posOffset>
                </wp:positionH>
                <wp:positionV relativeFrom="paragraph">
                  <wp:posOffset>38100</wp:posOffset>
                </wp:positionV>
                <wp:extent cx="5800090" cy="3357245"/>
                <wp:effectExtent l="0" t="0" r="0" b="0"/>
                <wp:wrapNone/>
                <wp:docPr id="2144251950" name="Группа 2144251950"/>
                <wp:cNvGraphicFramePr/>
                <a:graphic xmlns:a="http://schemas.openxmlformats.org/drawingml/2006/main">
                  <a:graphicData uri="http://schemas.microsoft.com/office/word/2010/wordprocessingGroup">
                    <wpg:wgp>
                      <wpg:cNvGrpSpPr/>
                      <wpg:grpSpPr>
                        <a:xfrm>
                          <a:off x="0" y="0"/>
                          <a:ext cx="5800090" cy="3357245"/>
                          <a:chOff x="2405950" y="2084375"/>
                          <a:chExt cx="5880100" cy="3437250"/>
                        </a:xfrm>
                      </wpg:grpSpPr>
                      <wpg:grpSp>
                        <wpg:cNvPr id="1" name="Группа 1"/>
                        <wpg:cNvGrpSpPr/>
                        <wpg:grpSpPr>
                          <a:xfrm>
                            <a:off x="2445955" y="2101378"/>
                            <a:ext cx="5800090" cy="3357245"/>
                            <a:chOff x="0" y="0"/>
                            <a:chExt cx="7578937" cy="4875664"/>
                          </a:xfrm>
                        </wpg:grpSpPr>
                        <wps:wsp>
                          <wps:cNvPr id="2" name="Прямоугольник 2"/>
                          <wps:cNvSpPr/>
                          <wps:spPr>
                            <a:xfrm>
                              <a:off x="0" y="0"/>
                              <a:ext cx="7578925" cy="4875650"/>
                            </a:xfrm>
                            <a:prstGeom prst="rect">
                              <a:avLst/>
                            </a:prstGeom>
                            <a:noFill/>
                            <a:ln>
                              <a:noFill/>
                            </a:ln>
                          </wps:spPr>
                          <wps:txbx>
                            <w:txbxContent>
                              <w:p w14:paraId="77CDE67A" w14:textId="77777777" w:rsidR="00BD7402" w:rsidRDefault="00BD7402">
                                <w:pPr>
                                  <w:spacing w:after="0" w:line="240" w:lineRule="auto"/>
                                  <w:textDirection w:val="btLr"/>
                                </w:pPr>
                              </w:p>
                            </w:txbxContent>
                          </wps:txbx>
                          <wps:bodyPr spcFirstLastPara="1" wrap="square" lIns="91425" tIns="91425" rIns="91425" bIns="91425" anchor="ctr" anchorCtr="0">
                            <a:noAutofit/>
                          </wps:bodyPr>
                        </wps:wsp>
                        <wps:wsp>
                          <wps:cNvPr id="3" name="Полилиния 3"/>
                          <wps:cNvSpPr/>
                          <wps:spPr>
                            <a:xfrm>
                              <a:off x="9723" y="7346"/>
                              <a:ext cx="1857621" cy="741224"/>
                            </a:xfrm>
                            <a:custGeom>
                              <a:avLst/>
                              <a:gdLst/>
                              <a:ahLst/>
                              <a:cxnLst/>
                              <a:rect l="l" t="t" r="r" b="b"/>
                              <a:pathLst>
                                <a:path w="1950006" h="688558" extrusionOk="0">
                                  <a:moveTo>
                                    <a:pt x="0" y="68856"/>
                                  </a:moveTo>
                                  <a:cubicBezTo>
                                    <a:pt x="0" y="30828"/>
                                    <a:pt x="30828" y="0"/>
                                    <a:pt x="68856" y="0"/>
                                  </a:cubicBezTo>
                                  <a:lnTo>
                                    <a:pt x="1881150" y="0"/>
                                  </a:lnTo>
                                  <a:cubicBezTo>
                                    <a:pt x="1919178" y="0"/>
                                    <a:pt x="1950006" y="30828"/>
                                    <a:pt x="1950006" y="68856"/>
                                  </a:cubicBezTo>
                                  <a:lnTo>
                                    <a:pt x="1950006" y="619702"/>
                                  </a:lnTo>
                                  <a:cubicBezTo>
                                    <a:pt x="1950006" y="657730"/>
                                    <a:pt x="1919178" y="688558"/>
                                    <a:pt x="1881150" y="688558"/>
                                  </a:cubicBezTo>
                                  <a:lnTo>
                                    <a:pt x="68856" y="688558"/>
                                  </a:lnTo>
                                  <a:cubicBezTo>
                                    <a:pt x="30828" y="688558"/>
                                    <a:pt x="0" y="657730"/>
                                    <a:pt x="0" y="619702"/>
                                  </a:cubicBezTo>
                                  <a:lnTo>
                                    <a:pt x="0" y="68856"/>
                                  </a:lnTo>
                                  <a:close/>
                                </a:path>
                              </a:pathLst>
                            </a:custGeom>
                            <a:solidFill>
                              <a:srgbClr val="C5622A"/>
                            </a:solidFill>
                            <a:ln>
                              <a:noFill/>
                            </a:ln>
                            <a:effectLst>
                              <a:outerShdw blurRad="40000" dist="23000" dir="5400000" rotWithShape="0">
                                <a:srgbClr val="000000">
                                  <a:alpha val="34901"/>
                                </a:srgbClr>
                              </a:outerShdw>
                            </a:effectLst>
                          </wps:spPr>
                          <wps:txbx>
                            <w:txbxContent>
                              <w:p w14:paraId="4926D319" w14:textId="77777777" w:rsidR="00BD7402" w:rsidRDefault="00BD7402">
                                <w:pPr>
                                  <w:spacing w:after="118" w:line="215" w:lineRule="auto"/>
                                  <w:jc w:val="center"/>
                                  <w:textDirection w:val="btLr"/>
                                </w:pPr>
                                <w:r>
                                  <w:rPr>
                                    <w:rFonts w:ascii="Verdana" w:eastAsia="Verdana" w:hAnsi="Verdana" w:cs="Verdana"/>
                                    <w:color w:val="FFFFFF"/>
                                    <w:sz w:val="18"/>
                                  </w:rPr>
                                  <w:t>Назва</w:t>
                                </w:r>
                              </w:p>
                            </w:txbxContent>
                          </wps:txbx>
                          <wps:bodyPr spcFirstLastPara="1" wrap="square" lIns="73500" tIns="73500" rIns="73500" bIns="73500" anchor="ctr" anchorCtr="0">
                            <a:noAutofit/>
                          </wps:bodyPr>
                        </wps:wsp>
                        <wps:wsp>
                          <wps:cNvPr id="4" name="Полилиния 4"/>
                          <wps:cNvSpPr/>
                          <wps:spPr>
                            <a:xfrm>
                              <a:off x="11537" y="848024"/>
                              <a:ext cx="1853995" cy="741224"/>
                            </a:xfrm>
                            <a:custGeom>
                              <a:avLst/>
                              <a:gdLst/>
                              <a:ahLst/>
                              <a:cxnLst/>
                              <a:rect l="l" t="t" r="r" b="b"/>
                              <a:pathLst>
                                <a:path w="1946199" h="688558" extrusionOk="0">
                                  <a:moveTo>
                                    <a:pt x="0" y="68856"/>
                                  </a:moveTo>
                                  <a:cubicBezTo>
                                    <a:pt x="0" y="30828"/>
                                    <a:pt x="30828" y="0"/>
                                    <a:pt x="68856" y="0"/>
                                  </a:cubicBezTo>
                                  <a:lnTo>
                                    <a:pt x="1877343" y="0"/>
                                  </a:lnTo>
                                  <a:cubicBezTo>
                                    <a:pt x="1915371" y="0"/>
                                    <a:pt x="1946199" y="30828"/>
                                    <a:pt x="1946199" y="68856"/>
                                  </a:cubicBezTo>
                                  <a:lnTo>
                                    <a:pt x="1946199" y="619702"/>
                                  </a:lnTo>
                                  <a:cubicBezTo>
                                    <a:pt x="1946199" y="657730"/>
                                    <a:pt x="1915371" y="688558"/>
                                    <a:pt x="1877343"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6BBF8147" w14:textId="77777777" w:rsidR="00BD7402" w:rsidRDefault="00BD7402">
                                <w:pPr>
                                  <w:spacing w:after="118" w:line="215" w:lineRule="auto"/>
                                  <w:jc w:val="center"/>
                                  <w:textDirection w:val="btLr"/>
                                </w:pPr>
                                <w:r>
                                  <w:rPr>
                                    <w:rFonts w:ascii="Verdana" w:eastAsia="Verdana" w:hAnsi="Verdana" w:cs="Verdana"/>
                                    <w:color w:val="FFFFFF"/>
                                    <w:sz w:val="18"/>
                                  </w:rPr>
                                  <w:t>Технічний нагляд</w:t>
                                </w:r>
                              </w:p>
                            </w:txbxContent>
                          </wps:txbx>
                          <wps:bodyPr spcFirstLastPara="1" wrap="square" lIns="73500" tIns="73500" rIns="73500" bIns="73500" anchor="ctr" anchorCtr="0">
                            <a:noAutofit/>
                          </wps:bodyPr>
                        </wps:wsp>
                        <wps:wsp>
                          <wps:cNvPr id="5" name="Полилиния 5"/>
                          <wps:cNvSpPr/>
                          <wps:spPr>
                            <a:xfrm>
                              <a:off x="0" y="1688701"/>
                              <a:ext cx="1846763" cy="741224"/>
                            </a:xfrm>
                            <a:custGeom>
                              <a:avLst/>
                              <a:gdLst/>
                              <a:ahLst/>
                              <a:cxnLst/>
                              <a:rect l="l" t="t" r="r" b="b"/>
                              <a:pathLst>
                                <a:path w="1938608" h="688558" extrusionOk="0">
                                  <a:moveTo>
                                    <a:pt x="0" y="68856"/>
                                  </a:moveTo>
                                  <a:cubicBezTo>
                                    <a:pt x="0" y="30828"/>
                                    <a:pt x="30828" y="0"/>
                                    <a:pt x="68856" y="0"/>
                                  </a:cubicBezTo>
                                  <a:lnTo>
                                    <a:pt x="1869752" y="0"/>
                                  </a:lnTo>
                                  <a:cubicBezTo>
                                    <a:pt x="1907780" y="0"/>
                                    <a:pt x="1938608" y="30828"/>
                                    <a:pt x="1938608" y="68856"/>
                                  </a:cubicBezTo>
                                  <a:lnTo>
                                    <a:pt x="1938608" y="619702"/>
                                  </a:lnTo>
                                  <a:cubicBezTo>
                                    <a:pt x="1938608" y="657730"/>
                                    <a:pt x="1907780" y="688558"/>
                                    <a:pt x="186975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BCEB3D7" w14:textId="77777777" w:rsidR="00BD7402" w:rsidRDefault="00BD7402">
                                <w:pPr>
                                  <w:spacing w:after="118" w:line="215" w:lineRule="auto"/>
                                  <w:jc w:val="center"/>
                                  <w:textDirection w:val="btLr"/>
                                </w:pPr>
                                <w:r>
                                  <w:rPr>
                                    <w:rFonts w:ascii="Verdana" w:eastAsia="Verdana" w:hAnsi="Verdana" w:cs="Verdana"/>
                                    <w:color w:val="FFFFFF"/>
                                    <w:sz w:val="18"/>
                                  </w:rPr>
                                  <w:t>Каналізаційна очисна станція (ОСК-2)</w:t>
                                </w:r>
                              </w:p>
                            </w:txbxContent>
                          </wps:txbx>
                          <wps:bodyPr spcFirstLastPara="1" wrap="square" lIns="73500" tIns="73500" rIns="73500" bIns="73500" anchor="ctr" anchorCtr="0">
                            <a:noAutofit/>
                          </wps:bodyPr>
                        </wps:wsp>
                        <wps:wsp>
                          <wps:cNvPr id="6" name="Полилиния 6"/>
                          <wps:cNvSpPr/>
                          <wps:spPr>
                            <a:xfrm>
                              <a:off x="17958" y="3286418"/>
                              <a:ext cx="1832384" cy="741224"/>
                            </a:xfrm>
                            <a:custGeom>
                              <a:avLst/>
                              <a:gdLst/>
                              <a:ahLst/>
                              <a:cxnLst/>
                              <a:rect l="l" t="t" r="r" b="b"/>
                              <a:pathLst>
                                <a:path w="1923514" h="688558" extrusionOk="0">
                                  <a:moveTo>
                                    <a:pt x="0" y="68856"/>
                                  </a:moveTo>
                                  <a:cubicBezTo>
                                    <a:pt x="0" y="30828"/>
                                    <a:pt x="30828" y="0"/>
                                    <a:pt x="68856" y="0"/>
                                  </a:cubicBezTo>
                                  <a:lnTo>
                                    <a:pt x="1854658" y="0"/>
                                  </a:lnTo>
                                  <a:cubicBezTo>
                                    <a:pt x="1892686" y="0"/>
                                    <a:pt x="1923514" y="30828"/>
                                    <a:pt x="1923514" y="68856"/>
                                  </a:cubicBezTo>
                                  <a:lnTo>
                                    <a:pt x="1923514" y="619702"/>
                                  </a:lnTo>
                                  <a:cubicBezTo>
                                    <a:pt x="1923514" y="657730"/>
                                    <a:pt x="1892686" y="688558"/>
                                    <a:pt x="1854658"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334C1E58" w14:textId="77777777" w:rsidR="00BD7402" w:rsidRDefault="00BD7402">
                                <w:pPr>
                                  <w:spacing w:after="118" w:line="215" w:lineRule="auto"/>
                                  <w:jc w:val="center"/>
                                  <w:textDirection w:val="btLr"/>
                                </w:pPr>
                                <w:r>
                                  <w:rPr>
                                    <w:rFonts w:ascii="Verdana" w:eastAsia="Verdana" w:hAnsi="Verdana" w:cs="Verdana"/>
                                    <w:color w:val="FFFFFF"/>
                                    <w:sz w:val="18"/>
                                  </w:rPr>
                                  <w:t>Насосна станція та водоочисна станція</w:t>
                                </w:r>
                              </w:p>
                            </w:txbxContent>
                          </wps:txbx>
                          <wps:bodyPr spcFirstLastPara="1" wrap="square" lIns="73500" tIns="73500" rIns="73500" bIns="73500" anchor="ctr" anchorCtr="0">
                            <a:noAutofit/>
                          </wps:bodyPr>
                        </wps:wsp>
                        <wps:wsp>
                          <wps:cNvPr id="7" name="Полилиния 7"/>
                          <wps:cNvSpPr/>
                          <wps:spPr>
                            <a:xfrm>
                              <a:off x="17958" y="4134440"/>
                              <a:ext cx="1832384" cy="741224"/>
                            </a:xfrm>
                            <a:custGeom>
                              <a:avLst/>
                              <a:gdLst/>
                              <a:ahLst/>
                              <a:cxnLst/>
                              <a:rect l="l" t="t" r="r" b="b"/>
                              <a:pathLst>
                                <a:path w="1923514" h="688558" extrusionOk="0">
                                  <a:moveTo>
                                    <a:pt x="0" y="68856"/>
                                  </a:moveTo>
                                  <a:cubicBezTo>
                                    <a:pt x="0" y="30828"/>
                                    <a:pt x="30828" y="0"/>
                                    <a:pt x="68856" y="0"/>
                                  </a:cubicBezTo>
                                  <a:lnTo>
                                    <a:pt x="1854658" y="0"/>
                                  </a:lnTo>
                                  <a:cubicBezTo>
                                    <a:pt x="1892686" y="0"/>
                                    <a:pt x="1923514" y="30828"/>
                                    <a:pt x="1923514" y="68856"/>
                                  </a:cubicBezTo>
                                  <a:lnTo>
                                    <a:pt x="1923514" y="619702"/>
                                  </a:lnTo>
                                  <a:cubicBezTo>
                                    <a:pt x="1923514" y="657730"/>
                                    <a:pt x="1892686" y="688558"/>
                                    <a:pt x="1854658"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8ECABE3" w14:textId="77777777" w:rsidR="00BD7402" w:rsidRDefault="00BD7402">
                                <w:pPr>
                                  <w:spacing w:after="118" w:line="215" w:lineRule="auto"/>
                                  <w:jc w:val="center"/>
                                  <w:textDirection w:val="btLr"/>
                                </w:pPr>
                                <w:r>
                                  <w:rPr>
                                    <w:rFonts w:ascii="Verdana" w:eastAsia="Verdana" w:hAnsi="Verdana" w:cs="Verdana"/>
                                    <w:color w:val="FFFFFF"/>
                                    <w:sz w:val="18"/>
                                  </w:rPr>
                                  <w:t>Реконструкція водопровідних мереж</w:t>
                                </w:r>
                              </w:p>
                            </w:txbxContent>
                          </wps:txbx>
                          <wps:bodyPr spcFirstLastPara="1" wrap="square" lIns="73500" tIns="73500" rIns="73500" bIns="73500" anchor="ctr" anchorCtr="0">
                            <a:noAutofit/>
                          </wps:bodyPr>
                        </wps:wsp>
                        <wps:wsp>
                          <wps:cNvPr id="8" name="Полилиния 8"/>
                          <wps:cNvSpPr/>
                          <wps:spPr>
                            <a:xfrm>
                              <a:off x="1909661" y="7346"/>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solidFill>
                              <a:srgbClr val="C5622A"/>
                            </a:solidFill>
                            <a:ln>
                              <a:noFill/>
                            </a:ln>
                            <a:effectLst>
                              <a:outerShdw blurRad="40000" dist="23000" dir="5400000" rotWithShape="0">
                                <a:srgbClr val="000000">
                                  <a:alpha val="34901"/>
                                </a:srgbClr>
                              </a:outerShdw>
                            </a:effectLst>
                          </wps:spPr>
                          <wps:txbx>
                            <w:txbxContent>
                              <w:p w14:paraId="5CC63D50" w14:textId="77777777" w:rsidR="00BD7402" w:rsidRDefault="00BD7402">
                                <w:pPr>
                                  <w:spacing w:after="118" w:line="215" w:lineRule="auto"/>
                                  <w:jc w:val="center"/>
                                  <w:textDirection w:val="btLr"/>
                                </w:pPr>
                                <w:r>
                                  <w:rPr>
                                    <w:rFonts w:ascii="Verdana" w:eastAsia="Verdana" w:hAnsi="Verdana" w:cs="Verdana"/>
                                    <w:color w:val="FFFFFF"/>
                                    <w:sz w:val="18"/>
                                  </w:rPr>
                                  <w:t>Проєкт</w:t>
                                </w:r>
                              </w:p>
                            </w:txbxContent>
                          </wps:txbx>
                          <wps:bodyPr spcFirstLastPara="1" wrap="square" lIns="73500" tIns="73500" rIns="73500" bIns="73500" anchor="ctr" anchorCtr="0">
                            <a:noAutofit/>
                          </wps:bodyPr>
                        </wps:wsp>
                        <wps:wsp>
                          <wps:cNvPr id="9" name="Полилиния 9"/>
                          <wps:cNvSpPr/>
                          <wps:spPr>
                            <a:xfrm>
                              <a:off x="1909661" y="848024"/>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5D1D3F3F" w14:textId="77777777" w:rsidR="00BD7402" w:rsidRDefault="00BD7402">
                                <w:pPr>
                                  <w:spacing w:after="118" w:line="215" w:lineRule="auto"/>
                                  <w:jc w:val="center"/>
                                  <w:textDirection w:val="btLr"/>
                                </w:pPr>
                                <w:r>
                                  <w:rPr>
                                    <w:rFonts w:ascii="Verdana" w:eastAsia="Verdana" w:hAnsi="Verdana" w:cs="Verdana"/>
                                    <w:color w:val="FFFFFF"/>
                                    <w:sz w:val="18"/>
                                  </w:rPr>
                                  <w:t>QCBS-02</w:t>
                                </w:r>
                              </w:p>
                            </w:txbxContent>
                          </wps:txbx>
                          <wps:bodyPr spcFirstLastPara="1" wrap="square" lIns="73500" tIns="73500" rIns="73500" bIns="73500" anchor="ctr" anchorCtr="0">
                            <a:noAutofit/>
                          </wps:bodyPr>
                        </wps:wsp>
                        <wps:wsp>
                          <wps:cNvPr id="10" name="Полилиния 10"/>
                          <wps:cNvSpPr/>
                          <wps:spPr>
                            <a:xfrm>
                              <a:off x="1909661" y="1688701"/>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77AE139B" w14:textId="77777777" w:rsidR="00BD7402" w:rsidRDefault="00BD7402">
                                <w:pPr>
                                  <w:spacing w:after="118" w:line="215" w:lineRule="auto"/>
                                  <w:jc w:val="center"/>
                                  <w:textDirection w:val="btLr"/>
                                </w:pPr>
                                <w:r>
                                  <w:rPr>
                                    <w:rFonts w:ascii="Verdana" w:eastAsia="Verdana" w:hAnsi="Verdana" w:cs="Verdana"/>
                                    <w:color w:val="FFFFFF"/>
                                    <w:sz w:val="18"/>
                                  </w:rPr>
                                  <w:t>ICB-03</w:t>
                                </w:r>
                              </w:p>
                            </w:txbxContent>
                          </wps:txbx>
                          <wps:bodyPr spcFirstLastPara="1" wrap="square" lIns="73500" tIns="73500" rIns="73500" bIns="73500" anchor="ctr" anchorCtr="0">
                            <a:noAutofit/>
                          </wps:bodyPr>
                        </wps:wsp>
                        <wps:wsp>
                          <wps:cNvPr id="11" name="Полилиния 11"/>
                          <wps:cNvSpPr/>
                          <wps:spPr>
                            <a:xfrm>
                              <a:off x="1920431" y="3293763"/>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01B043B9" w14:textId="77777777" w:rsidR="00BD7402" w:rsidRDefault="00BD7402">
                                <w:pPr>
                                  <w:spacing w:after="118" w:line="215" w:lineRule="auto"/>
                                  <w:jc w:val="center"/>
                                  <w:textDirection w:val="btLr"/>
                                </w:pPr>
                                <w:r>
                                  <w:rPr>
                                    <w:rFonts w:ascii="Verdana" w:eastAsia="Verdana" w:hAnsi="Verdana" w:cs="Verdana"/>
                                    <w:color w:val="FFFFFF"/>
                                    <w:sz w:val="18"/>
                                  </w:rPr>
                                  <w:t>ICB-04</w:t>
                                </w:r>
                              </w:p>
                            </w:txbxContent>
                          </wps:txbx>
                          <wps:bodyPr spcFirstLastPara="1" wrap="square" lIns="73500" tIns="73500" rIns="73500" bIns="73500" anchor="ctr" anchorCtr="0">
                            <a:noAutofit/>
                          </wps:bodyPr>
                        </wps:wsp>
                        <wps:wsp>
                          <wps:cNvPr id="12" name="Полилиния 12"/>
                          <wps:cNvSpPr/>
                          <wps:spPr>
                            <a:xfrm>
                              <a:off x="1920431" y="4134440"/>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68417EB3" w14:textId="77777777" w:rsidR="00BD7402" w:rsidRDefault="00BD7402">
                                <w:pPr>
                                  <w:spacing w:after="118" w:line="215" w:lineRule="auto"/>
                                  <w:jc w:val="center"/>
                                  <w:textDirection w:val="btLr"/>
                                </w:pPr>
                                <w:r>
                                  <w:rPr>
                                    <w:rFonts w:ascii="Verdana" w:eastAsia="Verdana" w:hAnsi="Verdana" w:cs="Verdana"/>
                                    <w:color w:val="FFFFFF"/>
                                    <w:sz w:val="18"/>
                                  </w:rPr>
                                  <w:t>ICB-05</w:t>
                                </w:r>
                              </w:p>
                            </w:txbxContent>
                          </wps:txbx>
                          <wps:bodyPr spcFirstLastPara="1" wrap="square" lIns="73500" tIns="73500" rIns="73500" bIns="73500" anchor="ctr" anchorCtr="0">
                            <a:noAutofit/>
                          </wps:bodyPr>
                        </wps:wsp>
                        <wps:wsp>
                          <wps:cNvPr id="13" name="Полилиния 13"/>
                          <wps:cNvSpPr/>
                          <wps:spPr>
                            <a:xfrm>
                              <a:off x="3283083" y="7346"/>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solidFill>
                              <a:srgbClr val="C5622A"/>
                            </a:solidFill>
                            <a:ln>
                              <a:noFill/>
                            </a:ln>
                            <a:effectLst>
                              <a:outerShdw blurRad="40000" dist="23000" dir="5400000" rotWithShape="0">
                                <a:srgbClr val="000000">
                                  <a:alpha val="34901"/>
                                </a:srgbClr>
                              </a:outerShdw>
                            </a:effectLst>
                          </wps:spPr>
                          <wps:txbx>
                            <w:txbxContent>
                              <w:p w14:paraId="14D651B6" w14:textId="77777777" w:rsidR="00BD7402" w:rsidRDefault="00BD7402">
                                <w:pPr>
                                  <w:spacing w:after="118" w:line="215" w:lineRule="auto"/>
                                  <w:jc w:val="center"/>
                                  <w:textDirection w:val="btLr"/>
                                </w:pPr>
                                <w:r>
                                  <w:rPr>
                                    <w:rFonts w:ascii="Verdana" w:eastAsia="Verdana" w:hAnsi="Verdana" w:cs="Verdana"/>
                                    <w:color w:val="FFFFFF"/>
                                    <w:sz w:val="18"/>
                                  </w:rPr>
                                  <w:t>Ціна контракту,</w:t>
                                </w:r>
                              </w:p>
                            </w:txbxContent>
                          </wps:txbx>
                          <wps:bodyPr spcFirstLastPara="1" wrap="square" lIns="73500" tIns="73500" rIns="73500" bIns="73500" anchor="ctr" anchorCtr="0">
                            <a:noAutofit/>
                          </wps:bodyPr>
                        </wps:wsp>
                        <wps:wsp>
                          <wps:cNvPr id="14" name="Полилиния 14"/>
                          <wps:cNvSpPr/>
                          <wps:spPr>
                            <a:xfrm>
                              <a:off x="3283083" y="848024"/>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6BD450D9" w14:textId="77777777" w:rsidR="00BD7402" w:rsidRDefault="00BD7402">
                                <w:pPr>
                                  <w:spacing w:after="118" w:line="215" w:lineRule="auto"/>
                                  <w:jc w:val="center"/>
                                  <w:textDirection w:val="btLr"/>
                                </w:pPr>
                                <w:r>
                                  <w:rPr>
                                    <w:rFonts w:ascii="Verdana" w:eastAsia="Verdana" w:hAnsi="Verdana" w:cs="Verdana"/>
                                    <w:color w:val="FFFFFF"/>
                                    <w:sz w:val="18"/>
                                  </w:rPr>
                                  <w:t xml:space="preserve"> € 3 918 436</w:t>
                                </w:r>
                              </w:p>
                            </w:txbxContent>
                          </wps:txbx>
                          <wps:bodyPr spcFirstLastPara="1" wrap="square" lIns="73500" tIns="73500" rIns="73500" bIns="73500" anchor="ctr" anchorCtr="0">
                            <a:noAutofit/>
                          </wps:bodyPr>
                        </wps:wsp>
                        <wps:wsp>
                          <wps:cNvPr id="15" name="Полилиния 15"/>
                          <wps:cNvSpPr/>
                          <wps:spPr>
                            <a:xfrm>
                              <a:off x="3283083" y="1688701"/>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50D9BCE7" w14:textId="77777777" w:rsidR="00BD7402" w:rsidRDefault="00BD7402">
                                <w:pPr>
                                  <w:spacing w:after="118" w:line="215" w:lineRule="auto"/>
                                  <w:jc w:val="center"/>
                                  <w:textDirection w:val="btLr"/>
                                </w:pPr>
                                <w:r>
                                  <w:rPr>
                                    <w:rFonts w:ascii="Verdana" w:eastAsia="Verdana" w:hAnsi="Verdana" w:cs="Verdana"/>
                                    <w:color w:val="FFFFFF"/>
                                    <w:sz w:val="18"/>
                                  </w:rPr>
                                  <w:t>€ 15 520 194</w:t>
                                </w:r>
                              </w:p>
                            </w:txbxContent>
                          </wps:txbx>
                          <wps:bodyPr spcFirstLastPara="1" wrap="square" lIns="73500" tIns="73500" rIns="73500" bIns="73500" anchor="ctr" anchorCtr="0">
                            <a:noAutofit/>
                          </wps:bodyPr>
                        </wps:wsp>
                        <wps:wsp>
                          <wps:cNvPr id="16" name="Полилиния 16"/>
                          <wps:cNvSpPr/>
                          <wps:spPr>
                            <a:xfrm>
                              <a:off x="3293853" y="3293763"/>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04882A06" w14:textId="77777777" w:rsidR="00BD7402" w:rsidRDefault="00BD7402">
                                <w:pPr>
                                  <w:spacing w:after="118" w:line="215" w:lineRule="auto"/>
                                  <w:jc w:val="center"/>
                                  <w:textDirection w:val="btLr"/>
                                </w:pPr>
                                <w:r>
                                  <w:rPr>
                                    <w:rFonts w:ascii="Verdana" w:eastAsia="Verdana" w:hAnsi="Verdana" w:cs="Verdana"/>
                                    <w:color w:val="FFFFFF"/>
                                    <w:sz w:val="18"/>
                                  </w:rPr>
                                  <w:t>€ 13 421 683</w:t>
                                </w:r>
                              </w:p>
                            </w:txbxContent>
                          </wps:txbx>
                          <wps:bodyPr spcFirstLastPara="1" wrap="square" lIns="73500" tIns="73500" rIns="73500" bIns="73500" anchor="ctr" anchorCtr="0">
                            <a:noAutofit/>
                          </wps:bodyPr>
                        </wps:wsp>
                        <wps:wsp>
                          <wps:cNvPr id="17" name="Полилиния 17"/>
                          <wps:cNvSpPr/>
                          <wps:spPr>
                            <a:xfrm>
                              <a:off x="3293853" y="4134440"/>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61AE9712" w14:textId="77777777" w:rsidR="00BD7402" w:rsidRDefault="00BD7402">
                                <w:pPr>
                                  <w:spacing w:after="118" w:line="215" w:lineRule="auto"/>
                                  <w:jc w:val="center"/>
                                  <w:textDirection w:val="btLr"/>
                                </w:pPr>
                                <w:r>
                                  <w:rPr>
                                    <w:rFonts w:ascii="Verdana" w:eastAsia="Verdana" w:hAnsi="Verdana" w:cs="Verdana"/>
                                    <w:color w:val="FFFFFF"/>
                                    <w:sz w:val="18"/>
                                  </w:rPr>
                                  <w:t>₴154 080 083</w:t>
                                </w:r>
                              </w:p>
                            </w:txbxContent>
                          </wps:txbx>
                          <wps:bodyPr spcFirstLastPara="1" wrap="square" lIns="73500" tIns="73500" rIns="73500" bIns="73500" anchor="ctr" anchorCtr="0">
                            <a:noAutofit/>
                          </wps:bodyPr>
                        </wps:wsp>
                        <wps:wsp>
                          <wps:cNvPr id="18" name="Полилиния 18"/>
                          <wps:cNvSpPr/>
                          <wps:spPr>
                            <a:xfrm>
                              <a:off x="4818437" y="1"/>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solidFill>
                              <a:srgbClr val="C5622A"/>
                            </a:solidFill>
                            <a:ln>
                              <a:noFill/>
                            </a:ln>
                            <a:effectLst>
                              <a:outerShdw blurRad="40000" dist="23000" dir="5400000" rotWithShape="0">
                                <a:srgbClr val="000000">
                                  <a:alpha val="34901"/>
                                </a:srgbClr>
                              </a:outerShdw>
                            </a:effectLst>
                          </wps:spPr>
                          <wps:txbx>
                            <w:txbxContent>
                              <w:p w14:paraId="0032793E" w14:textId="77777777" w:rsidR="00BD7402" w:rsidRDefault="00BD7402">
                                <w:pPr>
                                  <w:spacing w:after="118" w:line="215" w:lineRule="auto"/>
                                  <w:jc w:val="center"/>
                                  <w:textDirection w:val="btLr"/>
                                </w:pPr>
                                <w:r>
                                  <w:rPr>
                                    <w:rFonts w:ascii="Verdana" w:eastAsia="Verdana" w:hAnsi="Verdana" w:cs="Verdana"/>
                                    <w:color w:val="FFFFFF"/>
                                    <w:sz w:val="18"/>
                                  </w:rPr>
                                  <w:t>Сплачено станом на 01.01.2023</w:t>
                                </w:r>
                              </w:p>
                            </w:txbxContent>
                          </wps:txbx>
                          <wps:bodyPr spcFirstLastPara="1" wrap="square" lIns="73500" tIns="73500" rIns="73500" bIns="73500" anchor="ctr" anchorCtr="0">
                            <a:noAutofit/>
                          </wps:bodyPr>
                        </wps:wsp>
                        <wps:wsp>
                          <wps:cNvPr id="19" name="Полилиния 19"/>
                          <wps:cNvSpPr/>
                          <wps:spPr>
                            <a:xfrm>
                              <a:off x="4818436" y="840678"/>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649AD35C" w14:textId="77777777" w:rsidR="00BD7402" w:rsidRDefault="00BD7402">
                                <w:pPr>
                                  <w:spacing w:after="118" w:line="215" w:lineRule="auto"/>
                                  <w:jc w:val="center"/>
                                  <w:textDirection w:val="btLr"/>
                                </w:pPr>
                                <w:r>
                                  <w:rPr>
                                    <w:rFonts w:ascii="Verdana" w:eastAsia="Verdana" w:hAnsi="Verdana" w:cs="Verdana"/>
                                    <w:color w:val="FFFFFF"/>
                                    <w:sz w:val="18"/>
                                  </w:rPr>
                                  <w:t>€ 3 111 647</w:t>
                                </w:r>
                              </w:p>
                            </w:txbxContent>
                          </wps:txbx>
                          <wps:bodyPr spcFirstLastPara="1" wrap="square" lIns="73500" tIns="73500" rIns="73500" bIns="73500" anchor="ctr" anchorCtr="0">
                            <a:noAutofit/>
                          </wps:bodyPr>
                        </wps:wsp>
                        <wps:wsp>
                          <wps:cNvPr id="20" name="Полилиния 20"/>
                          <wps:cNvSpPr/>
                          <wps:spPr>
                            <a:xfrm>
                              <a:off x="4818437" y="1664254"/>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5E9FD5A" w14:textId="77777777" w:rsidR="00BD7402" w:rsidRDefault="00BD7402">
                                <w:pPr>
                                  <w:spacing w:after="118" w:line="215" w:lineRule="auto"/>
                                  <w:jc w:val="center"/>
                                  <w:textDirection w:val="btLr"/>
                                </w:pPr>
                                <w:r>
                                  <w:rPr>
                                    <w:rFonts w:ascii="Verdana" w:eastAsia="Verdana" w:hAnsi="Verdana" w:cs="Verdana"/>
                                    <w:color w:val="FFFFFF"/>
                                    <w:sz w:val="18"/>
                                  </w:rPr>
                                  <w:t>€ 9 292 314</w:t>
                                </w:r>
                              </w:p>
                            </w:txbxContent>
                          </wps:txbx>
                          <wps:bodyPr spcFirstLastPara="1" wrap="square" lIns="73500" tIns="73500" rIns="73500" bIns="73500" anchor="ctr" anchorCtr="0">
                            <a:noAutofit/>
                          </wps:bodyPr>
                        </wps:wsp>
                        <wps:wsp>
                          <wps:cNvPr id="21" name="Полилиния 21"/>
                          <wps:cNvSpPr/>
                          <wps:spPr>
                            <a:xfrm>
                              <a:off x="4814532" y="3286418"/>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1FCFAC4B" w14:textId="77777777" w:rsidR="00BD7402" w:rsidRDefault="00BD7402">
                                <w:pPr>
                                  <w:spacing w:after="118" w:line="215" w:lineRule="auto"/>
                                  <w:jc w:val="center"/>
                                  <w:textDirection w:val="btLr"/>
                                </w:pPr>
                                <w:r>
                                  <w:rPr>
                                    <w:rFonts w:ascii="Verdana" w:eastAsia="Verdana" w:hAnsi="Verdana" w:cs="Verdana"/>
                                    <w:color w:val="FFFFFF"/>
                                    <w:sz w:val="18"/>
                                  </w:rPr>
                                  <w:t>€ 6 239 877</w:t>
                                </w:r>
                              </w:p>
                            </w:txbxContent>
                          </wps:txbx>
                          <wps:bodyPr spcFirstLastPara="1" wrap="square" lIns="73500" tIns="73500" rIns="73500" bIns="73500" anchor="ctr" anchorCtr="0">
                            <a:noAutofit/>
                          </wps:bodyPr>
                        </wps:wsp>
                        <wps:wsp>
                          <wps:cNvPr id="22" name="Полилиния 22"/>
                          <wps:cNvSpPr/>
                          <wps:spPr>
                            <a:xfrm>
                              <a:off x="4829207" y="4127095"/>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4BD9641" w14:textId="77777777" w:rsidR="00BD7402" w:rsidRDefault="00BD7402">
                                <w:pPr>
                                  <w:spacing w:after="118" w:line="215" w:lineRule="auto"/>
                                  <w:jc w:val="center"/>
                                  <w:textDirection w:val="btLr"/>
                                </w:pPr>
                                <w:r>
                                  <w:rPr>
                                    <w:rFonts w:ascii="Verdana" w:eastAsia="Verdana" w:hAnsi="Verdana" w:cs="Verdana"/>
                                    <w:color w:val="FFFFFF"/>
                                    <w:sz w:val="18"/>
                                  </w:rPr>
                                  <w:t>₴ 140 731 620</w:t>
                                </w:r>
                              </w:p>
                            </w:txbxContent>
                          </wps:txbx>
                          <wps:bodyPr spcFirstLastPara="1" wrap="square" lIns="73500" tIns="73500" rIns="73500" bIns="73500" anchor="ctr" anchorCtr="0">
                            <a:noAutofit/>
                          </wps:bodyPr>
                        </wps:wsp>
                        <wps:wsp>
                          <wps:cNvPr id="23" name="Полилиния 23"/>
                          <wps:cNvSpPr/>
                          <wps:spPr>
                            <a:xfrm>
                              <a:off x="6341102" y="0"/>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solidFill>
                              <a:srgbClr val="C5622A"/>
                            </a:solidFill>
                            <a:ln>
                              <a:noFill/>
                            </a:ln>
                            <a:effectLst>
                              <a:outerShdw blurRad="40000" dist="23000" dir="5400000" rotWithShape="0">
                                <a:srgbClr val="000000">
                                  <a:alpha val="34901"/>
                                </a:srgbClr>
                              </a:outerShdw>
                            </a:effectLst>
                          </wps:spPr>
                          <wps:txbx>
                            <w:txbxContent>
                              <w:p w14:paraId="050B6F33" w14:textId="77777777" w:rsidR="00BD7402" w:rsidRDefault="00BD7402">
                                <w:pPr>
                                  <w:spacing w:after="118" w:line="215" w:lineRule="auto"/>
                                  <w:jc w:val="center"/>
                                  <w:textDirection w:val="btLr"/>
                                </w:pPr>
                                <w:r>
                                  <w:rPr>
                                    <w:rFonts w:ascii="Verdana" w:eastAsia="Verdana" w:hAnsi="Verdana" w:cs="Verdana"/>
                                    <w:color w:val="FFFFFF"/>
                                    <w:sz w:val="18"/>
                                  </w:rPr>
                                  <w:t>у відсотках від суми контракта</w:t>
                                </w:r>
                              </w:p>
                            </w:txbxContent>
                          </wps:txbx>
                          <wps:bodyPr spcFirstLastPara="1" wrap="square" lIns="73500" tIns="73500" rIns="73500" bIns="73500" anchor="ctr" anchorCtr="0">
                            <a:noAutofit/>
                          </wps:bodyPr>
                        </wps:wsp>
                        <wps:wsp>
                          <wps:cNvPr id="24" name="Полилиния 24"/>
                          <wps:cNvSpPr/>
                          <wps:spPr>
                            <a:xfrm>
                              <a:off x="6341102" y="840678"/>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DDE5D81" w14:textId="77777777" w:rsidR="00BD7402" w:rsidRDefault="00BD7402">
                                <w:pPr>
                                  <w:spacing w:after="118" w:line="215" w:lineRule="auto"/>
                                  <w:jc w:val="center"/>
                                  <w:textDirection w:val="btLr"/>
                                </w:pPr>
                                <w:r>
                                  <w:rPr>
                                    <w:rFonts w:ascii="Verdana" w:eastAsia="Verdana" w:hAnsi="Verdana" w:cs="Verdana"/>
                                    <w:color w:val="FFFFFF"/>
                                    <w:sz w:val="18"/>
                                  </w:rPr>
                                  <w:t>79,4%</w:t>
                                </w:r>
                              </w:p>
                            </w:txbxContent>
                          </wps:txbx>
                          <wps:bodyPr spcFirstLastPara="1" wrap="square" lIns="73500" tIns="73500" rIns="73500" bIns="73500" anchor="ctr" anchorCtr="0">
                            <a:noAutofit/>
                          </wps:bodyPr>
                        </wps:wsp>
                        <wps:wsp>
                          <wps:cNvPr id="25" name="Полилиния 25"/>
                          <wps:cNvSpPr/>
                          <wps:spPr>
                            <a:xfrm>
                              <a:off x="6341102" y="1681355"/>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4A3DB07B" w14:textId="77777777" w:rsidR="00BD7402" w:rsidRDefault="00BD7402">
                                <w:pPr>
                                  <w:spacing w:after="118" w:line="215" w:lineRule="auto"/>
                                  <w:jc w:val="center"/>
                                  <w:textDirection w:val="btLr"/>
                                </w:pPr>
                                <w:r>
                                  <w:rPr>
                                    <w:rFonts w:ascii="Verdana" w:eastAsia="Verdana" w:hAnsi="Verdana" w:cs="Verdana"/>
                                    <w:color w:val="FFFFFF"/>
                                    <w:sz w:val="18"/>
                                  </w:rPr>
                                  <w:t>61,3%</w:t>
                                </w:r>
                              </w:p>
                            </w:txbxContent>
                          </wps:txbx>
                          <wps:bodyPr spcFirstLastPara="1" wrap="square" lIns="73500" tIns="73500" rIns="73500" bIns="73500" anchor="ctr" anchorCtr="0">
                            <a:noAutofit/>
                          </wps:bodyPr>
                        </wps:wsp>
                        <wps:wsp>
                          <wps:cNvPr id="26" name="Полилиния 26"/>
                          <wps:cNvSpPr/>
                          <wps:spPr>
                            <a:xfrm>
                              <a:off x="6344200" y="3286417"/>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40D4EF9C" w14:textId="77777777" w:rsidR="00BD7402" w:rsidRDefault="00BD7402">
                                <w:pPr>
                                  <w:spacing w:after="118" w:line="215" w:lineRule="auto"/>
                                  <w:jc w:val="center"/>
                                  <w:textDirection w:val="btLr"/>
                                </w:pPr>
                                <w:r>
                                  <w:rPr>
                                    <w:rFonts w:ascii="Verdana" w:eastAsia="Verdana" w:hAnsi="Verdana" w:cs="Verdana"/>
                                    <w:color w:val="FFFFFF"/>
                                    <w:sz w:val="18"/>
                                  </w:rPr>
                                  <w:t>46,5 %</w:t>
                                </w:r>
                              </w:p>
                            </w:txbxContent>
                          </wps:txbx>
                          <wps:bodyPr spcFirstLastPara="1" wrap="square" lIns="73500" tIns="73500" rIns="73500" bIns="73500" anchor="ctr" anchorCtr="0">
                            <a:noAutofit/>
                          </wps:bodyPr>
                        </wps:wsp>
                        <wps:wsp>
                          <wps:cNvPr id="27" name="Полилиния 27"/>
                          <wps:cNvSpPr/>
                          <wps:spPr>
                            <a:xfrm>
                              <a:off x="6338493" y="4127094"/>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430CBD55" w14:textId="77777777" w:rsidR="00BD7402" w:rsidRDefault="00BD7402">
                                <w:pPr>
                                  <w:spacing w:after="118" w:line="215" w:lineRule="auto"/>
                                  <w:jc w:val="center"/>
                                  <w:textDirection w:val="btLr"/>
                                </w:pPr>
                                <w:r>
                                  <w:rPr>
                                    <w:rFonts w:ascii="Verdana" w:eastAsia="Verdana" w:hAnsi="Verdana" w:cs="Verdana"/>
                                    <w:color w:val="FFFFFF"/>
                                    <w:sz w:val="18"/>
                                  </w:rPr>
                                  <w:t>91,0%</w:t>
                                </w:r>
                              </w:p>
                            </w:txbxContent>
                          </wps:txbx>
                          <wps:bodyPr spcFirstLastPara="1" wrap="square" lIns="73500" tIns="73500" rIns="73500" bIns="73500" anchor="ctr" anchorCtr="0">
                            <a:noAutofit/>
                          </wps:bodyPr>
                        </wps:wsp>
                        <wps:wsp>
                          <wps:cNvPr id="28" name="Полилиния 28"/>
                          <wps:cNvSpPr/>
                          <wps:spPr>
                            <a:xfrm>
                              <a:off x="9723" y="2491409"/>
                              <a:ext cx="1846763" cy="741224"/>
                            </a:xfrm>
                            <a:custGeom>
                              <a:avLst/>
                              <a:gdLst/>
                              <a:ahLst/>
                              <a:cxnLst/>
                              <a:rect l="l" t="t" r="r" b="b"/>
                              <a:pathLst>
                                <a:path w="1938608" h="688558" extrusionOk="0">
                                  <a:moveTo>
                                    <a:pt x="0" y="68856"/>
                                  </a:moveTo>
                                  <a:cubicBezTo>
                                    <a:pt x="0" y="30828"/>
                                    <a:pt x="30828" y="0"/>
                                    <a:pt x="68856" y="0"/>
                                  </a:cubicBezTo>
                                  <a:lnTo>
                                    <a:pt x="1869752" y="0"/>
                                  </a:lnTo>
                                  <a:cubicBezTo>
                                    <a:pt x="1907780" y="0"/>
                                    <a:pt x="1938608" y="30828"/>
                                    <a:pt x="1938608" y="68856"/>
                                  </a:cubicBezTo>
                                  <a:lnTo>
                                    <a:pt x="1938608" y="619702"/>
                                  </a:lnTo>
                                  <a:cubicBezTo>
                                    <a:pt x="1938608" y="657730"/>
                                    <a:pt x="1907780" y="688558"/>
                                    <a:pt x="186975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w="9525" cap="flat" cmpd="sng">
                              <a:solidFill>
                                <a:srgbClr val="B7CCE4"/>
                              </a:solidFill>
                              <a:prstDash val="solid"/>
                              <a:round/>
                              <a:headEnd type="none" w="sm" len="sm"/>
                              <a:tailEnd type="none" w="sm" len="sm"/>
                            </a:ln>
                            <a:effectLst>
                              <a:outerShdw blurRad="40000" dist="23000" dir="5400000" rotWithShape="0">
                                <a:srgbClr val="000000">
                                  <a:alpha val="34901"/>
                                </a:srgbClr>
                              </a:outerShdw>
                            </a:effectLst>
                          </wps:spPr>
                          <wps:txbx>
                            <w:txbxContent>
                              <w:p w14:paraId="50387C65" w14:textId="77777777" w:rsidR="00BD7402" w:rsidRDefault="00BD7402">
                                <w:pPr>
                                  <w:spacing w:after="118" w:line="215" w:lineRule="auto"/>
                                  <w:jc w:val="center"/>
                                  <w:textDirection w:val="btLr"/>
                                </w:pPr>
                                <w:r>
                                  <w:rPr>
                                    <w:rFonts w:ascii="Verdana" w:eastAsia="Verdana" w:hAnsi="Verdana" w:cs="Verdana"/>
                                    <w:color w:val="FFFFFF"/>
                                    <w:sz w:val="18"/>
                                  </w:rPr>
                                  <w:t>Грант</w:t>
                                </w:r>
                              </w:p>
                              <w:p w14:paraId="2208FEF1" w14:textId="77777777" w:rsidR="00BD7402" w:rsidRDefault="00BD7402">
                                <w:pPr>
                                  <w:spacing w:after="118" w:line="215" w:lineRule="auto"/>
                                  <w:jc w:val="center"/>
                                  <w:textDirection w:val="btLr"/>
                                </w:pPr>
                                <w:r>
                                  <w:rPr>
                                    <w:rFonts w:ascii="Verdana" w:eastAsia="Verdana" w:hAnsi="Verdana" w:cs="Verdana"/>
                                    <w:color w:val="FFFFFF"/>
                                    <w:sz w:val="18"/>
                                  </w:rPr>
                                  <w:t>ГКНС</w:t>
                                </w:r>
                              </w:p>
                            </w:txbxContent>
                          </wps:txbx>
                          <wps:bodyPr spcFirstLastPara="1" wrap="square" lIns="73500" tIns="73500" rIns="73500" bIns="73500" anchor="ctr" anchorCtr="0">
                            <a:noAutofit/>
                          </wps:bodyPr>
                        </wps:wsp>
                        <wps:wsp>
                          <wps:cNvPr id="29" name="Полилиния 29"/>
                          <wps:cNvSpPr/>
                          <wps:spPr>
                            <a:xfrm>
                              <a:off x="1919384" y="2491409"/>
                              <a:ext cx="1303333"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w="9525" cap="flat" cmpd="sng">
                              <a:solidFill>
                                <a:srgbClr val="B7CCE4"/>
                              </a:solidFill>
                              <a:prstDash val="solid"/>
                              <a:round/>
                              <a:headEnd type="none" w="sm" len="sm"/>
                              <a:tailEnd type="none" w="sm" len="sm"/>
                            </a:ln>
                            <a:effectLst>
                              <a:outerShdw blurRad="40000" dist="23000" dir="5400000" rotWithShape="0">
                                <a:srgbClr val="000000">
                                  <a:alpha val="34901"/>
                                </a:srgbClr>
                              </a:outerShdw>
                            </a:effectLst>
                          </wps:spPr>
                          <wps:txbx>
                            <w:txbxContent>
                              <w:p w14:paraId="1C7BB5A7" w14:textId="77777777" w:rsidR="00BD7402" w:rsidRDefault="00BD7402">
                                <w:pPr>
                                  <w:spacing w:after="118" w:line="215" w:lineRule="auto"/>
                                  <w:jc w:val="center"/>
                                  <w:textDirection w:val="btLr"/>
                                </w:pPr>
                                <w:r>
                                  <w:rPr>
                                    <w:rFonts w:ascii="Verdana" w:eastAsia="Verdana" w:hAnsi="Verdana" w:cs="Verdana"/>
                                    <w:color w:val="FFFFFF"/>
                                    <w:sz w:val="18"/>
                                  </w:rPr>
                                  <w:t>ICB-03</w:t>
                                </w:r>
                              </w:p>
                              <w:p w14:paraId="50F48C4D" w14:textId="77777777" w:rsidR="00BD7402" w:rsidRDefault="00BD7402">
                                <w:pPr>
                                  <w:spacing w:after="118" w:line="215" w:lineRule="auto"/>
                                  <w:jc w:val="center"/>
                                  <w:textDirection w:val="btLr"/>
                                </w:pPr>
                                <w:r>
                                  <w:rPr>
                                    <w:rFonts w:ascii="Verdana" w:eastAsia="Verdana" w:hAnsi="Verdana" w:cs="Verdana"/>
                                    <w:b/>
                                    <w:color w:val="FFFFFF"/>
                                    <w:sz w:val="18"/>
                                  </w:rPr>
                                  <w:t xml:space="preserve">Am. 2 </w:t>
                                </w:r>
                              </w:p>
                            </w:txbxContent>
                          </wps:txbx>
                          <wps:bodyPr spcFirstLastPara="1" wrap="square" lIns="73500" tIns="73500" rIns="73500" bIns="73500" anchor="ctr" anchorCtr="0">
                            <a:noAutofit/>
                          </wps:bodyPr>
                        </wps:wsp>
                        <wps:wsp>
                          <wps:cNvPr id="30" name="Полилиния 30"/>
                          <wps:cNvSpPr/>
                          <wps:spPr>
                            <a:xfrm>
                              <a:off x="3293853" y="2488112"/>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234B46E3" w14:textId="77777777" w:rsidR="00BD7402" w:rsidRDefault="00BD7402">
                                <w:pPr>
                                  <w:spacing w:after="118" w:line="215" w:lineRule="auto"/>
                                  <w:jc w:val="center"/>
                                  <w:textDirection w:val="btLr"/>
                                </w:pPr>
                                <w:r>
                                  <w:rPr>
                                    <w:rFonts w:ascii="Verdana" w:eastAsia="Verdana" w:hAnsi="Verdana" w:cs="Verdana"/>
                                    <w:color w:val="FFFFFF"/>
                                    <w:sz w:val="18"/>
                                  </w:rPr>
                                  <w:t>€ 3 045 146</w:t>
                                </w:r>
                              </w:p>
                            </w:txbxContent>
                          </wps:txbx>
                          <wps:bodyPr spcFirstLastPara="1" wrap="square" lIns="73500" tIns="73500" rIns="73500" bIns="73500" anchor="ctr" anchorCtr="0">
                            <a:noAutofit/>
                          </wps:bodyPr>
                        </wps:wsp>
                        <wps:wsp>
                          <wps:cNvPr id="31" name="Полилиния 31"/>
                          <wps:cNvSpPr/>
                          <wps:spPr>
                            <a:xfrm>
                              <a:off x="4814532" y="2480767"/>
                              <a:ext cx="1465266"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72796267" w14:textId="77777777" w:rsidR="00BD7402" w:rsidRDefault="00BD7402">
                                <w:pPr>
                                  <w:spacing w:after="118" w:line="215" w:lineRule="auto"/>
                                  <w:jc w:val="center"/>
                                  <w:textDirection w:val="btLr"/>
                                </w:pPr>
                                <w:r>
                                  <w:rPr>
                                    <w:rFonts w:ascii="Verdana" w:eastAsia="Verdana" w:hAnsi="Verdana" w:cs="Verdana"/>
                                    <w:color w:val="FFFFFF"/>
                                    <w:sz w:val="18"/>
                                  </w:rPr>
                                  <w:t>€ 2 761 183</w:t>
                                </w:r>
                              </w:p>
                            </w:txbxContent>
                          </wps:txbx>
                          <wps:bodyPr spcFirstLastPara="1" wrap="square" lIns="73500" tIns="73500" rIns="73500" bIns="73500" anchor="ctr" anchorCtr="0">
                            <a:noAutofit/>
                          </wps:bodyPr>
                        </wps:wsp>
                        <wps:wsp>
                          <wps:cNvPr id="32" name="Полилиния 32"/>
                          <wps:cNvSpPr/>
                          <wps:spPr>
                            <a:xfrm>
                              <a:off x="6338493" y="2471893"/>
                              <a:ext cx="1234737" cy="741224"/>
                            </a:xfrm>
                            <a:custGeom>
                              <a:avLst/>
                              <a:gdLst/>
                              <a:ahLst/>
                              <a:cxnLst/>
                              <a:rect l="l" t="t" r="r" b="b"/>
                              <a:pathLst>
                                <a:path w="1538138" h="688558" extrusionOk="0">
                                  <a:moveTo>
                                    <a:pt x="0" y="68856"/>
                                  </a:moveTo>
                                  <a:cubicBezTo>
                                    <a:pt x="0" y="30828"/>
                                    <a:pt x="30828" y="0"/>
                                    <a:pt x="68856" y="0"/>
                                  </a:cubicBezTo>
                                  <a:lnTo>
                                    <a:pt x="1469282" y="0"/>
                                  </a:lnTo>
                                  <a:cubicBezTo>
                                    <a:pt x="1507310" y="0"/>
                                    <a:pt x="1538138" y="30828"/>
                                    <a:pt x="1538138" y="68856"/>
                                  </a:cubicBezTo>
                                  <a:lnTo>
                                    <a:pt x="1538138" y="619702"/>
                                  </a:lnTo>
                                  <a:cubicBezTo>
                                    <a:pt x="1538138" y="657730"/>
                                    <a:pt x="1507310" y="688558"/>
                                    <a:pt x="1469282" y="688558"/>
                                  </a:cubicBezTo>
                                  <a:lnTo>
                                    <a:pt x="68856" y="688558"/>
                                  </a:lnTo>
                                  <a:cubicBezTo>
                                    <a:pt x="30828" y="688558"/>
                                    <a:pt x="0" y="657730"/>
                                    <a:pt x="0" y="619702"/>
                                  </a:cubicBezTo>
                                  <a:lnTo>
                                    <a:pt x="0" y="68856"/>
                                  </a:lnTo>
                                  <a:close/>
                                </a:path>
                              </a:pathLst>
                            </a:cu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478A024E" w14:textId="77777777" w:rsidR="00BD7402" w:rsidRDefault="00BD7402">
                                <w:pPr>
                                  <w:spacing w:after="118" w:line="215" w:lineRule="auto"/>
                                  <w:jc w:val="center"/>
                                  <w:textDirection w:val="btLr"/>
                                </w:pPr>
                                <w:r>
                                  <w:rPr>
                                    <w:rFonts w:ascii="Verdana" w:eastAsia="Verdana" w:hAnsi="Verdana" w:cs="Verdana"/>
                                    <w:color w:val="FFFFFF"/>
                                    <w:sz w:val="18"/>
                                  </w:rPr>
                                  <w:t>90,7 %</w:t>
                                </w:r>
                              </w:p>
                            </w:txbxContent>
                          </wps:txbx>
                          <wps:bodyPr spcFirstLastPara="1" wrap="square" lIns="73500" tIns="73500" rIns="73500" bIns="73500" anchor="ctr" anchorCtr="0">
                            <a:noAutofit/>
                          </wps:bodyPr>
                        </wps:wsp>
                      </wpg:grpSp>
                    </wpg:wgp>
                  </a:graphicData>
                </a:graphic>
              </wp:anchor>
            </w:drawing>
          </mc:Choice>
          <mc:Fallback>
            <w:pict>
              <v:group w14:anchorId="14A1455E" id="Группа 2144251950" o:spid="_x0000_s1027" style="position:absolute;left:0;text-align:left;margin-left:6pt;margin-top:3pt;width:456.7pt;height:264.35pt;z-index:251659264" coordorigin="24059,20843" coordsize="58801,34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">
                <v:group id="Группа 1" o:spid="_x0000_s1028" style="position:absolute;left:24459;top:21013;width:58001;height:33573" coordsize="75789,48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угольник 2" o:spid="_x0000_s1029" style="position:absolute;width:75789;height:48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CDE67A" w14:textId="77777777" w:rsidR="00BD7402" w:rsidRDefault="00BD7402">
                          <w:pPr>
                            <w:spacing w:after="0" w:line="240" w:lineRule="auto"/>
                            <w:textDirection w:val="btLr"/>
                          </w:pPr>
                        </w:p>
                      </w:txbxContent>
                    </v:textbox>
                  </v:rect>
                  <v:shape id="Полилиния 3" o:spid="_x0000_s1030" style="position:absolute;left:97;top:73;width:18576;height:7412;visibility:visible;mso-wrap-style:square;v-text-anchor:middle" coordsize="1950006,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" adj="-11796480,,5400" path="m,68856c,30828,30828,,68856,l1881150,v38028,,68856,30828,68856,68856l1950006,619702v,38028,-30828,68856,-68856,68856l68856,688558c30828,688558,,657730,,619702l,68856xe" fillcolor="#c5622a" stroked="f">
                    <v:stroke joinstyle="miter"/>
                    <v:shadow on="t" color="black" opacity="22872f" origin=",.5" offset="0,.63889mm"/>
                    <v:formulas/>
                    <v:path arrowok="t" o:extrusionok="f" o:connecttype="custom" textboxrect="0,0,1950006,688558"/>
                    <v:textbox inset="2.04167mm,2.04167mm,2.04167mm,2.04167mm">
                      <w:txbxContent>
                        <w:p w14:paraId="4926D319" w14:textId="77777777" w:rsidR="00BD7402" w:rsidRDefault="00BD7402">
                          <w:pPr>
                            <w:spacing w:after="118" w:line="215" w:lineRule="auto"/>
                            <w:jc w:val="center"/>
                            <w:textDirection w:val="btLr"/>
                          </w:pPr>
                          <w:r>
                            <w:rPr>
                              <w:rFonts w:ascii="Verdana" w:eastAsia="Verdana" w:hAnsi="Verdana" w:cs="Verdana"/>
                              <w:color w:val="FFFFFF"/>
                              <w:sz w:val="18"/>
                            </w:rPr>
                            <w:t>Назва</w:t>
                          </w:r>
                        </w:p>
                      </w:txbxContent>
                    </v:textbox>
                  </v:shape>
                  <v:shape id="Полилиния 4" o:spid="_x0000_s1031" style="position:absolute;left:115;top:8480;width:18540;height:7412;visibility:visible;mso-wrap-style:square;v-text-anchor:middle" coordsize="1946199,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" adj="-11796480,,5400" path="m,68856c,30828,30828,,68856,l1877343,v38028,,68856,30828,68856,68856l1946199,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946199,688558"/>
                    <v:textbox inset="2.04167mm,2.04167mm,2.04167mm,2.04167mm">
                      <w:txbxContent>
                        <w:p w14:paraId="6BBF8147" w14:textId="77777777" w:rsidR="00BD7402" w:rsidRDefault="00BD7402">
                          <w:pPr>
                            <w:spacing w:after="118" w:line="215" w:lineRule="auto"/>
                            <w:jc w:val="center"/>
                            <w:textDirection w:val="btLr"/>
                          </w:pPr>
                          <w:r>
                            <w:rPr>
                              <w:rFonts w:ascii="Verdana" w:eastAsia="Verdana" w:hAnsi="Verdana" w:cs="Verdana"/>
                              <w:color w:val="FFFFFF"/>
                              <w:sz w:val="18"/>
                            </w:rPr>
                            <w:t>Технічний нагляд</w:t>
                          </w:r>
                        </w:p>
                      </w:txbxContent>
                    </v:textbox>
                  </v:shape>
                  <v:shape id="Полилиния 5" o:spid="_x0000_s1032" style="position:absolute;top:16887;width:18467;height:7412;visibility:visible;mso-wrap-style:square;v-text-anchor:middle" coordsize="193860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" adj="-11796480,,5400" path="m,68856c,30828,30828,,68856,l1869752,v38028,,68856,30828,68856,68856l193860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938608,688558"/>
                    <v:textbox inset="2.04167mm,2.04167mm,2.04167mm,2.04167mm">
                      <w:txbxContent>
                        <w:p w14:paraId="2BCEB3D7" w14:textId="77777777" w:rsidR="00BD7402" w:rsidRDefault="00BD7402">
                          <w:pPr>
                            <w:spacing w:after="118" w:line="215" w:lineRule="auto"/>
                            <w:jc w:val="center"/>
                            <w:textDirection w:val="btLr"/>
                          </w:pPr>
                          <w:r>
                            <w:rPr>
                              <w:rFonts w:ascii="Verdana" w:eastAsia="Verdana" w:hAnsi="Verdana" w:cs="Verdana"/>
                              <w:color w:val="FFFFFF"/>
                              <w:sz w:val="18"/>
                            </w:rPr>
                            <w:t>Каналізаційна очисна станція (ОСК-2)</w:t>
                          </w:r>
                        </w:p>
                      </w:txbxContent>
                    </v:textbox>
                  </v:shape>
                  <v:shape id="Полилиния 6" o:spid="_x0000_s1033" style="position:absolute;left:179;top:32864;width:18324;height:7412;visibility:visible;mso-wrap-style:square;v-text-anchor:middle" coordsize="1923514,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" adj="-11796480,,5400" path="m,68856c,30828,30828,,68856,l1854658,v38028,,68856,30828,68856,68856l1923514,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923514,688558"/>
                    <v:textbox inset="2.04167mm,2.04167mm,2.04167mm,2.04167mm">
                      <w:txbxContent>
                        <w:p w14:paraId="334C1E58" w14:textId="77777777" w:rsidR="00BD7402" w:rsidRDefault="00BD7402">
                          <w:pPr>
                            <w:spacing w:after="118" w:line="215" w:lineRule="auto"/>
                            <w:jc w:val="center"/>
                            <w:textDirection w:val="btLr"/>
                          </w:pPr>
                          <w:r>
                            <w:rPr>
                              <w:rFonts w:ascii="Verdana" w:eastAsia="Verdana" w:hAnsi="Verdana" w:cs="Verdana"/>
                              <w:color w:val="FFFFFF"/>
                              <w:sz w:val="18"/>
                            </w:rPr>
                            <w:t>Насосна станція та водоочисна станція</w:t>
                          </w:r>
                        </w:p>
                      </w:txbxContent>
                    </v:textbox>
                  </v:shape>
                  <v:shape id="Полилиния 7" o:spid="_x0000_s1034" style="position:absolute;left:179;top:41344;width:18324;height:7412;visibility:visible;mso-wrap-style:square;v-text-anchor:middle" coordsize="1923514,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" adj="-11796480,,5400" path="m,68856c,30828,30828,,68856,l1854658,v38028,,68856,30828,68856,68856l1923514,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923514,688558"/>
                    <v:textbox inset="2.04167mm,2.04167mm,2.04167mm,2.04167mm">
                      <w:txbxContent>
                        <w:p w14:paraId="28ECABE3" w14:textId="77777777" w:rsidR="00BD7402" w:rsidRDefault="00BD7402">
                          <w:pPr>
                            <w:spacing w:after="118" w:line="215" w:lineRule="auto"/>
                            <w:jc w:val="center"/>
                            <w:textDirection w:val="btLr"/>
                          </w:pPr>
                          <w:r>
                            <w:rPr>
                              <w:rFonts w:ascii="Verdana" w:eastAsia="Verdana" w:hAnsi="Verdana" w:cs="Verdana"/>
                              <w:color w:val="FFFFFF"/>
                              <w:sz w:val="18"/>
                            </w:rPr>
                            <w:t>Реконструкція водопровідних мереж</w:t>
                          </w:r>
                        </w:p>
                      </w:txbxContent>
                    </v:textbox>
                  </v:shape>
                  <v:shape id="Полилиния 8" o:spid="_x0000_s1035" style="position:absolute;left:19096;top:73;width:1303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" adj="-11796480,,5400" path="m,68856c,30828,30828,,68856,l1469282,v38028,,68856,30828,68856,68856l1538138,619702v,38028,-30828,68856,-68856,68856l68856,688558c30828,688558,,657730,,619702l,68856xe" fillcolor="#c5622a" stroked="f">
                    <v:stroke joinstyle="miter"/>
                    <v:shadow on="t" color="black" opacity="22872f" origin=",.5" offset="0,.63889mm"/>
                    <v:formulas/>
                    <v:path arrowok="t" o:extrusionok="f" o:connecttype="custom" textboxrect="0,0,1538138,688558"/>
                    <v:textbox inset="2.04167mm,2.04167mm,2.04167mm,2.04167mm">
                      <w:txbxContent>
                        <w:p w14:paraId="5CC63D50" w14:textId="77777777" w:rsidR="00BD7402" w:rsidRDefault="00BD7402">
                          <w:pPr>
                            <w:spacing w:after="118" w:line="215" w:lineRule="auto"/>
                            <w:jc w:val="center"/>
                            <w:textDirection w:val="btLr"/>
                          </w:pPr>
                          <w:r>
                            <w:rPr>
                              <w:rFonts w:ascii="Verdana" w:eastAsia="Verdana" w:hAnsi="Verdana" w:cs="Verdana"/>
                              <w:color w:val="FFFFFF"/>
                              <w:sz w:val="18"/>
                            </w:rPr>
                            <w:t>Проєкт</w:t>
                          </w:r>
                        </w:p>
                      </w:txbxContent>
                    </v:textbox>
                  </v:shape>
                  <v:shape id="Полилиния 9" o:spid="_x0000_s1036" style="position:absolute;left:19096;top:8480;width:1303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5D1D3F3F" w14:textId="77777777" w:rsidR="00BD7402" w:rsidRDefault="00BD7402">
                          <w:pPr>
                            <w:spacing w:after="118" w:line="215" w:lineRule="auto"/>
                            <w:jc w:val="center"/>
                            <w:textDirection w:val="btLr"/>
                          </w:pPr>
                          <w:r>
                            <w:rPr>
                              <w:rFonts w:ascii="Verdana" w:eastAsia="Verdana" w:hAnsi="Verdana" w:cs="Verdana"/>
                              <w:color w:val="FFFFFF"/>
                              <w:sz w:val="18"/>
                            </w:rPr>
                            <w:t>QCBS-02</w:t>
                          </w:r>
                        </w:p>
                      </w:txbxContent>
                    </v:textbox>
                  </v:shape>
                  <v:shape id="Полилиния 10" o:spid="_x0000_s1037" style="position:absolute;left:19096;top:16887;width:1303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77AE139B" w14:textId="77777777" w:rsidR="00BD7402" w:rsidRDefault="00BD7402">
                          <w:pPr>
                            <w:spacing w:after="118" w:line="215" w:lineRule="auto"/>
                            <w:jc w:val="center"/>
                            <w:textDirection w:val="btLr"/>
                          </w:pPr>
                          <w:r>
                            <w:rPr>
                              <w:rFonts w:ascii="Verdana" w:eastAsia="Verdana" w:hAnsi="Verdana" w:cs="Verdana"/>
                              <w:color w:val="FFFFFF"/>
                              <w:sz w:val="18"/>
                            </w:rPr>
                            <w:t>ICB-03</w:t>
                          </w:r>
                        </w:p>
                      </w:txbxContent>
                    </v:textbox>
                  </v:shape>
                  <v:shape id="Полилиния 11" o:spid="_x0000_s1038" style="position:absolute;left:19204;top:32937;width:1303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01B043B9" w14:textId="77777777" w:rsidR="00BD7402" w:rsidRDefault="00BD7402">
                          <w:pPr>
                            <w:spacing w:after="118" w:line="215" w:lineRule="auto"/>
                            <w:jc w:val="center"/>
                            <w:textDirection w:val="btLr"/>
                          </w:pPr>
                          <w:r>
                            <w:rPr>
                              <w:rFonts w:ascii="Verdana" w:eastAsia="Verdana" w:hAnsi="Verdana" w:cs="Verdana"/>
                              <w:color w:val="FFFFFF"/>
                              <w:sz w:val="18"/>
                            </w:rPr>
                            <w:t>ICB-04</w:t>
                          </w:r>
                        </w:p>
                      </w:txbxContent>
                    </v:textbox>
                  </v:shape>
                  <v:shape id="Полилиния 12" o:spid="_x0000_s1039" style="position:absolute;left:19204;top:41344;width:1303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68417EB3" w14:textId="77777777" w:rsidR="00BD7402" w:rsidRDefault="00BD7402">
                          <w:pPr>
                            <w:spacing w:after="118" w:line="215" w:lineRule="auto"/>
                            <w:jc w:val="center"/>
                            <w:textDirection w:val="btLr"/>
                          </w:pPr>
                          <w:r>
                            <w:rPr>
                              <w:rFonts w:ascii="Verdana" w:eastAsia="Verdana" w:hAnsi="Verdana" w:cs="Verdana"/>
                              <w:color w:val="FFFFFF"/>
                              <w:sz w:val="18"/>
                            </w:rPr>
                            <w:t>ICB-05</w:t>
                          </w:r>
                        </w:p>
                      </w:txbxContent>
                    </v:textbox>
                  </v:shape>
                  <v:shape id="Полилиния 13" o:spid="_x0000_s1040" style="position:absolute;left:32830;top:73;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" adj="-11796480,,5400" path="m,68856c,30828,30828,,68856,l1469282,v38028,,68856,30828,68856,68856l1538138,619702v,38028,-30828,68856,-68856,68856l68856,688558c30828,688558,,657730,,619702l,68856xe" fillcolor="#c5622a" stroked="f">
                    <v:stroke joinstyle="miter"/>
                    <v:shadow on="t" color="black" opacity="22872f" origin=",.5" offset="0,.63889mm"/>
                    <v:formulas/>
                    <v:path arrowok="t" o:extrusionok="f" o:connecttype="custom" textboxrect="0,0,1538138,688558"/>
                    <v:textbox inset="2.04167mm,2.04167mm,2.04167mm,2.04167mm">
                      <w:txbxContent>
                        <w:p w14:paraId="14D651B6" w14:textId="77777777" w:rsidR="00BD7402" w:rsidRDefault="00BD7402">
                          <w:pPr>
                            <w:spacing w:after="118" w:line="215" w:lineRule="auto"/>
                            <w:jc w:val="center"/>
                            <w:textDirection w:val="btLr"/>
                          </w:pPr>
                          <w:r>
                            <w:rPr>
                              <w:rFonts w:ascii="Verdana" w:eastAsia="Verdana" w:hAnsi="Verdana" w:cs="Verdana"/>
                              <w:color w:val="FFFFFF"/>
                              <w:sz w:val="18"/>
                            </w:rPr>
                            <w:t>Ціна контракту,</w:t>
                          </w:r>
                        </w:p>
                      </w:txbxContent>
                    </v:textbox>
                  </v:shape>
                  <v:shape id="Полилиния 14" o:spid="_x0000_s1041" style="position:absolute;left:32830;top:8480;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6BD450D9" w14:textId="77777777" w:rsidR="00BD7402" w:rsidRDefault="00BD7402">
                          <w:pPr>
                            <w:spacing w:after="118" w:line="215" w:lineRule="auto"/>
                            <w:jc w:val="center"/>
                            <w:textDirection w:val="btLr"/>
                          </w:pPr>
                          <w:r>
                            <w:rPr>
                              <w:rFonts w:ascii="Verdana" w:eastAsia="Verdana" w:hAnsi="Verdana" w:cs="Verdana"/>
                              <w:color w:val="FFFFFF"/>
                              <w:sz w:val="18"/>
                            </w:rPr>
                            <w:t xml:space="preserve"> € 3 918 436</w:t>
                          </w:r>
                        </w:p>
                      </w:txbxContent>
                    </v:textbox>
                  </v:shape>
                  <v:shape id="Полилиния 15" o:spid="_x0000_s1042" style="position:absolute;left:32830;top:16887;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50D9BCE7" w14:textId="77777777" w:rsidR="00BD7402" w:rsidRDefault="00BD7402">
                          <w:pPr>
                            <w:spacing w:after="118" w:line="215" w:lineRule="auto"/>
                            <w:jc w:val="center"/>
                            <w:textDirection w:val="btLr"/>
                          </w:pPr>
                          <w:r>
                            <w:rPr>
                              <w:rFonts w:ascii="Verdana" w:eastAsia="Verdana" w:hAnsi="Verdana" w:cs="Verdana"/>
                              <w:color w:val="FFFFFF"/>
                              <w:sz w:val="18"/>
                            </w:rPr>
                            <w:t>€ 15 520 194</w:t>
                          </w:r>
                        </w:p>
                      </w:txbxContent>
                    </v:textbox>
                  </v:shape>
                  <v:shape id="Полилиния 16" o:spid="_x0000_s1043" style="position:absolute;left:32938;top:32937;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04882A06" w14:textId="77777777" w:rsidR="00BD7402" w:rsidRDefault="00BD7402">
                          <w:pPr>
                            <w:spacing w:after="118" w:line="215" w:lineRule="auto"/>
                            <w:jc w:val="center"/>
                            <w:textDirection w:val="btLr"/>
                          </w:pPr>
                          <w:r>
                            <w:rPr>
                              <w:rFonts w:ascii="Verdana" w:eastAsia="Verdana" w:hAnsi="Verdana" w:cs="Verdana"/>
                              <w:color w:val="FFFFFF"/>
                              <w:sz w:val="18"/>
                            </w:rPr>
                            <w:t>€ 13 421 683</w:t>
                          </w:r>
                        </w:p>
                      </w:txbxContent>
                    </v:textbox>
                  </v:shape>
                  <v:shape id="Полилиния 17" o:spid="_x0000_s1044" style="position:absolute;left:32938;top:41344;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61AE9712" w14:textId="77777777" w:rsidR="00BD7402" w:rsidRDefault="00BD7402">
                          <w:pPr>
                            <w:spacing w:after="118" w:line="215" w:lineRule="auto"/>
                            <w:jc w:val="center"/>
                            <w:textDirection w:val="btLr"/>
                          </w:pPr>
                          <w:r>
                            <w:rPr>
                              <w:rFonts w:ascii="Verdana" w:eastAsia="Verdana" w:hAnsi="Verdana" w:cs="Verdana"/>
                              <w:color w:val="FFFFFF"/>
                              <w:sz w:val="18"/>
                            </w:rPr>
                            <w:t>₴154 080 083</w:t>
                          </w:r>
                        </w:p>
                      </w:txbxContent>
                    </v:textbox>
                  </v:shape>
                  <v:shape id="Полилиния 18" o:spid="_x0000_s1045" style="position:absolute;left:48184;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" adj="-11796480,,5400" path="m,68856c,30828,30828,,68856,l1469282,v38028,,68856,30828,68856,68856l1538138,619702v,38028,-30828,68856,-68856,68856l68856,688558c30828,688558,,657730,,619702l,68856xe" fillcolor="#c5622a" stroked="f">
                    <v:stroke joinstyle="miter"/>
                    <v:shadow on="t" color="black" opacity="22872f" origin=",.5" offset="0,.63889mm"/>
                    <v:formulas/>
                    <v:path arrowok="t" o:extrusionok="f" o:connecttype="custom" textboxrect="0,0,1538138,688558"/>
                    <v:textbox inset="2.04167mm,2.04167mm,2.04167mm,2.04167mm">
                      <w:txbxContent>
                        <w:p w14:paraId="0032793E" w14:textId="77777777" w:rsidR="00BD7402" w:rsidRDefault="00BD7402">
                          <w:pPr>
                            <w:spacing w:after="118" w:line="215" w:lineRule="auto"/>
                            <w:jc w:val="center"/>
                            <w:textDirection w:val="btLr"/>
                          </w:pPr>
                          <w:r>
                            <w:rPr>
                              <w:rFonts w:ascii="Verdana" w:eastAsia="Verdana" w:hAnsi="Verdana" w:cs="Verdana"/>
                              <w:color w:val="FFFFFF"/>
                              <w:sz w:val="18"/>
                            </w:rPr>
                            <w:t>Сплачено станом на 01.01.2023</w:t>
                          </w:r>
                        </w:p>
                      </w:txbxContent>
                    </v:textbox>
                  </v:shape>
                  <v:shape id="Полилиния 19" o:spid="_x0000_s1046" style="position:absolute;left:48184;top:8406;width:14653;height:7413;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649AD35C" w14:textId="77777777" w:rsidR="00BD7402" w:rsidRDefault="00BD7402">
                          <w:pPr>
                            <w:spacing w:after="118" w:line="215" w:lineRule="auto"/>
                            <w:jc w:val="center"/>
                            <w:textDirection w:val="btLr"/>
                          </w:pPr>
                          <w:r>
                            <w:rPr>
                              <w:rFonts w:ascii="Verdana" w:eastAsia="Verdana" w:hAnsi="Verdana" w:cs="Verdana"/>
                              <w:color w:val="FFFFFF"/>
                              <w:sz w:val="18"/>
                            </w:rPr>
                            <w:t>€ 3 111 647</w:t>
                          </w:r>
                        </w:p>
                      </w:txbxContent>
                    </v:textbox>
                  </v:shape>
                  <v:shape id="Полилиния 20" o:spid="_x0000_s1047" style="position:absolute;left:48184;top:16642;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25E9FD5A" w14:textId="77777777" w:rsidR="00BD7402" w:rsidRDefault="00BD7402">
                          <w:pPr>
                            <w:spacing w:after="118" w:line="215" w:lineRule="auto"/>
                            <w:jc w:val="center"/>
                            <w:textDirection w:val="btLr"/>
                          </w:pPr>
                          <w:r>
                            <w:rPr>
                              <w:rFonts w:ascii="Verdana" w:eastAsia="Verdana" w:hAnsi="Verdana" w:cs="Verdana"/>
                              <w:color w:val="FFFFFF"/>
                              <w:sz w:val="18"/>
                            </w:rPr>
                            <w:t>€ 9 292 314</w:t>
                          </w:r>
                        </w:p>
                      </w:txbxContent>
                    </v:textbox>
                  </v:shape>
                  <v:shape id="Полилиния 21" o:spid="_x0000_s1048" style="position:absolute;left:48145;top:32864;width:14652;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1FCFAC4B" w14:textId="77777777" w:rsidR="00BD7402" w:rsidRDefault="00BD7402">
                          <w:pPr>
                            <w:spacing w:after="118" w:line="215" w:lineRule="auto"/>
                            <w:jc w:val="center"/>
                            <w:textDirection w:val="btLr"/>
                          </w:pPr>
                          <w:r>
                            <w:rPr>
                              <w:rFonts w:ascii="Verdana" w:eastAsia="Verdana" w:hAnsi="Verdana" w:cs="Verdana"/>
                              <w:color w:val="FFFFFF"/>
                              <w:sz w:val="18"/>
                            </w:rPr>
                            <w:t>€ 6 239 877</w:t>
                          </w:r>
                        </w:p>
                      </w:txbxContent>
                    </v:textbox>
                  </v:shape>
                  <v:shape id="Полилиния 22" o:spid="_x0000_s1049" style="position:absolute;left:48292;top:41270;width:14652;height:7413;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24BD9641" w14:textId="77777777" w:rsidR="00BD7402" w:rsidRDefault="00BD7402">
                          <w:pPr>
                            <w:spacing w:after="118" w:line="215" w:lineRule="auto"/>
                            <w:jc w:val="center"/>
                            <w:textDirection w:val="btLr"/>
                          </w:pPr>
                          <w:r>
                            <w:rPr>
                              <w:rFonts w:ascii="Verdana" w:eastAsia="Verdana" w:hAnsi="Verdana" w:cs="Verdana"/>
                              <w:color w:val="FFFFFF"/>
                              <w:sz w:val="18"/>
                            </w:rPr>
                            <w:t>₴ 140 731 620</w:t>
                          </w:r>
                        </w:p>
                      </w:txbxContent>
                    </v:textbox>
                  </v:shape>
                  <v:shape id="Полилиния 23" o:spid="_x0000_s1050" style="position:absolute;left:63411;width:12347;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" adj="-11796480,,5400" path="m,68856c,30828,30828,,68856,l1469282,v38028,,68856,30828,68856,68856l1538138,619702v,38028,-30828,68856,-68856,68856l68856,688558c30828,688558,,657730,,619702l,68856xe" fillcolor="#c5622a" stroked="f">
                    <v:stroke joinstyle="miter"/>
                    <v:shadow on="t" color="black" opacity="22872f" origin=",.5" offset="0,.63889mm"/>
                    <v:formulas/>
                    <v:path arrowok="t" o:extrusionok="f" o:connecttype="custom" textboxrect="0,0,1538138,688558"/>
                    <v:textbox inset="2.04167mm,2.04167mm,2.04167mm,2.04167mm">
                      <w:txbxContent>
                        <w:p w14:paraId="050B6F33" w14:textId="77777777" w:rsidR="00BD7402" w:rsidRDefault="00BD7402">
                          <w:pPr>
                            <w:spacing w:after="118" w:line="215" w:lineRule="auto"/>
                            <w:jc w:val="center"/>
                            <w:textDirection w:val="btLr"/>
                          </w:pPr>
                          <w:r>
                            <w:rPr>
                              <w:rFonts w:ascii="Verdana" w:eastAsia="Verdana" w:hAnsi="Verdana" w:cs="Verdana"/>
                              <w:color w:val="FFFFFF"/>
                              <w:sz w:val="18"/>
                            </w:rPr>
                            <w:t>у відсотках від суми контракта</w:t>
                          </w:r>
                        </w:p>
                      </w:txbxContent>
                    </v:textbox>
                  </v:shape>
                  <v:shape id="Полилиния 24" o:spid="_x0000_s1051" style="position:absolute;left:63411;top:8406;width:12347;height:7413;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2DDE5D81" w14:textId="77777777" w:rsidR="00BD7402" w:rsidRDefault="00BD7402">
                          <w:pPr>
                            <w:spacing w:after="118" w:line="215" w:lineRule="auto"/>
                            <w:jc w:val="center"/>
                            <w:textDirection w:val="btLr"/>
                          </w:pPr>
                          <w:r>
                            <w:rPr>
                              <w:rFonts w:ascii="Verdana" w:eastAsia="Verdana" w:hAnsi="Verdana" w:cs="Verdana"/>
                              <w:color w:val="FFFFFF"/>
                              <w:sz w:val="18"/>
                            </w:rPr>
                            <w:t>79,4%</w:t>
                          </w:r>
                        </w:p>
                      </w:txbxContent>
                    </v:textbox>
                  </v:shape>
                  <v:shape id="Полилиния 25" o:spid="_x0000_s1052" style="position:absolute;left:63411;top:16813;width:12347;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4A3DB07B" w14:textId="77777777" w:rsidR="00BD7402" w:rsidRDefault="00BD7402">
                          <w:pPr>
                            <w:spacing w:after="118" w:line="215" w:lineRule="auto"/>
                            <w:jc w:val="center"/>
                            <w:textDirection w:val="btLr"/>
                          </w:pPr>
                          <w:r>
                            <w:rPr>
                              <w:rFonts w:ascii="Verdana" w:eastAsia="Verdana" w:hAnsi="Verdana" w:cs="Verdana"/>
                              <w:color w:val="FFFFFF"/>
                              <w:sz w:val="18"/>
                            </w:rPr>
                            <w:t>61,3%</w:t>
                          </w:r>
                        </w:p>
                      </w:txbxContent>
                    </v:textbox>
                  </v:shape>
                  <v:shape id="Полилиния 26" o:spid="_x0000_s1053" style="position:absolute;left:63442;top:32864;width:12347;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40D4EF9C" w14:textId="77777777" w:rsidR="00BD7402" w:rsidRDefault="00BD7402">
                          <w:pPr>
                            <w:spacing w:after="118" w:line="215" w:lineRule="auto"/>
                            <w:jc w:val="center"/>
                            <w:textDirection w:val="btLr"/>
                          </w:pPr>
                          <w:r>
                            <w:rPr>
                              <w:rFonts w:ascii="Verdana" w:eastAsia="Verdana" w:hAnsi="Verdana" w:cs="Verdana"/>
                              <w:color w:val="FFFFFF"/>
                              <w:sz w:val="18"/>
                            </w:rPr>
                            <w:t>46,5 %</w:t>
                          </w:r>
                        </w:p>
                      </w:txbxContent>
                    </v:textbox>
                  </v:shape>
                  <v:shape id="Полилиния 27" o:spid="_x0000_s1054" style="position:absolute;left:63384;top:41270;width:12348;height:7413;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430CBD55" w14:textId="77777777" w:rsidR="00BD7402" w:rsidRDefault="00BD7402">
                          <w:pPr>
                            <w:spacing w:after="118" w:line="215" w:lineRule="auto"/>
                            <w:jc w:val="center"/>
                            <w:textDirection w:val="btLr"/>
                          </w:pPr>
                          <w:r>
                            <w:rPr>
                              <w:rFonts w:ascii="Verdana" w:eastAsia="Verdana" w:hAnsi="Verdana" w:cs="Verdana"/>
                              <w:color w:val="FFFFFF"/>
                              <w:sz w:val="18"/>
                            </w:rPr>
                            <w:t>91,0%</w:t>
                          </w:r>
                        </w:p>
                      </w:txbxContent>
                    </v:textbox>
                  </v:shape>
                  <v:shape id="Полилиния 28" o:spid="_x0000_s1055" style="position:absolute;left:97;top:24914;width:18467;height:7412;visibility:visible;mso-wrap-style:square;v-text-anchor:middle" coordsize="193860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" adj="-11796480,,5400" path="m,68856c,30828,30828,,68856,l1869752,v38028,,68856,30828,68856,68856l1938608,619702v,38028,-30828,68856,-68856,68856l68856,688558c30828,688558,,657730,,619702l,68856xe" fillcolor="#2d5c97" strokecolor="#b7cce4">
                    <v:fill color2="#397bc9" angle="180" colors="0 #2d5c97;52429f #3c7ac5;1 #397bc9" focus="100%" type="gradient">
                      <o:fill v:ext="view" type="gradientUnscaled"/>
                    </v:fill>
                    <v:stroke startarrowwidth="narrow" startarrowlength="short" endarrowwidth="narrow" endarrowlength="short" joinstyle="round"/>
                    <v:shadow on="t" color="black" opacity="22872f" origin=",.5" offset="0,.63889mm"/>
                    <v:formulas/>
                    <v:path arrowok="t" o:extrusionok="f" o:connecttype="custom" textboxrect="0,0,1938608,688558"/>
                    <v:textbox inset="2.04167mm,2.04167mm,2.04167mm,2.04167mm">
                      <w:txbxContent>
                        <w:p w14:paraId="50387C65" w14:textId="77777777" w:rsidR="00BD7402" w:rsidRDefault="00BD7402">
                          <w:pPr>
                            <w:spacing w:after="118" w:line="215" w:lineRule="auto"/>
                            <w:jc w:val="center"/>
                            <w:textDirection w:val="btLr"/>
                          </w:pPr>
                          <w:r>
                            <w:rPr>
                              <w:rFonts w:ascii="Verdana" w:eastAsia="Verdana" w:hAnsi="Verdana" w:cs="Verdana"/>
                              <w:color w:val="FFFFFF"/>
                              <w:sz w:val="18"/>
                            </w:rPr>
                            <w:t>Грант</w:t>
                          </w:r>
                        </w:p>
                        <w:p w14:paraId="2208FEF1" w14:textId="77777777" w:rsidR="00BD7402" w:rsidRDefault="00BD7402">
                          <w:pPr>
                            <w:spacing w:after="118" w:line="215" w:lineRule="auto"/>
                            <w:jc w:val="center"/>
                            <w:textDirection w:val="btLr"/>
                          </w:pPr>
                          <w:r>
                            <w:rPr>
                              <w:rFonts w:ascii="Verdana" w:eastAsia="Verdana" w:hAnsi="Verdana" w:cs="Verdana"/>
                              <w:color w:val="FFFFFF"/>
                              <w:sz w:val="18"/>
                            </w:rPr>
                            <w:t>ГКНС</w:t>
                          </w:r>
                        </w:p>
                      </w:txbxContent>
                    </v:textbox>
                  </v:shape>
                  <v:shape id="Полилиния 29" o:spid="_x0000_s1056" style="position:absolute;left:19193;top:24914;width:13034;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" adj="-11796480,,5400" path="m,68856c,30828,30828,,68856,l1469282,v38028,,68856,30828,68856,68856l1538138,619702v,38028,-30828,68856,-68856,68856l68856,688558c30828,688558,,657730,,619702l,68856xe" fillcolor="#2d5c97" strokecolor="#b7cce4">
                    <v:fill color2="#397bc9" angle="180" colors="0 #2d5c97;52429f #3c7ac5;1 #397bc9" focus="100%" type="gradient">
                      <o:fill v:ext="view" type="gradientUnscaled"/>
                    </v:fill>
                    <v:stroke startarrowwidth="narrow" startarrowlength="short" endarrowwidth="narrow" endarrowlength="short" joinstyle="round"/>
                    <v:shadow on="t" color="black" opacity="22872f" origin=",.5" offset="0,.63889mm"/>
                    <v:formulas/>
                    <v:path arrowok="t" o:extrusionok="f" o:connecttype="custom" textboxrect="0,0,1538138,688558"/>
                    <v:textbox inset="2.04167mm,2.04167mm,2.04167mm,2.04167mm">
                      <w:txbxContent>
                        <w:p w14:paraId="1C7BB5A7" w14:textId="77777777" w:rsidR="00BD7402" w:rsidRDefault="00BD7402">
                          <w:pPr>
                            <w:spacing w:after="118" w:line="215" w:lineRule="auto"/>
                            <w:jc w:val="center"/>
                            <w:textDirection w:val="btLr"/>
                          </w:pPr>
                          <w:r>
                            <w:rPr>
                              <w:rFonts w:ascii="Verdana" w:eastAsia="Verdana" w:hAnsi="Verdana" w:cs="Verdana"/>
                              <w:color w:val="FFFFFF"/>
                              <w:sz w:val="18"/>
                            </w:rPr>
                            <w:t>ICB-03</w:t>
                          </w:r>
                        </w:p>
                        <w:p w14:paraId="50F48C4D" w14:textId="77777777" w:rsidR="00BD7402" w:rsidRDefault="00BD7402">
                          <w:pPr>
                            <w:spacing w:after="118" w:line="215" w:lineRule="auto"/>
                            <w:jc w:val="center"/>
                            <w:textDirection w:val="btLr"/>
                          </w:pPr>
                          <w:r>
                            <w:rPr>
                              <w:rFonts w:ascii="Verdana" w:eastAsia="Verdana" w:hAnsi="Verdana" w:cs="Verdana"/>
                              <w:b/>
                              <w:color w:val="FFFFFF"/>
                              <w:sz w:val="18"/>
                            </w:rPr>
                            <w:t xml:space="preserve">Am. 2 </w:t>
                          </w:r>
                        </w:p>
                      </w:txbxContent>
                    </v:textbox>
                  </v:shape>
                  <v:shape id="Полилиния 30" o:spid="_x0000_s1057" style="position:absolute;left:32938;top:24881;width:14653;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234B46E3" w14:textId="77777777" w:rsidR="00BD7402" w:rsidRDefault="00BD7402">
                          <w:pPr>
                            <w:spacing w:after="118" w:line="215" w:lineRule="auto"/>
                            <w:jc w:val="center"/>
                            <w:textDirection w:val="btLr"/>
                          </w:pPr>
                          <w:r>
                            <w:rPr>
                              <w:rFonts w:ascii="Verdana" w:eastAsia="Verdana" w:hAnsi="Verdana" w:cs="Verdana"/>
                              <w:color w:val="FFFFFF"/>
                              <w:sz w:val="18"/>
                            </w:rPr>
                            <w:t>€ 3 045 146</w:t>
                          </w:r>
                        </w:p>
                      </w:txbxContent>
                    </v:textbox>
                  </v:shape>
                  <v:shape id="Полилиния 31" o:spid="_x0000_s1058" style="position:absolute;left:48145;top:24807;width:14652;height:7412;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72796267" w14:textId="77777777" w:rsidR="00BD7402" w:rsidRDefault="00BD7402">
                          <w:pPr>
                            <w:spacing w:after="118" w:line="215" w:lineRule="auto"/>
                            <w:jc w:val="center"/>
                            <w:textDirection w:val="btLr"/>
                          </w:pPr>
                          <w:r>
                            <w:rPr>
                              <w:rFonts w:ascii="Verdana" w:eastAsia="Verdana" w:hAnsi="Verdana" w:cs="Verdana"/>
                              <w:color w:val="FFFFFF"/>
                              <w:sz w:val="18"/>
                            </w:rPr>
                            <w:t>€ 2 761 183</w:t>
                          </w:r>
                        </w:p>
                      </w:txbxContent>
                    </v:textbox>
                  </v:shape>
                  <v:shape id="Полилиния 32" o:spid="_x0000_s1059" style="position:absolute;left:63384;top:24718;width:12348;height:7413;visibility:visible;mso-wrap-style:square;v-text-anchor:middle" coordsize="1538138,688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" adj="-11796480,,5400" path="m,68856c,30828,30828,,68856,l1469282,v38028,,68856,30828,68856,68856l1538138,619702v,38028,-30828,68856,-68856,68856l68856,688558c30828,688558,,657730,,619702l,68856xe" fillcolor="#2d5c97" stroked="f">
                    <v:fill color2="#397bc9" angle="180" colors="0 #2d5c97;52429f #3c7ac5;1 #397bc9" focus="100%" type="gradient">
                      <o:fill v:ext="view" type="gradientUnscaled"/>
                    </v:fill>
                    <v:stroke joinstyle="miter"/>
                    <v:shadow on="t" color="black" opacity="22872f" origin=",.5" offset="0,.63889mm"/>
                    <v:formulas/>
                    <v:path arrowok="t" o:extrusionok="f" o:connecttype="custom" textboxrect="0,0,1538138,688558"/>
                    <v:textbox inset="2.04167mm,2.04167mm,2.04167mm,2.04167mm">
                      <w:txbxContent>
                        <w:p w14:paraId="478A024E" w14:textId="77777777" w:rsidR="00BD7402" w:rsidRDefault="00BD7402">
                          <w:pPr>
                            <w:spacing w:after="118" w:line="215" w:lineRule="auto"/>
                            <w:jc w:val="center"/>
                            <w:textDirection w:val="btLr"/>
                          </w:pPr>
                          <w:r>
                            <w:rPr>
                              <w:rFonts w:ascii="Verdana" w:eastAsia="Verdana" w:hAnsi="Verdana" w:cs="Verdana"/>
                              <w:color w:val="FFFFFF"/>
                              <w:sz w:val="18"/>
                            </w:rPr>
                            <w:t>90,7 %</w:t>
                          </w:r>
                        </w:p>
                      </w:txbxContent>
                    </v:textbox>
                  </v:shape>
                </v:group>
              </v:group>
            </w:pict>
          </mc:Fallback>
        </mc:AlternateContent>
      </w:r>
    </w:p>
    <w:p w14:paraId="7D27F45A" w14:textId="77777777" w:rsidR="00C82386" w:rsidRDefault="00C82386">
      <w:pPr>
        <w:spacing w:after="0"/>
        <w:ind w:firstLine="708"/>
        <w:jc w:val="both"/>
        <w:rPr>
          <w:rFonts w:ascii="Times New Roman" w:eastAsia="Times New Roman" w:hAnsi="Times New Roman" w:cs="Times New Roman"/>
          <w:color w:val="000000"/>
          <w:sz w:val="28"/>
          <w:szCs w:val="28"/>
        </w:rPr>
      </w:pPr>
    </w:p>
    <w:p w14:paraId="00D60AA6" w14:textId="77777777" w:rsidR="00C82386" w:rsidRDefault="00C82386">
      <w:pPr>
        <w:spacing w:after="0"/>
        <w:ind w:firstLine="708"/>
        <w:jc w:val="both"/>
        <w:rPr>
          <w:rFonts w:ascii="Times New Roman" w:eastAsia="Times New Roman" w:hAnsi="Times New Roman" w:cs="Times New Roman"/>
          <w:color w:val="000000"/>
          <w:sz w:val="28"/>
          <w:szCs w:val="28"/>
        </w:rPr>
      </w:pPr>
    </w:p>
    <w:p w14:paraId="2E632FCA" w14:textId="77777777" w:rsidR="00C82386" w:rsidRDefault="00C82386">
      <w:pPr>
        <w:spacing w:after="0"/>
        <w:ind w:firstLine="708"/>
        <w:jc w:val="both"/>
        <w:rPr>
          <w:rFonts w:ascii="Times New Roman" w:eastAsia="Times New Roman" w:hAnsi="Times New Roman" w:cs="Times New Roman"/>
          <w:color w:val="000000"/>
          <w:sz w:val="28"/>
          <w:szCs w:val="28"/>
        </w:rPr>
      </w:pPr>
    </w:p>
    <w:p w14:paraId="2E2D15AD" w14:textId="77777777" w:rsidR="00C82386" w:rsidRDefault="00C82386">
      <w:pPr>
        <w:spacing w:after="0"/>
        <w:ind w:firstLine="708"/>
        <w:jc w:val="both"/>
        <w:rPr>
          <w:rFonts w:ascii="Times New Roman" w:eastAsia="Times New Roman" w:hAnsi="Times New Roman" w:cs="Times New Roman"/>
          <w:color w:val="000000"/>
          <w:sz w:val="28"/>
          <w:szCs w:val="28"/>
        </w:rPr>
      </w:pPr>
    </w:p>
    <w:p w14:paraId="12A56328" w14:textId="77777777" w:rsidR="00C82386" w:rsidRDefault="00C82386">
      <w:pPr>
        <w:spacing w:after="0"/>
        <w:ind w:firstLine="708"/>
        <w:jc w:val="both"/>
        <w:rPr>
          <w:rFonts w:ascii="Times New Roman" w:eastAsia="Times New Roman" w:hAnsi="Times New Roman" w:cs="Times New Roman"/>
          <w:color w:val="000000"/>
          <w:sz w:val="28"/>
          <w:szCs w:val="28"/>
        </w:rPr>
      </w:pPr>
    </w:p>
    <w:p w14:paraId="6DD9B46E" w14:textId="77777777" w:rsidR="00C82386" w:rsidRDefault="00C82386">
      <w:pPr>
        <w:spacing w:after="0"/>
        <w:ind w:firstLine="708"/>
        <w:jc w:val="both"/>
        <w:rPr>
          <w:rFonts w:ascii="Times New Roman" w:eastAsia="Times New Roman" w:hAnsi="Times New Roman" w:cs="Times New Roman"/>
          <w:color w:val="000000"/>
          <w:sz w:val="28"/>
          <w:szCs w:val="28"/>
        </w:rPr>
      </w:pPr>
    </w:p>
    <w:p w14:paraId="53EBDFAD" w14:textId="77777777" w:rsidR="00C82386" w:rsidRDefault="00C82386">
      <w:pPr>
        <w:spacing w:after="0"/>
        <w:ind w:firstLine="708"/>
        <w:jc w:val="both"/>
        <w:rPr>
          <w:rFonts w:ascii="Times New Roman" w:eastAsia="Times New Roman" w:hAnsi="Times New Roman" w:cs="Times New Roman"/>
          <w:color w:val="000000"/>
          <w:sz w:val="28"/>
          <w:szCs w:val="28"/>
        </w:rPr>
      </w:pPr>
    </w:p>
    <w:p w14:paraId="1AF0CDE3" w14:textId="77777777" w:rsidR="00C82386" w:rsidRDefault="00C82386">
      <w:pPr>
        <w:spacing w:after="0"/>
        <w:ind w:firstLine="708"/>
        <w:jc w:val="both"/>
        <w:rPr>
          <w:rFonts w:ascii="Times New Roman" w:eastAsia="Times New Roman" w:hAnsi="Times New Roman" w:cs="Times New Roman"/>
          <w:color w:val="000000"/>
          <w:sz w:val="28"/>
          <w:szCs w:val="28"/>
        </w:rPr>
      </w:pPr>
    </w:p>
    <w:p w14:paraId="23172F5F" w14:textId="77777777" w:rsidR="00C82386" w:rsidRDefault="00C82386">
      <w:pPr>
        <w:spacing w:after="0"/>
        <w:ind w:firstLine="708"/>
        <w:jc w:val="both"/>
        <w:rPr>
          <w:rFonts w:ascii="Times New Roman" w:eastAsia="Times New Roman" w:hAnsi="Times New Roman" w:cs="Times New Roman"/>
          <w:color w:val="000000"/>
          <w:sz w:val="28"/>
          <w:szCs w:val="28"/>
        </w:rPr>
      </w:pPr>
    </w:p>
    <w:p w14:paraId="4B8101F0" w14:textId="77777777" w:rsidR="00C82386" w:rsidRDefault="00C82386">
      <w:pPr>
        <w:spacing w:after="0"/>
        <w:ind w:firstLine="708"/>
        <w:jc w:val="both"/>
        <w:rPr>
          <w:rFonts w:ascii="Times New Roman" w:eastAsia="Times New Roman" w:hAnsi="Times New Roman" w:cs="Times New Roman"/>
          <w:color w:val="000000"/>
          <w:sz w:val="28"/>
          <w:szCs w:val="28"/>
        </w:rPr>
      </w:pPr>
    </w:p>
    <w:p w14:paraId="2F343765" w14:textId="77777777" w:rsidR="00C82386" w:rsidRDefault="00C82386">
      <w:pPr>
        <w:spacing w:after="0"/>
        <w:ind w:firstLine="708"/>
        <w:jc w:val="both"/>
        <w:rPr>
          <w:rFonts w:ascii="Times New Roman" w:eastAsia="Times New Roman" w:hAnsi="Times New Roman" w:cs="Times New Roman"/>
          <w:color w:val="000000"/>
          <w:sz w:val="28"/>
          <w:szCs w:val="28"/>
        </w:rPr>
      </w:pPr>
    </w:p>
    <w:p w14:paraId="013DE40E" w14:textId="77777777" w:rsidR="00C82386" w:rsidRDefault="00C82386">
      <w:pPr>
        <w:spacing w:after="0"/>
        <w:ind w:firstLine="708"/>
        <w:jc w:val="both"/>
        <w:rPr>
          <w:rFonts w:ascii="Times New Roman" w:eastAsia="Times New Roman" w:hAnsi="Times New Roman" w:cs="Times New Roman"/>
          <w:color w:val="000000"/>
          <w:sz w:val="28"/>
          <w:szCs w:val="28"/>
        </w:rPr>
      </w:pPr>
    </w:p>
    <w:p w14:paraId="3E628FB4" w14:textId="77777777" w:rsidR="00C82386" w:rsidRDefault="00C82386">
      <w:pPr>
        <w:spacing w:after="0"/>
        <w:jc w:val="both"/>
        <w:rPr>
          <w:rFonts w:ascii="Times New Roman" w:eastAsia="Times New Roman" w:hAnsi="Times New Roman" w:cs="Times New Roman"/>
          <w:color w:val="000000"/>
          <w:sz w:val="28"/>
          <w:szCs w:val="28"/>
        </w:rPr>
      </w:pPr>
    </w:p>
    <w:p w14:paraId="662FC315" w14:textId="77777777" w:rsidR="00C82386" w:rsidRDefault="00C82386">
      <w:pPr>
        <w:ind w:firstLine="709"/>
        <w:jc w:val="both"/>
        <w:rPr>
          <w:rFonts w:ascii="Times New Roman" w:eastAsia="Times New Roman" w:hAnsi="Times New Roman" w:cs="Times New Roman"/>
          <w:sz w:val="24"/>
          <w:szCs w:val="24"/>
        </w:rPr>
      </w:pPr>
    </w:p>
    <w:p w14:paraId="515BE80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Головною метою Проекту є реконструкція водопровідних та каналізаційних очисних споруд з метою досягнення нормативного ступеню очистки води та стічних вод за рахунок впровадження енергоефективних технологій, реконструкція водопровідних насосних станцій для створення енергоефективної системи транспортування води, а також заміна аварійних ділянок водопровідних мереж для зменшення значних втрат як води, так і енергоресурсів.</w:t>
      </w:r>
    </w:p>
    <w:p w14:paraId="4DE02D01" w14:textId="77777777" w:rsidR="00C82386" w:rsidRDefault="00E66F64">
      <w:pPr>
        <w:tabs>
          <w:tab w:val="left" w:pos="567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Станом</w:t>
      </w:r>
      <w:r w:rsidR="003B5ED6">
        <w:rPr>
          <w:rFonts w:ascii="Times New Roman" w:eastAsia="Times New Roman" w:hAnsi="Times New Roman" w:cs="Times New Roman"/>
          <w:sz w:val="24"/>
          <w:szCs w:val="24"/>
        </w:rPr>
        <w:t xml:space="preserve"> на</w:t>
      </w:r>
      <w:r>
        <w:rPr>
          <w:rFonts w:ascii="Times New Roman" w:eastAsia="Times New Roman" w:hAnsi="Times New Roman" w:cs="Times New Roman"/>
          <w:sz w:val="24"/>
          <w:szCs w:val="24"/>
        </w:rPr>
        <w:t xml:space="preserve"> 24.02.2022 р. Другий проєкт розвитку міської інфраструктури перебував в активній стадії реалізації, було отримано усі дозволи і сертифікати та активно проводилися будівельні роботи на майданчиках підприємства. </w:t>
      </w:r>
    </w:p>
    <w:p w14:paraId="2C2B5382" w14:textId="77777777" w:rsidR="00C82386" w:rsidRDefault="00E66F64">
      <w:pPr>
        <w:tabs>
          <w:tab w:val="left" w:pos="5670"/>
        </w:tabs>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початок липня 2023 р. підрядними організаціями, що виконують будівельно-монтажні роботи в рамках реалізації Другого проєкту розвитку міської інфраструктури, було виконано наступний обсяг робіт:</w:t>
      </w:r>
    </w:p>
    <w:p w14:paraId="152F7B65" w14:textId="77777777" w:rsidR="00C82386" w:rsidRDefault="00E66F64">
      <w:pPr>
        <w:numPr>
          <w:ilvl w:val="0"/>
          <w:numId w:val="60"/>
        </w:numPr>
        <w:pBdr>
          <w:top w:val="nil"/>
          <w:left w:val="nil"/>
          <w:bottom w:val="nil"/>
          <w:right w:val="nil"/>
          <w:between w:val="nil"/>
        </w:pBdr>
        <w:tabs>
          <w:tab w:val="left" w:pos="5670"/>
        </w:tabs>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контракт № ZHT-ICB-03 «Реконструкція каналізаційних очисних споруд (включаючи заміну механічного та електричного обладнання та каналізаційних мереж», виконавець - компанія ESOTECH Д. Д., загальний відсоток виконання робіт - 80%;</w:t>
      </w:r>
    </w:p>
    <w:p w14:paraId="599D8B03" w14:textId="77777777" w:rsidR="00C82386" w:rsidRDefault="00E66F64">
      <w:pPr>
        <w:numPr>
          <w:ilvl w:val="0"/>
          <w:numId w:val="60"/>
        </w:numPr>
        <w:pBdr>
          <w:top w:val="nil"/>
          <w:left w:val="nil"/>
          <w:bottom w:val="nil"/>
          <w:right w:val="nil"/>
          <w:between w:val="nil"/>
        </w:pBdr>
        <w:tabs>
          <w:tab w:val="left" w:pos="5670"/>
        </w:tabs>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контракт ZHT-ICB-04  «Реконструкція насосних станцій водопроводу та водоочисної станції», виконавець - СП RIKO-HIDROINŽENIRING, загальний відсоток виконання робіт – 44%;</w:t>
      </w:r>
    </w:p>
    <w:p w14:paraId="0BEACA36" w14:textId="77777777" w:rsidR="00C82386" w:rsidRDefault="00E66F64">
      <w:pPr>
        <w:numPr>
          <w:ilvl w:val="0"/>
          <w:numId w:val="60"/>
        </w:numPr>
        <w:pBdr>
          <w:top w:val="nil"/>
          <w:left w:val="nil"/>
          <w:bottom w:val="nil"/>
          <w:right w:val="nil"/>
          <w:between w:val="nil"/>
        </w:pBdr>
        <w:tabs>
          <w:tab w:val="left" w:pos="5670"/>
        </w:tabs>
        <w:spacing w:after="160" w:line="259" w:lineRule="auto"/>
        <w:ind w:left="426" w:hanging="426"/>
        <w:jc w:val="both"/>
        <w:rPr>
          <w:rFonts w:ascii="Times New Roman" w:eastAsia="Times New Roman" w:hAnsi="Times New Roman" w:cs="Times New Roman"/>
          <w:color w:val="000000"/>
          <w:sz w:val="24"/>
          <w:szCs w:val="24"/>
        </w:rPr>
      </w:pPr>
      <w:bookmarkStart w:id="64" w:name="_heading=h.2r0uhxc" w:colFirst="0" w:colLast="0"/>
      <w:bookmarkEnd w:id="64"/>
      <w:r>
        <w:rPr>
          <w:rFonts w:ascii="Times New Roman" w:eastAsia="Times New Roman" w:hAnsi="Times New Roman" w:cs="Times New Roman"/>
          <w:color w:val="000000"/>
          <w:sz w:val="24"/>
          <w:szCs w:val="24"/>
        </w:rPr>
        <w:t>контракт ZHT-ICB-05 «Реконструкція мережі водопостачання», виконавець СП  ТОВ “KSM-GROUP” та “YOUNG IN and HANYANG ENG CO., Ltd, загальний відсоток виконання робіт – 92%.</w:t>
      </w:r>
    </w:p>
    <w:p w14:paraId="495C1E1B" w14:textId="77777777" w:rsidR="00A11685" w:rsidRPr="00A11685" w:rsidRDefault="00A11685" w:rsidP="00A11685">
      <w:pPr>
        <w:pStyle w:val="a5"/>
        <w:keepNext/>
        <w:keepLines/>
        <w:numPr>
          <w:ilvl w:val="0"/>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bookmarkStart w:id="65" w:name="_heading=h.1664s55" w:colFirst="0" w:colLast="0"/>
      <w:bookmarkEnd w:id="65"/>
    </w:p>
    <w:p w14:paraId="6DFBDD41" w14:textId="77777777" w:rsidR="00A11685" w:rsidRPr="00A11685" w:rsidRDefault="00A11685" w:rsidP="00A11685">
      <w:pPr>
        <w:pStyle w:val="a5"/>
        <w:keepNext/>
        <w:keepLines/>
        <w:numPr>
          <w:ilvl w:val="1"/>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7263F295" w14:textId="77777777" w:rsidR="00A11685" w:rsidRPr="00A11685" w:rsidRDefault="00A11685" w:rsidP="00A11685">
      <w:pPr>
        <w:pStyle w:val="a5"/>
        <w:keepNext/>
        <w:keepLines/>
        <w:numPr>
          <w:ilvl w:val="1"/>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7F5E3496" w14:textId="77777777" w:rsidR="00A11685" w:rsidRPr="00A11685" w:rsidRDefault="00A11685" w:rsidP="00A11685">
      <w:pPr>
        <w:pStyle w:val="a5"/>
        <w:keepNext/>
        <w:keepLines/>
        <w:numPr>
          <w:ilvl w:val="2"/>
          <w:numId w:val="26"/>
        </w:numPr>
        <w:pBdr>
          <w:top w:val="nil"/>
          <w:left w:val="nil"/>
          <w:bottom w:val="nil"/>
          <w:right w:val="nil"/>
          <w:between w:val="nil"/>
        </w:pBdr>
        <w:spacing w:before="200" w:after="0"/>
        <w:contextualSpacing w:val="0"/>
        <w:rPr>
          <w:rFonts w:ascii="Times New Roman" w:eastAsia="Times New Roman" w:hAnsi="Times New Roman" w:cs="Times New Roman"/>
          <w:b/>
          <w:vanish/>
          <w:color w:val="000000"/>
          <w:sz w:val="24"/>
          <w:szCs w:val="24"/>
        </w:rPr>
      </w:pPr>
    </w:p>
    <w:p w14:paraId="5C146570" w14:textId="77777777" w:rsidR="00C82386" w:rsidRPr="007561B9" w:rsidRDefault="00E66F64" w:rsidP="007F2B4D">
      <w:pPr>
        <w:pStyle w:val="a5"/>
        <w:keepNext/>
        <w:keepLines/>
        <w:numPr>
          <w:ilvl w:val="2"/>
          <w:numId w:val="79"/>
        </w:numPr>
        <w:pBdr>
          <w:top w:val="nil"/>
          <w:left w:val="nil"/>
          <w:bottom w:val="nil"/>
          <w:right w:val="nil"/>
          <w:between w:val="nil"/>
        </w:pBdr>
        <w:spacing w:before="200" w:after="0"/>
        <w:jc w:val="both"/>
        <w:rPr>
          <w:rFonts w:ascii="Times New Roman" w:eastAsia="Times New Roman" w:hAnsi="Times New Roman" w:cs="Times New Roman"/>
          <w:b/>
          <w:color w:val="000000"/>
          <w:sz w:val="24"/>
          <w:szCs w:val="24"/>
        </w:rPr>
      </w:pPr>
      <w:r w:rsidRPr="007561B9">
        <w:rPr>
          <w:rFonts w:ascii="Times New Roman" w:eastAsia="Times New Roman" w:hAnsi="Times New Roman" w:cs="Times New Roman"/>
          <w:b/>
          <w:color w:val="000000"/>
          <w:sz w:val="24"/>
          <w:szCs w:val="24"/>
        </w:rPr>
        <w:t>Заходи, що заплановані до виконання для муніципального вуличного освітлення</w:t>
      </w:r>
    </w:p>
    <w:p w14:paraId="158458C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Вуличне освітлення має незначну частку у загальному обсязі споживанні енергії у громаді (0,1%). Єдиним джерелом енергії для потреб вуличного освітлення є електрична енергія. </w:t>
      </w:r>
    </w:p>
    <w:p w14:paraId="114E6AAA"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Зовнішнє освітлення вулиць м. Житомира та села Вереси, наряду з враженнями від комплексу муніципальних будівель, має великий вплив на розвиток енергетичної свідомості жителів міста, є візитівкою щодо стану енергетичного розвитку міста і може надавати додаткових переваг архітектурному ансамблю міста і його культурним пам’яткам. Також якість зовнішнього освітлення впливає на рівень безпеки населення в темний період доби і є запорукою зменшення кількості аварій на дорогах міста.</w:t>
      </w:r>
    </w:p>
    <w:p w14:paraId="085EC13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постійного покращення зовнішнього вуличного освітлення впроваджуються маловитратні заходи (за власний рахунок підприємства):</w:t>
      </w:r>
    </w:p>
    <w:p w14:paraId="3627436E" w14:textId="77777777" w:rsidR="00C82386" w:rsidRDefault="00E66F64">
      <w:pPr>
        <w:numPr>
          <w:ilvl w:val="0"/>
          <w:numId w:val="3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заміна ламп розжарювання на LED-лампи;</w:t>
      </w:r>
    </w:p>
    <w:p w14:paraId="1B52B4BF" w14:textId="77777777" w:rsidR="00C82386" w:rsidRDefault="00E66F64">
      <w:pPr>
        <w:numPr>
          <w:ilvl w:val="0"/>
          <w:numId w:val="3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очищення поверхні ламп та світильників;</w:t>
      </w:r>
    </w:p>
    <w:p w14:paraId="4EECB86F" w14:textId="77777777" w:rsidR="00C82386" w:rsidRDefault="00E66F64">
      <w:pPr>
        <w:numPr>
          <w:ilvl w:val="0"/>
          <w:numId w:val="3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заміна та реконструкція електромереж та опор.</w:t>
      </w:r>
    </w:p>
    <w:p w14:paraId="6A6C6B3D" w14:textId="77777777" w:rsidR="00C82386" w:rsidRDefault="00E66F64">
      <w:pPr>
        <w:spacing w:after="0"/>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впровадження комплексних заходів залучаються кошти додаткових фінансових джерел та використовувати механізми залучення коштів.</w:t>
      </w:r>
    </w:p>
    <w:p w14:paraId="5C5AF919" w14:textId="77777777" w:rsidR="00C82386" w:rsidRDefault="00E66F64">
      <w:pPr>
        <w:spacing w:after="0"/>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Прикладами виконання комплексної модернізації муніципального зовнішнього освітлення є:</w:t>
      </w:r>
    </w:p>
    <w:p w14:paraId="29130A2D" w14:textId="77777777" w:rsidR="00C82386" w:rsidRDefault="00E66F64">
      <w:pPr>
        <w:numPr>
          <w:ilvl w:val="0"/>
          <w:numId w:val="37"/>
        </w:numPr>
        <w:pBdr>
          <w:top w:val="nil"/>
          <w:left w:val="nil"/>
          <w:bottom w:val="nil"/>
          <w:right w:val="nil"/>
          <w:between w:val="nil"/>
        </w:pBdr>
        <w:spacing w:after="0"/>
        <w:ind w:left="709" w:hanging="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комплексна заміна застарілих світильників на LED,</w:t>
      </w:r>
    </w:p>
    <w:p w14:paraId="5A7A2EDF" w14:textId="77777777" w:rsidR="00C82386" w:rsidRDefault="00E66F64">
      <w:pPr>
        <w:numPr>
          <w:ilvl w:val="0"/>
          <w:numId w:val="37"/>
        </w:numPr>
        <w:pBdr>
          <w:top w:val="nil"/>
          <w:left w:val="nil"/>
          <w:bottom w:val="nil"/>
          <w:right w:val="nil"/>
          <w:between w:val="nil"/>
        </w:pBdr>
        <w:spacing w:after="0"/>
        <w:ind w:left="709" w:hanging="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оновлення опор та ліній електропередачі,</w:t>
      </w:r>
    </w:p>
    <w:p w14:paraId="1C6508A4" w14:textId="77777777" w:rsidR="00C82386" w:rsidRDefault="00E66F64">
      <w:pPr>
        <w:numPr>
          <w:ilvl w:val="0"/>
          <w:numId w:val="37"/>
        </w:numPr>
        <w:pBdr>
          <w:top w:val="nil"/>
          <w:left w:val="nil"/>
          <w:bottom w:val="nil"/>
          <w:right w:val="nil"/>
          <w:between w:val="nil"/>
        </w:pBdr>
        <w:spacing w:after="0"/>
        <w:ind w:left="709" w:hanging="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централізованої, автоматизованої системи керування зовнішнім освітленням з підтримкою функції регулювання інтенсивності світла (д</w:t>
      </w:r>
      <w:r w:rsidR="00E95177">
        <w:rPr>
          <w:rFonts w:ascii="Times New Roman" w:eastAsia="Times New Roman" w:hAnsi="Times New Roman" w:cs="Times New Roman"/>
          <w:color w:val="000000"/>
          <w:sz w:val="24"/>
          <w:szCs w:val="24"/>
        </w:rPr>
        <w:t>и</w:t>
      </w:r>
      <w:r>
        <w:rPr>
          <w:rFonts w:ascii="Times New Roman" w:eastAsia="Times New Roman" w:hAnsi="Times New Roman" w:cs="Times New Roman"/>
          <w:color w:val="000000"/>
          <w:sz w:val="24"/>
          <w:szCs w:val="24"/>
        </w:rPr>
        <w:t>м</w:t>
      </w:r>
      <w:r w:rsidR="00E95177">
        <w:rPr>
          <w:rFonts w:ascii="Times New Roman" w:eastAsia="Times New Roman" w:hAnsi="Times New Roman" w:cs="Times New Roman"/>
          <w:color w:val="000000"/>
          <w:sz w:val="24"/>
          <w:szCs w:val="24"/>
        </w:rPr>
        <w:t>ію</w:t>
      </w:r>
      <w:r>
        <w:rPr>
          <w:rFonts w:ascii="Times New Roman" w:eastAsia="Times New Roman" w:hAnsi="Times New Roman" w:cs="Times New Roman"/>
          <w:color w:val="000000"/>
          <w:sz w:val="24"/>
          <w:szCs w:val="24"/>
        </w:rPr>
        <w:t>вання),</w:t>
      </w:r>
    </w:p>
    <w:p w14:paraId="6B093712" w14:textId="77777777" w:rsidR="00C82386" w:rsidRDefault="00E66F64">
      <w:pPr>
        <w:numPr>
          <w:ilvl w:val="0"/>
          <w:numId w:val="37"/>
        </w:numPr>
        <w:pBdr>
          <w:top w:val="nil"/>
          <w:left w:val="nil"/>
          <w:bottom w:val="nil"/>
          <w:right w:val="nil"/>
          <w:between w:val="nil"/>
        </w:pBdr>
        <w:spacing w:after="0"/>
        <w:ind w:left="709" w:hanging="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встановлення LED-ліхтарів  з живленням від локальних сонячних батарей.</w:t>
      </w:r>
    </w:p>
    <w:p w14:paraId="5B928FEB" w14:textId="77777777" w:rsidR="00C82386" w:rsidRDefault="00E66F6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2020 рік заміна світильників на LED у мережі зовнішнього громадського освітлення повністю завершена.</w:t>
      </w:r>
    </w:p>
    <w:p w14:paraId="20A8173E" w14:textId="77777777" w:rsidR="00C82386" w:rsidRDefault="00E66F64" w:rsidP="007561B9">
      <w:pPr>
        <w:keepNext/>
        <w:keepLines/>
        <w:numPr>
          <w:ilvl w:val="2"/>
          <w:numId w:val="79"/>
        </w:numPr>
        <w:pBdr>
          <w:top w:val="nil"/>
          <w:left w:val="nil"/>
          <w:bottom w:val="nil"/>
          <w:right w:val="nil"/>
          <w:between w:val="nil"/>
        </w:pBdr>
        <w:spacing w:before="200" w:after="0"/>
        <w:ind w:left="709" w:hanging="709"/>
        <w:rPr>
          <w:rFonts w:ascii="Times New Roman" w:eastAsia="Times New Roman" w:hAnsi="Times New Roman" w:cs="Times New Roman"/>
          <w:b/>
          <w:color w:val="000000"/>
          <w:sz w:val="24"/>
          <w:szCs w:val="24"/>
        </w:rPr>
      </w:pPr>
      <w:bookmarkStart w:id="66" w:name="_heading=h.3q5sasy" w:colFirst="0" w:colLast="0"/>
      <w:bookmarkEnd w:id="66"/>
      <w:r>
        <w:rPr>
          <w:rFonts w:ascii="Times New Roman" w:eastAsia="Times New Roman" w:hAnsi="Times New Roman" w:cs="Times New Roman"/>
          <w:b/>
          <w:color w:val="000000"/>
          <w:sz w:val="24"/>
          <w:szCs w:val="24"/>
        </w:rPr>
        <w:lastRenderedPageBreak/>
        <w:t>Заходи, що заплановані до виконання в житловому секторі</w:t>
      </w:r>
    </w:p>
    <w:p w14:paraId="6B907C70"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Найбільшим споживачем енергії в Житомирській міській територіальній громаді є житловий сектор. Для приблизної оцінки потреби в інвестиціях на термомодернізацію житлового фонду використовують норму щонайменше 50 євро на 1 кв. м. житлової площі. Виходячи з цієї норми, потреба в таких інвестиціях складає біля 9,2 млрд. грн (відповідає 287,5 млн євро). Ця величина виходить далеко за можливості власників житлового фонду та місцевого бюджету.</w:t>
      </w:r>
    </w:p>
    <w:p w14:paraId="2102C981"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Терміни окупності комплексних енергоефективних заходів у житлі становлять 7-15 років за умов збереження поточних цін на енергоносії та без урахування видатків на обслуговування кредитів.</w:t>
      </w:r>
    </w:p>
    <w:p w14:paraId="02F9143D"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Україні розпочав роботу Фонд Енергоефективності, який надає гранти на термомодернізацію будинків, у яких створені ОСББ. Розмір гранту становить до 50% вартості комплексної термомодернізації. Фонд вимагає попередньо фінансувати заходи та приймає рішення про надання гранту після проведення енергетичного аудиту. На момент підготовки ПДСЕРК фонд прийняв близько 700 заявок від ОСББ при планованих тисячах заявок на рік.</w:t>
      </w:r>
    </w:p>
    <w:p w14:paraId="288A0862" w14:textId="77777777" w:rsidR="00C82386" w:rsidRDefault="004341E7">
      <w:pPr>
        <w:spacing w:after="0"/>
        <w:ind w:firstLine="851"/>
        <w:jc w:val="both"/>
        <w:rPr>
          <w:rFonts w:ascii="Times New Roman" w:eastAsia="Times New Roman" w:hAnsi="Times New Roman" w:cs="Times New Roman"/>
          <w:sz w:val="24"/>
          <w:szCs w:val="24"/>
        </w:rPr>
      </w:pPr>
      <w:sdt>
        <w:sdtPr>
          <w:tag w:val="goog_rdk_82"/>
          <w:id w:val="19287432"/>
        </w:sdtPr>
        <w:sdtEndPr/>
        <w:sdtContent/>
      </w:sdt>
      <w:r w:rsidR="00E66F64">
        <w:rPr>
          <w:rFonts w:ascii="Times New Roman" w:eastAsia="Times New Roman" w:hAnsi="Times New Roman" w:cs="Times New Roman"/>
          <w:sz w:val="24"/>
          <w:szCs w:val="24"/>
        </w:rPr>
        <w:t xml:space="preserve">Також існує державна програма так званих «теплих кредитів», яка має значно доступніші вимоги однак її попит на це фінансування набагато перевищує можливості. Тому дієві державні інструменти підтримки термомодернізації приватних домогосподарств відсутні. </w:t>
      </w:r>
    </w:p>
    <w:p w14:paraId="52704F20"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Попередні розрахункові дані свідчать про недостатнє опалення будинків в багатьох будинках, що є однією з причин зростання споживання електрики, яка використовується для опалення приміщень. Існуючий рівень споживання тепла може призводити до труднощів з реалізацією комплексних заходів з термомодернізації оскільки їх фінансова привабливість буде нижчою через поточні нижчі від нормативних рівні споживання.</w:t>
      </w:r>
    </w:p>
    <w:p w14:paraId="39985FF5"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Виходячи з вищенаведеного, громада має наступні перспективні цілі у сфері підвищення ефективності споживання енергії у житловому секторі:</w:t>
      </w:r>
    </w:p>
    <w:p w14:paraId="25A611F9" w14:textId="77777777" w:rsidR="00C82386" w:rsidRDefault="00E66F64">
      <w:pPr>
        <w:numPr>
          <w:ilvl w:val="0"/>
          <w:numId w:val="30"/>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Формування зростаючого потоку інвестицій у енергоефективність житла для досягнення середнього для багатоквартирних будинків питомого споживання енергії у 120 кВт-год/рік.</w:t>
      </w:r>
    </w:p>
    <w:p w14:paraId="6F0C3A5F" w14:textId="77777777" w:rsidR="00C82386" w:rsidRDefault="00E66F64">
      <w:pPr>
        <w:numPr>
          <w:ilvl w:val="0"/>
          <w:numId w:val="30"/>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спроможності міських ОСББ втілювати енергоефективні проекти з залученням зовнішнього фінансування.</w:t>
      </w:r>
    </w:p>
    <w:p w14:paraId="43284233" w14:textId="77777777" w:rsidR="00C82386" w:rsidRDefault="00E66F64">
      <w:pPr>
        <w:numPr>
          <w:ilvl w:val="0"/>
          <w:numId w:val="30"/>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Забезпечення доступу до підтримки енергоефективних заходів приватним домогосподарствам.</w:t>
      </w:r>
    </w:p>
    <w:p w14:paraId="7A8089B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Дані перспективні цілі будуть досягнуті завдяки виконанню наступних задач.</w:t>
      </w:r>
    </w:p>
    <w:p w14:paraId="303161D1" w14:textId="77777777" w:rsidR="00C82386" w:rsidRDefault="00E66F64">
      <w:pPr>
        <w:numPr>
          <w:ilvl w:val="0"/>
          <w:numId w:val="31"/>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міської програми підтримки розвитку ОСББ.</w:t>
      </w:r>
    </w:p>
    <w:p w14:paraId="71826B76" w14:textId="77777777" w:rsidR="00C82386" w:rsidRDefault="00E66F64">
      <w:pPr>
        <w:numPr>
          <w:ilvl w:val="0"/>
          <w:numId w:val="31"/>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програми співфінансування Державного фонду Енергоефективності.</w:t>
      </w:r>
    </w:p>
    <w:p w14:paraId="33617438" w14:textId="77777777" w:rsidR="00C82386" w:rsidRDefault="00E66F64">
      <w:pPr>
        <w:numPr>
          <w:ilvl w:val="0"/>
          <w:numId w:val="31"/>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обізнаності зацікавлених сторін.</w:t>
      </w:r>
    </w:p>
    <w:p w14:paraId="3CB466FB" w14:textId="77777777" w:rsidR="00C82386" w:rsidRDefault="00C82386">
      <w:pPr>
        <w:spacing w:after="0"/>
        <w:ind w:firstLine="851"/>
        <w:jc w:val="both"/>
        <w:rPr>
          <w:rFonts w:ascii="Times New Roman" w:eastAsia="Times New Roman" w:hAnsi="Times New Roman" w:cs="Times New Roman"/>
        </w:rPr>
      </w:pPr>
    </w:p>
    <w:p w14:paraId="6FDF6E77" w14:textId="77777777" w:rsidR="00C82386" w:rsidRDefault="00E66F64">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План виконання завдань</w:t>
      </w:r>
    </w:p>
    <w:p w14:paraId="699DCFC7" w14:textId="77777777" w:rsidR="00C82386" w:rsidRPr="00D72CDF" w:rsidRDefault="00E66F64">
      <w:pPr>
        <w:pBdr>
          <w:top w:val="nil"/>
          <w:left w:val="nil"/>
          <w:bottom w:val="nil"/>
          <w:right w:val="nil"/>
          <w:between w:val="nil"/>
        </w:pBdr>
        <w:spacing w:after="0"/>
        <w:ind w:left="720" w:hanging="720"/>
        <w:jc w:val="both"/>
        <w:rPr>
          <w:rFonts w:ascii="Times New Roman" w:eastAsia="Times New Roman" w:hAnsi="Times New Roman" w:cs="Times New Roman"/>
          <w:i/>
          <w:sz w:val="24"/>
          <w:szCs w:val="24"/>
        </w:rPr>
      </w:pPr>
      <w:r w:rsidRPr="00D72CDF">
        <w:rPr>
          <w:rFonts w:ascii="Times New Roman" w:eastAsia="Times New Roman" w:hAnsi="Times New Roman" w:cs="Times New Roman"/>
          <w:b/>
          <w:i/>
          <w:sz w:val="24"/>
          <w:szCs w:val="24"/>
        </w:rPr>
        <w:t>Завдання 1. Створення міської програми підтримки розвитку ОСББ</w:t>
      </w:r>
      <w:r w:rsidRPr="00D72CDF">
        <w:rPr>
          <w:rFonts w:ascii="Times New Roman" w:eastAsia="Times New Roman" w:hAnsi="Times New Roman" w:cs="Times New Roman"/>
          <w:i/>
          <w:sz w:val="24"/>
          <w:szCs w:val="24"/>
        </w:rPr>
        <w:t>.</w:t>
      </w:r>
    </w:p>
    <w:p w14:paraId="6638EB91" w14:textId="77777777" w:rsidR="00C82386" w:rsidRDefault="004341E7">
      <w:pPr>
        <w:spacing w:after="0"/>
        <w:ind w:firstLine="709"/>
        <w:jc w:val="both"/>
        <w:rPr>
          <w:rFonts w:ascii="Times New Roman" w:eastAsia="Times New Roman" w:hAnsi="Times New Roman" w:cs="Times New Roman"/>
          <w:sz w:val="24"/>
          <w:szCs w:val="24"/>
        </w:rPr>
      </w:pPr>
      <w:sdt>
        <w:sdtPr>
          <w:tag w:val="goog_rdk_83"/>
          <w:id w:val="-1976357822"/>
        </w:sdtPr>
        <w:sdtEndPr/>
        <w:sdtContent/>
      </w:sdt>
      <w:r w:rsidR="00E66F64">
        <w:rPr>
          <w:rFonts w:ascii="Times New Roman" w:eastAsia="Times New Roman" w:hAnsi="Times New Roman" w:cs="Times New Roman"/>
          <w:sz w:val="24"/>
          <w:szCs w:val="24"/>
        </w:rPr>
        <w:t xml:space="preserve">Створення ОСББ у всіх багатоквартирних будинках та підвищення їх спроможності реалізовувати енергоефективні заходи є обов’язковими умовами для підвищення енергоефективності у таких будинках. Однак, через політичну та економічну нестабільність у країні, невисокі прибутки, відсутність досвіду та низьку обізнаність ОСББ не докладають </w:t>
      </w:r>
      <w:r w:rsidR="00E66F64">
        <w:rPr>
          <w:rFonts w:ascii="Times New Roman" w:eastAsia="Times New Roman" w:hAnsi="Times New Roman" w:cs="Times New Roman"/>
          <w:sz w:val="24"/>
          <w:szCs w:val="24"/>
        </w:rPr>
        <w:lastRenderedPageBreak/>
        <w:t xml:space="preserve">достатньо зусиль для реалізації енергоефективних заходів. У першу чергу, це стосується використання коштів Фонду енергоефективності. </w:t>
      </w:r>
    </w:p>
    <w:p w14:paraId="30B2178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подолання перелічених перешкод у місті буд</w:t>
      </w:r>
      <w:r w:rsidR="00154D47">
        <w:rPr>
          <w:rFonts w:ascii="Times New Roman" w:eastAsia="Times New Roman" w:hAnsi="Times New Roman" w:cs="Times New Roman"/>
          <w:sz w:val="24"/>
          <w:szCs w:val="24"/>
        </w:rPr>
        <w:t xml:space="preserve">уть виконувати завдання 2 та 3. </w:t>
      </w:r>
      <w:r>
        <w:rPr>
          <w:rFonts w:ascii="Times New Roman" w:eastAsia="Times New Roman" w:hAnsi="Times New Roman" w:cs="Times New Roman"/>
          <w:sz w:val="24"/>
          <w:szCs w:val="24"/>
        </w:rPr>
        <w:t>У рамках реалізації ПДСЕРК будуть виконані наступні кроки</w:t>
      </w:r>
    </w:p>
    <w:p w14:paraId="3B3E826B"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чернетки муніципальної програми </w:t>
      </w:r>
      <w:r w:rsidR="00154D47">
        <w:rPr>
          <w:rFonts w:ascii="Times New Roman" w:eastAsia="Times New Roman" w:hAnsi="Times New Roman" w:cs="Times New Roman"/>
          <w:color w:val="000000"/>
          <w:sz w:val="24"/>
          <w:szCs w:val="24"/>
        </w:rPr>
        <w:t>підтримки розвитку ОСББ</w:t>
      </w:r>
      <w:r>
        <w:rPr>
          <w:rFonts w:ascii="Times New Roman" w:eastAsia="Times New Roman" w:hAnsi="Times New Roman" w:cs="Times New Roman"/>
          <w:color w:val="000000"/>
          <w:sz w:val="24"/>
          <w:szCs w:val="24"/>
        </w:rPr>
        <w:t>.</w:t>
      </w:r>
    </w:p>
    <w:p w14:paraId="681E28EC"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Обговорення чернетки з зацікавленими сторонами (ОСББ, будівельні фірми, депутати міської ради, громадськість).</w:t>
      </w:r>
    </w:p>
    <w:p w14:paraId="6814CEB5"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Доопрацювання, прийняття муніципальної програми та початок її роботи.</w:t>
      </w:r>
    </w:p>
    <w:p w14:paraId="014AE1F4"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Інформаційна кампанія з донесення розуміння можливостей та переваг муніципальної програми до вже існуючих ОСББ та до ініціативних груп зі створення ОСББ.</w:t>
      </w:r>
    </w:p>
    <w:p w14:paraId="30CB0C35"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Забезпечення навчань керівництва ОСББ, котрі на конкурсній основі планують отримати підтримку від муніципальної програми на енергоефективні заходи. </w:t>
      </w:r>
    </w:p>
    <w:p w14:paraId="78A01A6E" w14:textId="77777777" w:rsidR="00C82386" w:rsidRDefault="00E66F64">
      <w:pPr>
        <w:numPr>
          <w:ilvl w:val="0"/>
          <w:numId w:val="33"/>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Щорічний аналіз результатів реалізації програми та її корегування (за потреби).</w:t>
      </w:r>
    </w:p>
    <w:p w14:paraId="3122D6C0" w14:textId="77777777" w:rsidR="00C82386" w:rsidRDefault="00C82386">
      <w:pPr>
        <w:spacing w:after="0"/>
        <w:ind w:firstLine="851"/>
        <w:jc w:val="both"/>
        <w:rPr>
          <w:rFonts w:ascii="Times New Roman" w:eastAsia="Times New Roman" w:hAnsi="Times New Roman" w:cs="Times New Roman"/>
          <w:sz w:val="24"/>
          <w:szCs w:val="24"/>
        </w:rPr>
      </w:pPr>
    </w:p>
    <w:p w14:paraId="20954B75" w14:textId="77777777" w:rsidR="00C82386" w:rsidRPr="00D72CDF" w:rsidRDefault="00E66F64">
      <w:pPr>
        <w:pBdr>
          <w:top w:val="nil"/>
          <w:left w:val="nil"/>
          <w:bottom w:val="nil"/>
          <w:right w:val="nil"/>
          <w:between w:val="nil"/>
        </w:pBdr>
        <w:spacing w:after="0"/>
        <w:jc w:val="both"/>
        <w:rPr>
          <w:rFonts w:ascii="Times New Roman" w:eastAsia="Times New Roman" w:hAnsi="Times New Roman" w:cs="Times New Roman"/>
          <w:b/>
          <w:i/>
          <w:sz w:val="24"/>
          <w:szCs w:val="24"/>
        </w:rPr>
      </w:pPr>
      <w:r w:rsidRPr="00D72CDF">
        <w:rPr>
          <w:rFonts w:ascii="Times New Roman" w:eastAsia="Times New Roman" w:hAnsi="Times New Roman" w:cs="Times New Roman"/>
          <w:b/>
          <w:i/>
          <w:sz w:val="24"/>
          <w:szCs w:val="24"/>
        </w:rPr>
        <w:t>Завдання 2. Створення програми співфінансування Державного фонду Енергоефективності.</w:t>
      </w:r>
    </w:p>
    <w:p w14:paraId="1A7C9AD4" w14:textId="77777777" w:rsidR="00C82386" w:rsidRDefault="004341E7">
      <w:pPr>
        <w:spacing w:after="0"/>
        <w:ind w:firstLine="567"/>
        <w:jc w:val="both"/>
        <w:rPr>
          <w:rFonts w:ascii="Times New Roman" w:eastAsia="Times New Roman" w:hAnsi="Times New Roman" w:cs="Times New Roman"/>
          <w:sz w:val="24"/>
          <w:szCs w:val="24"/>
        </w:rPr>
      </w:pPr>
      <w:sdt>
        <w:sdtPr>
          <w:tag w:val="goog_rdk_84"/>
          <w:id w:val="1784769887"/>
        </w:sdtPr>
        <w:sdtEndPr/>
        <w:sdtContent/>
      </w:sdt>
      <w:r w:rsidR="00E66F64">
        <w:rPr>
          <w:rFonts w:ascii="Times New Roman" w:eastAsia="Times New Roman" w:hAnsi="Times New Roman" w:cs="Times New Roman"/>
          <w:sz w:val="24"/>
          <w:szCs w:val="24"/>
        </w:rPr>
        <w:t>Як уже зазначалося вище, наразі послуги Фонду енергоефективності не виглядають привабливими для ОСББ. Частково це пояснюється низькою спроможністю самих ОСББ. На вирішення цієї проблеми спрямоване Завдання 2. Крім того, існують наступні причини низького попиту на кошти Фонду:</w:t>
      </w:r>
    </w:p>
    <w:p w14:paraId="394C69E5"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Необхідність сплатити за окремий етап термомодернізації повну суму та очікувати не менше 2 місяців на надходження коштів Фонду.</w:t>
      </w:r>
    </w:p>
    <w:p w14:paraId="4387367B"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Складність процедур (два енергетичних аудити, проектно-кошторисна документація тощо).</w:t>
      </w:r>
    </w:p>
    <w:p w14:paraId="3541E0AE"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Низькі доходи власників квартир.</w:t>
      </w:r>
    </w:p>
    <w:p w14:paraId="3B553E71" w14:textId="77777777" w:rsidR="00C82386" w:rsidRDefault="00E66F64">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реалізації залучення коштів власників житла та Фонду у місті буде запроваджено муніципальну програму співфінансування заходів, що фінансуються з Фонду енергоефективності. Програма працюватиме за принципом поворотного (револьверного) фонду використовуючи діяльність існуючого револьверного фонду та надаватиме пільгові позики (3-5% річних) ОСББ на наступні цілі:</w:t>
      </w:r>
    </w:p>
    <w:p w14:paraId="5049369D"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енергетичних аудитів.</w:t>
      </w:r>
    </w:p>
    <w:p w14:paraId="23C0FC67"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Сплата 90% вартості комплексної модернізації будинку (10% сплачує ОСББ) на час очікування коштів Фонду.</w:t>
      </w:r>
    </w:p>
    <w:p w14:paraId="3D9FCD51" w14:textId="77777777" w:rsidR="00C82386" w:rsidRDefault="00E66F64">
      <w:pPr>
        <w:numPr>
          <w:ilvl w:val="0"/>
          <w:numId w:val="32"/>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 вартості комплексної термомодернізації будинку на період до 5 років.</w:t>
      </w:r>
    </w:p>
    <w:p w14:paraId="3694645C" w14:textId="77777777" w:rsidR="00C82386" w:rsidRDefault="00E66F64">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Деталі програми будуть розроблені після консультацій з представниками Фонду і ОСББ Житомирської МТГ. У рамках програми також буде передбачено інформаційна діяльність, спрямована на популяризацію звернення до програми.</w:t>
      </w:r>
    </w:p>
    <w:p w14:paraId="75DADF48" w14:textId="77777777" w:rsidR="00C82386" w:rsidRDefault="00E66F64">
      <w:pPr>
        <w:pBdr>
          <w:top w:val="nil"/>
          <w:left w:val="nil"/>
          <w:bottom w:val="nil"/>
          <w:right w:val="nil"/>
          <w:between w:val="nil"/>
        </w:pBdr>
        <w:spacing w:after="0"/>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Завдання 3. Підвищення обізнаності зацікавлених сторін.</w:t>
      </w:r>
    </w:p>
    <w:p w14:paraId="68B4C06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Перешкодою на шляху до підвищення енергоефективності у житловому секторі є низька обізнаність мешканців багатоквартирних будинків та керівництва ОСББ про можливості енергоефективних заходів та існуючі інструменти їх підтримки. Для ефективного використання перелічених інструментів підтримки енергоефективних заходів пропонується створити постійно діючий інформаційний центр, яким буде постійно проводитися інформаційно-просвітницька, навчальна робота з відповідними аудиторіями. Необхідна сума фінансування у кожному році буде передбачатися під час затвердження бюджету на відповідний період. </w:t>
      </w:r>
    </w:p>
    <w:p w14:paraId="7945CA9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Задачами інформаційної діяльності є донесення інформації про можливості та підтримку енергоефективних заходів у житлі з метою створення успішних прикладів.</w:t>
      </w:r>
    </w:p>
    <w:p w14:paraId="057AE6C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Орієнтовні напрямки інформаційної діяльність залежно від цільових аудиторій:</w:t>
      </w:r>
    </w:p>
    <w:p w14:paraId="56F3BF40" w14:textId="77777777" w:rsidR="00C82386" w:rsidRDefault="00E66F64">
      <w:pPr>
        <w:numPr>
          <w:ilvl w:val="0"/>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Керівництво та актив</w:t>
      </w:r>
      <w:r>
        <w:rPr>
          <w:rFonts w:ascii="Times New Roman" w:eastAsia="Times New Roman" w:hAnsi="Times New Roman" w:cs="Times New Roman"/>
          <w:sz w:val="24"/>
          <w:szCs w:val="24"/>
        </w:rPr>
        <w:t>ні мешканці</w:t>
      </w:r>
      <w:r>
        <w:rPr>
          <w:rFonts w:ascii="Times New Roman" w:eastAsia="Times New Roman" w:hAnsi="Times New Roman" w:cs="Times New Roman"/>
          <w:color w:val="000000"/>
          <w:sz w:val="24"/>
          <w:szCs w:val="24"/>
        </w:rPr>
        <w:t xml:space="preserve"> існуючих ОСББ:</w:t>
      </w:r>
    </w:p>
    <w:p w14:paraId="5FFCD01E"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Донесення інформації про існуючі міські програми підтримки енергоефективних заходів: зустрічі, поширення друкованих матеріалів, надання консультацій.</w:t>
      </w:r>
    </w:p>
    <w:p w14:paraId="00C8EEE3"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Отримання грантів Фонду енергетичної ефективності: детальне роз’яснення всіх етапів та деталей під час зустрічей; необхідність попереднього фінансування та способи долання пов’язаних труднощів використовуючи міські програми; візити до ОСББ у інших містах, що скористалися послугами Фонду.</w:t>
      </w:r>
    </w:p>
    <w:p w14:paraId="378121BA"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Виявлення найбільш зацікавлених ОСББ та їх індивідуальний супровід для отримання гранту Фонду з метою створення перших успішних прикладів у місті.</w:t>
      </w:r>
    </w:p>
    <w:p w14:paraId="6FF7BD4D" w14:textId="77777777" w:rsidR="00C82386" w:rsidRDefault="00E66F64">
      <w:pPr>
        <w:numPr>
          <w:ilvl w:val="0"/>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Ініціативні групи, що вивчають можливості створення ОСББ:</w:t>
      </w:r>
    </w:p>
    <w:p w14:paraId="0E262B63"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Зустрічі з представниками успішних ОСББ; огляд інструментів підтримки; надання правових консультацій; та участь у зборах зі створення ОСББ у будинках.</w:t>
      </w:r>
    </w:p>
    <w:p w14:paraId="695B248B"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Надання правових консультацій на всіх етапах створення ОСББ.</w:t>
      </w:r>
    </w:p>
    <w:p w14:paraId="6895CF72" w14:textId="77777777" w:rsidR="00C82386" w:rsidRDefault="00E66F64">
      <w:pPr>
        <w:numPr>
          <w:ilvl w:val="1"/>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навчальних семінарів.</w:t>
      </w:r>
    </w:p>
    <w:p w14:paraId="56443848" w14:textId="77777777" w:rsidR="00C82386" w:rsidRDefault="00E66F64">
      <w:pPr>
        <w:numPr>
          <w:ilvl w:val="0"/>
          <w:numId w:val="34"/>
        </w:numPr>
        <w:pBdr>
          <w:top w:val="nil"/>
          <w:left w:val="nil"/>
          <w:bottom w:val="nil"/>
          <w:right w:val="nil"/>
          <w:between w:val="nil"/>
        </w:pBdr>
        <w:spacing w:after="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Мешканці багатоквартирних будинків: широка інформаційна кампанія про необхідність створення ОСББ та можливості, які вони відкривають.</w:t>
      </w:r>
    </w:p>
    <w:p w14:paraId="12300344" w14:textId="77777777" w:rsidR="00C82386" w:rsidRDefault="00E66F64" w:rsidP="007561B9">
      <w:pPr>
        <w:keepNext/>
        <w:keepLines/>
        <w:numPr>
          <w:ilvl w:val="2"/>
          <w:numId w:val="79"/>
        </w:numPr>
        <w:pBdr>
          <w:top w:val="nil"/>
          <w:left w:val="nil"/>
          <w:bottom w:val="nil"/>
          <w:right w:val="nil"/>
          <w:between w:val="nil"/>
        </w:pBdr>
        <w:spacing w:before="200" w:after="0"/>
        <w:ind w:left="709" w:hanging="709"/>
        <w:rPr>
          <w:rFonts w:ascii="Times New Roman" w:eastAsia="Times New Roman" w:hAnsi="Times New Roman" w:cs="Times New Roman"/>
          <w:b/>
          <w:color w:val="000000"/>
          <w:sz w:val="24"/>
          <w:szCs w:val="24"/>
        </w:rPr>
      </w:pPr>
      <w:bookmarkStart w:id="67" w:name="_heading=h.25b2l0r" w:colFirst="0" w:colLast="0"/>
      <w:bookmarkEnd w:id="67"/>
      <w:r>
        <w:rPr>
          <w:rFonts w:ascii="Times New Roman" w:eastAsia="Times New Roman" w:hAnsi="Times New Roman" w:cs="Times New Roman"/>
          <w:b/>
          <w:color w:val="000000"/>
          <w:sz w:val="24"/>
          <w:szCs w:val="24"/>
        </w:rPr>
        <w:t>Заходи, що заплановані до виконання для будівель третинного сектору</w:t>
      </w:r>
    </w:p>
    <w:p w14:paraId="56FA0AC3"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Оскільки муніципальна влада не має прямих важелів впливу на державні установи, які мають будівлі і обладнання на Житомирської МТГ, на  комерційні структури (торгівлі та надання послуг), для цілей реалізації ПДСЕРК можуть бути використані методи непрямого впливу: проведення інформаційних кампаній, і співпраця в організації публічних заходів для населення. </w:t>
      </w:r>
    </w:p>
    <w:p w14:paraId="517BCA7B"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Хорошим приводом для проведення подібних заходів можуть стати Дні </w:t>
      </w:r>
      <w:r>
        <w:rPr>
          <w:rFonts w:ascii="Times New Roman" w:eastAsia="Times New Roman" w:hAnsi="Times New Roman" w:cs="Times New Roman"/>
          <w:sz w:val="24"/>
          <w:szCs w:val="24"/>
        </w:rPr>
        <w:t>с</w:t>
      </w:r>
      <w:r>
        <w:rPr>
          <w:rFonts w:ascii="Times New Roman" w:eastAsia="Times New Roman" w:hAnsi="Times New Roman" w:cs="Times New Roman"/>
          <w:color w:val="000000"/>
          <w:sz w:val="24"/>
          <w:szCs w:val="24"/>
        </w:rPr>
        <w:t xml:space="preserve">талої </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нергії, до проведення яких традиційно приєднуються виконавчі структури Житомирської міської ради в рамках виконання своїх зобов’язань по Угоді мерів.</w:t>
      </w:r>
    </w:p>
    <w:p w14:paraId="1513C340" w14:textId="77777777" w:rsidR="00C82386" w:rsidRDefault="00E66F64">
      <w:pPr>
        <w:pBdr>
          <w:top w:val="nil"/>
          <w:left w:val="nil"/>
          <w:bottom w:val="nil"/>
          <w:right w:val="nil"/>
          <w:between w:val="nil"/>
        </w:pBdr>
        <w:spacing w:after="0"/>
        <w:ind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Заходи які можуть мати вплив на установи і організації третинного сектору:</w:t>
      </w:r>
    </w:p>
    <w:p w14:paraId="32363DAD" w14:textId="77777777" w:rsidR="00C82386" w:rsidRDefault="00E66F64">
      <w:pPr>
        <w:numPr>
          <w:ilvl w:val="0"/>
          <w:numId w:val="35"/>
        </w:numPr>
        <w:pBdr>
          <w:top w:val="nil"/>
          <w:left w:val="nil"/>
          <w:bottom w:val="nil"/>
          <w:right w:val="nil"/>
          <w:between w:val="nil"/>
        </w:pBdr>
        <w:spacing w:after="0"/>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виставок-ярмарок енергоефективних технологій і обладнання;</w:t>
      </w:r>
    </w:p>
    <w:p w14:paraId="65E8DE00" w14:textId="77777777" w:rsidR="00C82386" w:rsidRDefault="00E66F64">
      <w:pPr>
        <w:numPr>
          <w:ilvl w:val="0"/>
          <w:numId w:val="35"/>
        </w:numPr>
        <w:pBdr>
          <w:top w:val="nil"/>
          <w:left w:val="nil"/>
          <w:bottom w:val="nil"/>
          <w:right w:val="nil"/>
          <w:between w:val="nil"/>
        </w:pBdr>
        <w:spacing w:after="0"/>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круглі столи і </w:t>
      </w:r>
      <w:r>
        <w:rPr>
          <w:rFonts w:ascii="Times New Roman" w:eastAsia="Times New Roman" w:hAnsi="Times New Roman" w:cs="Times New Roman"/>
          <w:sz w:val="24"/>
          <w:szCs w:val="24"/>
        </w:rPr>
        <w:t>б</w:t>
      </w:r>
      <w:r>
        <w:rPr>
          <w:rFonts w:ascii="Times New Roman" w:eastAsia="Times New Roman" w:hAnsi="Times New Roman" w:cs="Times New Roman"/>
          <w:color w:val="000000"/>
          <w:sz w:val="24"/>
          <w:szCs w:val="24"/>
        </w:rPr>
        <w:t>ізнес-сніданки з представниками комерційних структур;</w:t>
      </w:r>
    </w:p>
    <w:p w14:paraId="3199A322" w14:textId="77777777" w:rsidR="00C82386" w:rsidRDefault="00E66F64">
      <w:pPr>
        <w:numPr>
          <w:ilvl w:val="0"/>
          <w:numId w:val="35"/>
        </w:numPr>
        <w:pBdr>
          <w:top w:val="nil"/>
          <w:left w:val="nil"/>
          <w:bottom w:val="nil"/>
          <w:right w:val="nil"/>
          <w:between w:val="nil"/>
        </w:pBdr>
        <w:spacing w:after="0"/>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надання консультацій енергоменеджером громади представникам комерційних структур та надавачам послуг з питань енергоефективності;</w:t>
      </w:r>
    </w:p>
    <w:p w14:paraId="6E140FDD" w14:textId="77777777" w:rsidR="00C82386" w:rsidRDefault="00E66F64">
      <w:pPr>
        <w:numPr>
          <w:ilvl w:val="0"/>
          <w:numId w:val="35"/>
        </w:numPr>
        <w:pBdr>
          <w:top w:val="nil"/>
          <w:left w:val="nil"/>
          <w:bottom w:val="nil"/>
          <w:right w:val="nil"/>
          <w:between w:val="nil"/>
        </w:pBdr>
        <w:ind w:left="425" w:hanging="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розповсюдження брошур, плакатів та іншої </w:t>
      </w:r>
      <w:r>
        <w:rPr>
          <w:rFonts w:ascii="Times New Roman" w:eastAsia="Times New Roman" w:hAnsi="Times New Roman" w:cs="Times New Roman"/>
          <w:sz w:val="24"/>
          <w:szCs w:val="24"/>
        </w:rPr>
        <w:t>промоційної</w:t>
      </w:r>
      <w:r>
        <w:rPr>
          <w:rFonts w:ascii="Times New Roman" w:eastAsia="Times New Roman" w:hAnsi="Times New Roman" w:cs="Times New Roman"/>
          <w:color w:val="000000"/>
          <w:sz w:val="24"/>
          <w:szCs w:val="24"/>
        </w:rPr>
        <w:t xml:space="preserve"> продукції на тему енергоефективності і раціонального використання енергії.</w:t>
      </w:r>
    </w:p>
    <w:p w14:paraId="12B17A30" w14:textId="77777777" w:rsidR="00C82386" w:rsidRDefault="00E66F64" w:rsidP="00DF01CD">
      <w:pPr>
        <w:keepNext/>
        <w:keepLines/>
        <w:numPr>
          <w:ilvl w:val="2"/>
          <w:numId w:val="79"/>
        </w:numPr>
        <w:pBdr>
          <w:top w:val="nil"/>
          <w:left w:val="nil"/>
          <w:bottom w:val="nil"/>
          <w:right w:val="nil"/>
          <w:between w:val="nil"/>
        </w:pBdr>
        <w:spacing w:before="200" w:after="0" w:line="271" w:lineRule="auto"/>
        <w:ind w:left="709" w:hanging="709"/>
        <w:rPr>
          <w:rFonts w:ascii="Times New Roman" w:eastAsia="Times New Roman" w:hAnsi="Times New Roman" w:cs="Times New Roman"/>
          <w:b/>
          <w:color w:val="000000"/>
          <w:sz w:val="24"/>
          <w:szCs w:val="24"/>
        </w:rPr>
      </w:pPr>
      <w:bookmarkStart w:id="68" w:name="_heading=h.kgcv8k" w:colFirst="0" w:colLast="0"/>
      <w:bookmarkEnd w:id="68"/>
      <w:r>
        <w:rPr>
          <w:rFonts w:ascii="Times New Roman" w:eastAsia="Times New Roman" w:hAnsi="Times New Roman" w:cs="Times New Roman"/>
          <w:b/>
          <w:color w:val="000000"/>
          <w:sz w:val="24"/>
          <w:szCs w:val="24"/>
        </w:rPr>
        <w:t>Заходи, що заплановані до виконання в секторі транспорту</w:t>
      </w:r>
    </w:p>
    <w:p w14:paraId="3DA9424E" w14:textId="77777777" w:rsidR="00C82386" w:rsidRDefault="00E66F64" w:rsidP="00DF01CD">
      <w:pPr>
        <w:pBdr>
          <w:top w:val="nil"/>
          <w:left w:val="nil"/>
          <w:bottom w:val="nil"/>
          <w:right w:val="nil"/>
          <w:between w:val="nil"/>
        </w:pBdr>
        <w:spacing w:after="0" w:line="271"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Останнім часом існує тенденція до значного збільшення кількості автомобілів. Тому треба бути готовими до того, що кількість автотранспорту і надалі буде збільшуватися до насичення потреби користувачів. Але навіть враховуючи таку тенденцію можна спланувати заходи, які допоможуть зменшити кількість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відносно об’єму викидів, що був би очікуваним, якщо не виконувати ніяких дій.</w:t>
      </w:r>
    </w:p>
    <w:p w14:paraId="21616D06" w14:textId="77777777" w:rsidR="00C82386" w:rsidRDefault="00E66F64" w:rsidP="00DF01CD">
      <w:pPr>
        <w:pBdr>
          <w:top w:val="nil"/>
          <w:left w:val="nil"/>
          <w:bottom w:val="nil"/>
          <w:right w:val="nil"/>
          <w:between w:val="nil"/>
        </w:pBdr>
        <w:spacing w:after="0" w:line="271" w:lineRule="auto"/>
        <w:ind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Фактори, які сприяють зменшенню викидів СО</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w:t>
      </w:r>
    </w:p>
    <w:p w14:paraId="31A04BFB" w14:textId="77777777" w:rsidR="00C82386" w:rsidRDefault="00E66F64" w:rsidP="00DF01CD">
      <w:pPr>
        <w:numPr>
          <w:ilvl w:val="0"/>
          <w:numId w:val="38"/>
        </w:numPr>
        <w:pBdr>
          <w:top w:val="nil"/>
          <w:left w:val="nil"/>
          <w:bottom w:val="nil"/>
          <w:right w:val="nil"/>
          <w:between w:val="nil"/>
        </w:pBdr>
        <w:spacing w:after="0"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оновлення парку автотранспорту;</w:t>
      </w:r>
    </w:p>
    <w:p w14:paraId="6D8FBCFD" w14:textId="77777777" w:rsidR="00C82386" w:rsidRDefault="00E66F64" w:rsidP="00DF01CD">
      <w:pPr>
        <w:numPr>
          <w:ilvl w:val="0"/>
          <w:numId w:val="38"/>
        </w:numPr>
        <w:pBdr>
          <w:top w:val="nil"/>
          <w:left w:val="nil"/>
          <w:bottom w:val="nil"/>
          <w:right w:val="nil"/>
          <w:between w:val="nil"/>
        </w:pBdr>
        <w:spacing w:after="0"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переведення приватного транспорту на зріджений газ (пропан-бутан) та стиснений газ (метан);</w:t>
      </w:r>
    </w:p>
    <w:p w14:paraId="3E5229D3" w14:textId="77777777" w:rsidR="00C82386" w:rsidRDefault="00E66F64" w:rsidP="00DF01CD">
      <w:pPr>
        <w:numPr>
          <w:ilvl w:val="0"/>
          <w:numId w:val="38"/>
        </w:numPr>
        <w:pBdr>
          <w:top w:val="nil"/>
          <w:left w:val="nil"/>
          <w:bottom w:val="nil"/>
          <w:right w:val="nil"/>
          <w:between w:val="nil"/>
        </w:pBdr>
        <w:spacing w:after="0"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оптимізація схем руху громадського транспорту, обмеження доступу приватного та вантажного транспорту до центральної частини міста;</w:t>
      </w:r>
    </w:p>
    <w:p w14:paraId="711B5D7D" w14:textId="77777777" w:rsidR="00C82386" w:rsidRDefault="00E66F64" w:rsidP="00DF01CD">
      <w:pPr>
        <w:numPr>
          <w:ilvl w:val="0"/>
          <w:numId w:val="38"/>
        </w:numPr>
        <w:pBdr>
          <w:top w:val="nil"/>
          <w:left w:val="nil"/>
          <w:bottom w:val="nil"/>
          <w:right w:val="nil"/>
          <w:between w:val="nil"/>
        </w:pBdr>
        <w:spacing w:after="0"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розвиток велосипедної інфраструктури міста, влаштування велосмуг та</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велодоріжок;</w:t>
      </w:r>
    </w:p>
    <w:p w14:paraId="41DE7C72" w14:textId="77777777" w:rsidR="00C82386" w:rsidRDefault="00E66F64" w:rsidP="00DF01CD">
      <w:pPr>
        <w:numPr>
          <w:ilvl w:val="0"/>
          <w:numId w:val="38"/>
        </w:numPr>
        <w:pBdr>
          <w:top w:val="nil"/>
          <w:left w:val="nil"/>
          <w:bottom w:val="nil"/>
          <w:right w:val="nil"/>
          <w:between w:val="nil"/>
        </w:pBdr>
        <w:spacing w:after="0"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популяризація велосипедного руху,</w:t>
      </w:r>
    </w:p>
    <w:p w14:paraId="0F58FAF5" w14:textId="77777777" w:rsidR="00C82386" w:rsidRDefault="00E66F64" w:rsidP="00DF01CD">
      <w:pPr>
        <w:numPr>
          <w:ilvl w:val="0"/>
          <w:numId w:val="38"/>
        </w:numPr>
        <w:pBdr>
          <w:top w:val="nil"/>
          <w:left w:val="nil"/>
          <w:bottom w:val="nil"/>
          <w:right w:val="nil"/>
          <w:between w:val="nil"/>
        </w:pBdr>
        <w:spacing w:line="271" w:lineRule="auto"/>
        <w:ind w:left="709" w:hanging="2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розвиток пішохідної інфраструктури, створення «зелених» зон, покращення умов доступу для маломобільних груп населення.</w:t>
      </w:r>
    </w:p>
    <w:p w14:paraId="63A03ECD" w14:textId="77777777" w:rsidR="00C82386" w:rsidRDefault="00E66F64" w:rsidP="00DF01CD">
      <w:pPr>
        <w:keepNext/>
        <w:keepLines/>
        <w:numPr>
          <w:ilvl w:val="2"/>
          <w:numId w:val="79"/>
        </w:numPr>
        <w:pBdr>
          <w:top w:val="nil"/>
          <w:left w:val="nil"/>
          <w:bottom w:val="nil"/>
          <w:right w:val="nil"/>
          <w:between w:val="nil"/>
        </w:pBdr>
        <w:spacing w:before="200" w:after="0" w:line="271" w:lineRule="auto"/>
        <w:ind w:left="709" w:hanging="709"/>
        <w:rPr>
          <w:rFonts w:ascii="Times New Roman" w:eastAsia="Times New Roman" w:hAnsi="Times New Roman" w:cs="Times New Roman"/>
          <w:b/>
          <w:color w:val="000000"/>
          <w:sz w:val="24"/>
          <w:szCs w:val="24"/>
        </w:rPr>
      </w:pPr>
      <w:bookmarkStart w:id="69" w:name="_heading=h.34g0dwd" w:colFirst="0" w:colLast="0"/>
      <w:bookmarkEnd w:id="69"/>
      <w:r>
        <w:rPr>
          <w:rFonts w:ascii="Times New Roman" w:eastAsia="Times New Roman" w:hAnsi="Times New Roman" w:cs="Times New Roman"/>
          <w:b/>
          <w:color w:val="000000"/>
          <w:sz w:val="24"/>
          <w:szCs w:val="24"/>
        </w:rPr>
        <w:t>Заходи, що заплановані до виконання по розділу місцевого виробництва електроенергії</w:t>
      </w:r>
    </w:p>
    <w:p w14:paraId="15962859" w14:textId="77777777" w:rsidR="00C82386" w:rsidRDefault="00E66F64" w:rsidP="00DF01CD">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вирішення завдань щодо збільшення частки виробництва енергії з відновлюваних джерел та збільшення частки споживання з ВДЕ пропонується на території громади продовжувати підтримку будівництва сонячних станцій як приватних, так і великих для промислового виробництва електроенергії.</w:t>
      </w:r>
    </w:p>
    <w:p w14:paraId="3C96AB0F" w14:textId="77777777" w:rsidR="00C82386" w:rsidRDefault="00E66F64" w:rsidP="00DF01CD">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Одночасно з будівництвом потужностей сонячних станцій необхідно створювати мережеві акумулюючих потужності для зберігання електроенергії. Існуючі на даний момент технології акумулювання електроенергії значною мірою використовують можливості гідроелектростанцій створювати резерв гідроресурсу протягом денних та нічних годин, який використовується для генерації протягом ранкового та вечірнього піків використання електроенергії. У межах Житомирської громади ця функція може бути реалізована через будівництво 4-х гідроелектростанцій на існуючих гідротехнічних спорудах.</w:t>
      </w:r>
    </w:p>
    <w:p w14:paraId="7B2D3849" w14:textId="77777777" w:rsidR="00C82386" w:rsidRDefault="00E66F64" w:rsidP="00DF01CD">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умовах повномасштабного воєнного вторгнення росії в Україну через ракетні обстріли об’єктів енергетичної інфраструктури (великі генеруючі потужності та ключові підстанції) створюється велика небезпека порушення роботи енергетичної системи, що призводить до масових аварійних та планових відключень електроенергії через брак згенерованих об’ємів електроенергії та пошкоджень мереж транспортування. Тому виникає необхідність включати в перелік першочергових заходів створення локальних малих джерел резервної генерації. Найчастіше це забезпечується користувачами шляхом закупівлі та використання генераторів на рідкому та зрідженому паливі різної потужності. Але варто відмітити, що такий захід є тимчасовою рішенням і в подальшому в умовах мирного часу не буде розглядатися як постійне джерело генерації електроенергії.</w:t>
      </w:r>
    </w:p>
    <w:p w14:paraId="10D5408F" w14:textId="77777777" w:rsidR="00C82386" w:rsidRDefault="00E66F64" w:rsidP="00DF01CD">
      <w:pPr>
        <w:spacing w:after="0" w:line="271"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даних заходів розподіленої генерації електроенергії дозволить поступово забезпечити на рівні громади необхідну енергетичну безпеку, збільшить стійкість енергетичної системи, зменшить ймовірність аварійних та планових відключень.</w:t>
      </w:r>
    </w:p>
    <w:p w14:paraId="601A6120" w14:textId="77777777" w:rsidR="00C82386" w:rsidRDefault="00E66F64" w:rsidP="00DF01CD">
      <w:pPr>
        <w:keepNext/>
        <w:keepLines/>
        <w:numPr>
          <w:ilvl w:val="2"/>
          <w:numId w:val="79"/>
        </w:numPr>
        <w:pBdr>
          <w:top w:val="nil"/>
          <w:left w:val="nil"/>
          <w:bottom w:val="nil"/>
          <w:right w:val="nil"/>
          <w:between w:val="nil"/>
        </w:pBdr>
        <w:spacing w:before="200" w:after="0" w:line="271" w:lineRule="auto"/>
        <w:ind w:left="709" w:hanging="709"/>
        <w:rPr>
          <w:rFonts w:ascii="Times New Roman" w:eastAsia="Times New Roman" w:hAnsi="Times New Roman" w:cs="Times New Roman"/>
          <w:b/>
          <w:color w:val="000000"/>
          <w:sz w:val="24"/>
          <w:szCs w:val="24"/>
        </w:rPr>
      </w:pPr>
      <w:bookmarkStart w:id="70" w:name="_heading=h.1jlao46" w:colFirst="0" w:colLast="0"/>
      <w:bookmarkEnd w:id="70"/>
      <w:r>
        <w:rPr>
          <w:rFonts w:ascii="Times New Roman" w:eastAsia="Times New Roman" w:hAnsi="Times New Roman" w:cs="Times New Roman"/>
          <w:b/>
          <w:color w:val="000000"/>
          <w:sz w:val="24"/>
          <w:szCs w:val="24"/>
        </w:rPr>
        <w:t>Заходи, що заплановані до виконання по розділу місцевого виробництва тепла/холоду</w:t>
      </w:r>
    </w:p>
    <w:p w14:paraId="6F0CE4C9" w14:textId="77777777" w:rsidR="00C82386" w:rsidRDefault="00E66F64" w:rsidP="00DF01CD">
      <w:pPr>
        <w:spacing w:after="0" w:line="271"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заходів по реконструкції і модернізації теплогенеруючих потужностей і трубопроводів тепломережі, покращення енергоменеджменту виробництва і розподілу тепла створюють умови для зменшення питомих втрати теплопостачання і зменшення коефіцієнту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для спожитого тепла.</w:t>
      </w:r>
    </w:p>
    <w:p w14:paraId="5CB1DCE4" w14:textId="77777777" w:rsidR="00C82386" w:rsidRDefault="00E66F64" w:rsidP="00DF01CD">
      <w:pPr>
        <w:spacing w:after="0" w:line="271"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Основними заходами у сфері теплопостачання є:</w:t>
      </w:r>
    </w:p>
    <w:p w14:paraId="2E7409FF"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вдосконалення системи енергоменеджменту на підприємстві-теплопостачальника;</w:t>
      </w:r>
    </w:p>
    <w:p w14:paraId="34B03615"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автоматизація роботи котелень – встановлення приладів обліку тепла з віддаленим зчитуванням та модемів для передачі даних, автоматизація роботи електрообладнання та приладів завантаження палива;</w:t>
      </w:r>
    </w:p>
    <w:p w14:paraId="6717912D"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систем опалення із реконструкцією котелен</w:t>
      </w:r>
      <w:r w:rsidR="000323DA">
        <w:rPr>
          <w:rFonts w:ascii="Times New Roman" w:eastAsia="Times New Roman" w:hAnsi="Times New Roman" w:cs="Times New Roman"/>
          <w:color w:val="000000"/>
          <w:sz w:val="24"/>
          <w:szCs w:val="24"/>
        </w:rPr>
        <w:t>ь</w:t>
      </w:r>
      <w:r>
        <w:rPr>
          <w:rFonts w:ascii="Times New Roman" w:eastAsia="Times New Roman" w:hAnsi="Times New Roman" w:cs="Times New Roman"/>
          <w:color w:val="000000"/>
          <w:sz w:val="24"/>
          <w:szCs w:val="24"/>
        </w:rPr>
        <w:t xml:space="preserve"> та переведенням на альтернативні види палива (дрова, щепа, пелети, деревні відходи господарювання);</w:t>
      </w:r>
    </w:p>
    <w:p w14:paraId="0E296B7A"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котелен</w:t>
      </w:r>
      <w:r w:rsidR="000323DA">
        <w:rPr>
          <w:rFonts w:ascii="Times New Roman" w:eastAsia="Times New Roman" w:hAnsi="Times New Roman" w:cs="Times New Roman"/>
          <w:color w:val="000000"/>
          <w:sz w:val="24"/>
          <w:szCs w:val="24"/>
        </w:rPr>
        <w:t>ь</w:t>
      </w:r>
      <w:r>
        <w:rPr>
          <w:rFonts w:ascii="Times New Roman" w:eastAsia="Times New Roman" w:hAnsi="Times New Roman" w:cs="Times New Roman"/>
          <w:color w:val="000000"/>
          <w:sz w:val="24"/>
          <w:szCs w:val="24"/>
        </w:rPr>
        <w:t xml:space="preserve"> із встановленням енергетичного комплексу з автоматичним спалюванням сировини;</w:t>
      </w:r>
    </w:p>
    <w:p w14:paraId="660CF206"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модернізація існуючих газових котелен</w:t>
      </w:r>
      <w:r w:rsidR="000323DA">
        <w:rPr>
          <w:rFonts w:ascii="Times New Roman" w:eastAsia="Times New Roman" w:hAnsi="Times New Roman" w:cs="Times New Roman"/>
          <w:color w:val="000000"/>
          <w:sz w:val="24"/>
          <w:szCs w:val="24"/>
        </w:rPr>
        <w:t>ь</w:t>
      </w:r>
      <w:r>
        <w:rPr>
          <w:rFonts w:ascii="Times New Roman" w:eastAsia="Times New Roman" w:hAnsi="Times New Roman" w:cs="Times New Roman"/>
          <w:color w:val="000000"/>
          <w:sz w:val="24"/>
          <w:szCs w:val="24"/>
        </w:rPr>
        <w:t xml:space="preserve"> з встановленням нових котлів з кращ</w:t>
      </w:r>
      <w:r w:rsidR="000323DA">
        <w:rPr>
          <w:rFonts w:ascii="Times New Roman" w:eastAsia="Times New Roman" w:hAnsi="Times New Roman" w:cs="Times New Roman"/>
          <w:color w:val="000000"/>
          <w:sz w:val="24"/>
          <w:szCs w:val="24"/>
        </w:rPr>
        <w:t>и</w:t>
      </w:r>
      <w:r>
        <w:rPr>
          <w:rFonts w:ascii="Times New Roman" w:eastAsia="Times New Roman" w:hAnsi="Times New Roman" w:cs="Times New Roman"/>
          <w:color w:val="000000"/>
          <w:sz w:val="24"/>
          <w:szCs w:val="24"/>
        </w:rPr>
        <w:t>м ККД;</w:t>
      </w:r>
    </w:p>
    <w:p w14:paraId="19ADADB1"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капітальний ремонт тепломереж із використанням попередньо ізольованих трубопроводів;</w:t>
      </w:r>
    </w:p>
    <w:p w14:paraId="36ED2D27" w14:textId="77777777" w:rsidR="00C82386" w:rsidRDefault="00E66F64" w:rsidP="00DF01CD">
      <w:pPr>
        <w:numPr>
          <w:ilvl w:val="0"/>
          <w:numId w:val="39"/>
        </w:numPr>
        <w:pBdr>
          <w:top w:val="nil"/>
          <w:left w:val="nil"/>
          <w:bottom w:val="nil"/>
          <w:right w:val="nil"/>
          <w:between w:val="nil"/>
        </w:pBdr>
        <w:spacing w:after="0"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дистанційного модемного зв’язку з тепловими вузлами для контролю та регулюванням подачі теплової енергії;</w:t>
      </w:r>
    </w:p>
    <w:p w14:paraId="43EA0071" w14:textId="77777777" w:rsidR="00C82386" w:rsidRDefault="00E66F64" w:rsidP="00DF01CD">
      <w:pPr>
        <w:numPr>
          <w:ilvl w:val="0"/>
          <w:numId w:val="39"/>
        </w:numPr>
        <w:pBdr>
          <w:top w:val="nil"/>
          <w:left w:val="nil"/>
          <w:bottom w:val="nil"/>
          <w:right w:val="nil"/>
          <w:between w:val="nil"/>
        </w:pBdr>
        <w:spacing w:line="271" w:lineRule="auto"/>
        <w:ind w:left="426" w:hanging="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оптимізація теплової мережі з влаштуванням нових блочних котелен</w:t>
      </w:r>
      <w:r w:rsidR="00A93F5E">
        <w:rPr>
          <w:rFonts w:ascii="Times New Roman" w:eastAsia="Times New Roman" w:hAnsi="Times New Roman" w:cs="Times New Roman"/>
          <w:color w:val="000000"/>
          <w:sz w:val="24"/>
          <w:szCs w:val="24"/>
        </w:rPr>
        <w:t>ь</w:t>
      </w:r>
      <w:r>
        <w:rPr>
          <w:rFonts w:ascii="Times New Roman" w:eastAsia="Times New Roman" w:hAnsi="Times New Roman" w:cs="Times New Roman"/>
          <w:color w:val="000000"/>
          <w:sz w:val="24"/>
          <w:szCs w:val="24"/>
        </w:rPr>
        <w:t>, виконанням капітального ремонту ділянок тепломережі і перепідключенням користувачів відповідно до нової схеми.</w:t>
      </w:r>
    </w:p>
    <w:p w14:paraId="031FCFA3" w14:textId="77777777" w:rsidR="00C82386" w:rsidRPr="007561B9" w:rsidRDefault="00E66F64" w:rsidP="00DF01CD">
      <w:pPr>
        <w:pStyle w:val="a5"/>
        <w:keepNext/>
        <w:keepLines/>
        <w:numPr>
          <w:ilvl w:val="2"/>
          <w:numId w:val="79"/>
        </w:numPr>
        <w:pBdr>
          <w:top w:val="nil"/>
          <w:left w:val="nil"/>
          <w:bottom w:val="nil"/>
          <w:right w:val="nil"/>
          <w:between w:val="nil"/>
        </w:pBdr>
        <w:spacing w:before="200" w:after="0" w:line="271" w:lineRule="auto"/>
        <w:rPr>
          <w:rFonts w:ascii="Times New Roman" w:eastAsia="Times New Roman" w:hAnsi="Times New Roman" w:cs="Times New Roman"/>
          <w:b/>
          <w:color w:val="000000"/>
          <w:sz w:val="24"/>
          <w:szCs w:val="24"/>
        </w:rPr>
      </w:pPr>
      <w:bookmarkStart w:id="71" w:name="_heading=h.43ky6rz" w:colFirst="0" w:colLast="0"/>
      <w:bookmarkEnd w:id="71"/>
      <w:r w:rsidRPr="007561B9">
        <w:rPr>
          <w:rFonts w:ascii="Times New Roman" w:eastAsia="Times New Roman" w:hAnsi="Times New Roman" w:cs="Times New Roman"/>
          <w:b/>
          <w:color w:val="000000"/>
          <w:sz w:val="24"/>
          <w:szCs w:val="24"/>
        </w:rPr>
        <w:t xml:space="preserve">Заходи, що заплановані до виконання по розділу </w:t>
      </w:r>
      <w:r w:rsidR="000323DA" w:rsidRPr="007561B9">
        <w:rPr>
          <w:rFonts w:ascii="Times New Roman" w:eastAsia="Times New Roman" w:hAnsi="Times New Roman" w:cs="Times New Roman"/>
          <w:b/>
          <w:color w:val="000000"/>
          <w:sz w:val="24"/>
          <w:szCs w:val="24"/>
        </w:rPr>
        <w:t>«</w:t>
      </w:r>
      <w:r w:rsidRPr="007561B9">
        <w:rPr>
          <w:rFonts w:ascii="Times New Roman" w:eastAsia="Times New Roman" w:hAnsi="Times New Roman" w:cs="Times New Roman"/>
          <w:b/>
          <w:color w:val="000000"/>
          <w:sz w:val="24"/>
          <w:szCs w:val="24"/>
        </w:rPr>
        <w:t>Управління відходами</w:t>
      </w:r>
      <w:r w:rsidR="000323DA" w:rsidRPr="007561B9">
        <w:rPr>
          <w:rFonts w:ascii="Times New Roman" w:eastAsia="Times New Roman" w:hAnsi="Times New Roman" w:cs="Times New Roman"/>
          <w:b/>
          <w:color w:val="000000"/>
          <w:sz w:val="24"/>
          <w:szCs w:val="24"/>
        </w:rPr>
        <w:t>»</w:t>
      </w:r>
    </w:p>
    <w:p w14:paraId="766D58DC" w14:textId="77777777" w:rsidR="00C82386" w:rsidRPr="00C23D62" w:rsidRDefault="000323DA" w:rsidP="00DF01CD">
      <w:pPr>
        <w:spacing w:after="0" w:line="271" w:lineRule="auto"/>
        <w:ind w:firstLine="708"/>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В Житомирі з 1957 року експлуатується полігон твердих побутових відходів (вул. Андріївська, 29). Щорічний обсяг захоронення відходів складає близько 570-775 тис м</w:t>
      </w:r>
      <w:r w:rsidR="008E3FE8" w:rsidRPr="00C23D62">
        <w:rPr>
          <w:rFonts w:ascii="Times New Roman" w:eastAsia="Times New Roman" w:hAnsi="Times New Roman" w:cs="Times New Roman"/>
          <w:sz w:val="24"/>
          <w:szCs w:val="24"/>
          <w:vertAlign w:val="superscript"/>
        </w:rPr>
        <w:t>3</w:t>
      </w:r>
      <w:r w:rsidRPr="00C23D62">
        <w:rPr>
          <w:rFonts w:ascii="Times New Roman" w:eastAsia="Times New Roman" w:hAnsi="Times New Roman" w:cs="Times New Roman"/>
          <w:sz w:val="24"/>
          <w:szCs w:val="24"/>
        </w:rPr>
        <w:t xml:space="preserve"> на рік. Загальний обсяг видалених відходів протягом всього періоду експлуатації - 3384,8 тис</w:t>
      </w:r>
      <w:r w:rsidR="008E3FE8" w:rsidRPr="00C23D62">
        <w:rPr>
          <w:rFonts w:ascii="Times New Roman" w:eastAsia="Times New Roman" w:hAnsi="Times New Roman" w:cs="Times New Roman"/>
          <w:sz w:val="24"/>
          <w:szCs w:val="24"/>
        </w:rPr>
        <w:t> </w:t>
      </w:r>
      <w:r w:rsidRPr="00C23D62">
        <w:rPr>
          <w:rFonts w:ascii="Times New Roman" w:eastAsia="Times New Roman" w:hAnsi="Times New Roman" w:cs="Times New Roman"/>
          <w:sz w:val="24"/>
          <w:szCs w:val="24"/>
        </w:rPr>
        <w:t>т (17276, 8 тис м</w:t>
      </w:r>
      <w:r w:rsidR="008E3FE8" w:rsidRPr="00C23D62">
        <w:rPr>
          <w:rFonts w:ascii="Times New Roman" w:eastAsia="Times New Roman" w:hAnsi="Times New Roman" w:cs="Times New Roman"/>
          <w:sz w:val="24"/>
          <w:szCs w:val="24"/>
          <w:vertAlign w:val="superscript"/>
        </w:rPr>
        <w:t>3</w:t>
      </w:r>
      <w:r w:rsidRPr="00C23D62">
        <w:rPr>
          <w:rFonts w:ascii="Times New Roman" w:eastAsia="Times New Roman" w:hAnsi="Times New Roman" w:cs="Times New Roman"/>
          <w:sz w:val="24"/>
          <w:szCs w:val="24"/>
        </w:rPr>
        <w:t>).</w:t>
      </w:r>
    </w:p>
    <w:p w14:paraId="5BF6D60D" w14:textId="77777777" w:rsidR="000323DA" w:rsidRPr="00C23D62" w:rsidRDefault="000323DA" w:rsidP="00DF01CD">
      <w:pPr>
        <w:spacing w:after="0" w:line="271" w:lineRule="auto"/>
        <w:ind w:firstLine="708"/>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 xml:space="preserve">У 2015 році було </w:t>
      </w:r>
      <w:r w:rsidR="00C70B97" w:rsidRPr="00C23D62">
        <w:rPr>
          <w:rFonts w:ascii="Times New Roman" w:eastAsia="Times New Roman" w:hAnsi="Times New Roman" w:cs="Times New Roman"/>
          <w:sz w:val="24"/>
          <w:szCs w:val="24"/>
        </w:rPr>
        <w:t>реалізовано проєкт з дегазації полігону – облаштовано 42 свердловини для відкачування звалищного газу з тіла полігону та встановлено установку для спалювання газу з генерацією електричної енергії та відпуску її в енергомережу.</w:t>
      </w:r>
      <w:r w:rsidR="00303053" w:rsidRPr="00C23D62">
        <w:rPr>
          <w:rFonts w:ascii="Times New Roman" w:eastAsia="Times New Roman" w:hAnsi="Times New Roman" w:cs="Times New Roman"/>
          <w:sz w:val="24"/>
          <w:szCs w:val="24"/>
        </w:rPr>
        <w:t xml:space="preserve"> Згодом кількість свердловин було збільшено до 142, з яких 60</w:t>
      </w:r>
      <w:r w:rsidR="008E3FE8" w:rsidRPr="00C23D62">
        <w:rPr>
          <w:rFonts w:ascii="Times New Roman" w:eastAsia="Times New Roman" w:hAnsi="Times New Roman" w:cs="Times New Roman"/>
          <w:sz w:val="24"/>
          <w:szCs w:val="24"/>
        </w:rPr>
        <w:t xml:space="preserve"> є</w:t>
      </w:r>
      <w:r w:rsidR="00303053" w:rsidRPr="00C23D62">
        <w:rPr>
          <w:rFonts w:ascii="Times New Roman" w:eastAsia="Times New Roman" w:hAnsi="Times New Roman" w:cs="Times New Roman"/>
          <w:sz w:val="24"/>
          <w:szCs w:val="24"/>
        </w:rPr>
        <w:t xml:space="preserve"> активними.</w:t>
      </w:r>
    </w:p>
    <w:p w14:paraId="277E914F" w14:textId="77777777" w:rsidR="00C70B97" w:rsidRPr="00C23D62" w:rsidRDefault="00C70B97" w:rsidP="00DF01CD">
      <w:pPr>
        <w:spacing w:after="0" w:line="271" w:lineRule="auto"/>
        <w:ind w:firstLine="708"/>
        <w:jc w:val="both"/>
        <w:rPr>
          <w:rFonts w:ascii="Times New Roman" w:eastAsia="Times New Roman" w:hAnsi="Times New Roman" w:cs="Times New Roman"/>
          <w:sz w:val="24"/>
          <w:szCs w:val="24"/>
        </w:rPr>
      </w:pPr>
      <w:r w:rsidRPr="00C23D62">
        <w:rPr>
          <w:rFonts w:ascii="Times New Roman" w:eastAsia="Times New Roman" w:hAnsi="Times New Roman" w:cs="Times New Roman"/>
          <w:sz w:val="24"/>
          <w:szCs w:val="24"/>
        </w:rPr>
        <w:t>Обсяги спалюваного звалищного газу та генерації електричної енергії на полігоні наведено на рисунку нижче</w:t>
      </w:r>
      <w:r w:rsidR="00634275" w:rsidRPr="00C23D62">
        <w:rPr>
          <w:rFonts w:ascii="Times New Roman" w:eastAsia="Times New Roman" w:hAnsi="Times New Roman" w:cs="Times New Roman"/>
          <w:sz w:val="24"/>
          <w:szCs w:val="24"/>
        </w:rPr>
        <w:t xml:space="preserve"> (за 2015 р</w:t>
      </w:r>
      <w:r w:rsidR="008E3FE8" w:rsidRPr="00C23D62">
        <w:rPr>
          <w:rFonts w:ascii="Times New Roman" w:eastAsia="Times New Roman" w:hAnsi="Times New Roman" w:cs="Times New Roman"/>
          <w:sz w:val="24"/>
          <w:szCs w:val="24"/>
        </w:rPr>
        <w:t>ік</w:t>
      </w:r>
      <w:r w:rsidR="00634275" w:rsidRPr="00C23D62">
        <w:rPr>
          <w:rFonts w:ascii="Times New Roman" w:eastAsia="Times New Roman" w:hAnsi="Times New Roman" w:cs="Times New Roman"/>
          <w:sz w:val="24"/>
          <w:szCs w:val="24"/>
        </w:rPr>
        <w:t xml:space="preserve"> вказано </w:t>
      </w:r>
      <w:r w:rsidR="00AF2195" w:rsidRPr="00C23D62">
        <w:rPr>
          <w:rFonts w:ascii="Times New Roman" w:eastAsia="Times New Roman" w:hAnsi="Times New Roman" w:cs="Times New Roman"/>
          <w:sz w:val="24"/>
          <w:szCs w:val="24"/>
        </w:rPr>
        <w:t>результати</w:t>
      </w:r>
      <w:r w:rsidR="00634275" w:rsidRPr="00C23D62">
        <w:rPr>
          <w:rFonts w:ascii="Times New Roman" w:eastAsia="Times New Roman" w:hAnsi="Times New Roman" w:cs="Times New Roman"/>
          <w:sz w:val="24"/>
          <w:szCs w:val="24"/>
        </w:rPr>
        <w:t xml:space="preserve"> за неповний р</w:t>
      </w:r>
      <w:r w:rsidR="008E3FE8" w:rsidRPr="00C23D62">
        <w:rPr>
          <w:rFonts w:ascii="Times New Roman" w:eastAsia="Times New Roman" w:hAnsi="Times New Roman" w:cs="Times New Roman"/>
          <w:sz w:val="24"/>
          <w:szCs w:val="24"/>
        </w:rPr>
        <w:t>ік</w:t>
      </w:r>
      <w:r w:rsidR="00634275" w:rsidRPr="00C23D62">
        <w:rPr>
          <w:rFonts w:ascii="Times New Roman" w:eastAsia="Times New Roman" w:hAnsi="Times New Roman" w:cs="Times New Roman"/>
          <w:sz w:val="24"/>
          <w:szCs w:val="24"/>
        </w:rPr>
        <w:t xml:space="preserve"> роботи)</w:t>
      </w:r>
      <w:r w:rsidRPr="00C23D62">
        <w:rPr>
          <w:rFonts w:ascii="Times New Roman" w:eastAsia="Times New Roman" w:hAnsi="Times New Roman" w:cs="Times New Roman"/>
          <w:sz w:val="24"/>
          <w:szCs w:val="24"/>
        </w:rPr>
        <w:t xml:space="preserve">. </w:t>
      </w:r>
      <w:r w:rsidR="00634275" w:rsidRPr="00C23D62">
        <w:rPr>
          <w:rFonts w:ascii="Times New Roman" w:eastAsia="Times New Roman" w:hAnsi="Times New Roman" w:cs="Times New Roman"/>
          <w:sz w:val="24"/>
          <w:szCs w:val="24"/>
        </w:rPr>
        <w:t xml:space="preserve">Розрахункове значення обсягів викидів в атмосферу звалищного газу у 2010 році складає близько </w:t>
      </w:r>
      <w:r w:rsidR="008E3FE8" w:rsidRPr="00C23D62">
        <w:rPr>
          <w:rFonts w:ascii="Times New Roman" w:eastAsia="Times New Roman" w:hAnsi="Times New Roman" w:cs="Times New Roman"/>
          <w:sz w:val="24"/>
          <w:szCs w:val="24"/>
        </w:rPr>
        <w:t>4,5</w:t>
      </w:r>
      <w:r w:rsidR="00634275" w:rsidRPr="00C23D62">
        <w:rPr>
          <w:rFonts w:ascii="Times New Roman" w:eastAsia="Times New Roman" w:hAnsi="Times New Roman" w:cs="Times New Roman"/>
          <w:sz w:val="24"/>
          <w:szCs w:val="24"/>
        </w:rPr>
        <w:t xml:space="preserve"> млн. </w:t>
      </w:r>
      <w:r w:rsidR="008E3FE8" w:rsidRPr="00C23D62">
        <w:rPr>
          <w:rFonts w:ascii="Times New Roman" w:eastAsia="Times New Roman" w:hAnsi="Times New Roman" w:cs="Times New Roman"/>
          <w:sz w:val="24"/>
          <w:szCs w:val="24"/>
        </w:rPr>
        <w:t>м3</w:t>
      </w:r>
      <w:r w:rsidR="00664338" w:rsidRPr="00C23D62">
        <w:rPr>
          <w:rFonts w:ascii="Times New Roman" w:eastAsia="Times New Roman" w:hAnsi="Times New Roman" w:cs="Times New Roman"/>
          <w:sz w:val="24"/>
          <w:szCs w:val="24"/>
        </w:rPr>
        <w:t xml:space="preserve"> (</w:t>
      </w:r>
      <w:r w:rsidR="00761C3E" w:rsidRPr="00C23D62">
        <w:rPr>
          <w:rFonts w:ascii="Times New Roman" w:eastAsia="Times New Roman" w:hAnsi="Times New Roman" w:cs="Times New Roman"/>
          <w:sz w:val="24"/>
          <w:szCs w:val="24"/>
        </w:rPr>
        <w:t>приблизний обсяг метану – 2 952,2 тис м</w:t>
      </w:r>
      <w:r w:rsidR="00761C3E" w:rsidRPr="00C23D62">
        <w:rPr>
          <w:rFonts w:ascii="Times New Roman" w:eastAsia="Times New Roman" w:hAnsi="Times New Roman" w:cs="Times New Roman"/>
          <w:sz w:val="24"/>
          <w:szCs w:val="24"/>
          <w:vertAlign w:val="superscript"/>
        </w:rPr>
        <w:t>3</w:t>
      </w:r>
      <w:r w:rsidR="00664338" w:rsidRPr="00C23D62">
        <w:rPr>
          <w:rFonts w:ascii="Times New Roman" w:eastAsia="Times New Roman" w:hAnsi="Times New Roman" w:cs="Times New Roman"/>
          <w:sz w:val="24"/>
          <w:szCs w:val="24"/>
        </w:rPr>
        <w:t>),</w:t>
      </w:r>
      <w:r w:rsidR="00634275" w:rsidRPr="00C23D62">
        <w:rPr>
          <w:rFonts w:ascii="Times New Roman" w:eastAsia="Times New Roman" w:hAnsi="Times New Roman" w:cs="Times New Roman"/>
          <w:sz w:val="24"/>
          <w:szCs w:val="24"/>
        </w:rPr>
        <w:t xml:space="preserve"> парниковий ефект якого еквівалентний </w:t>
      </w:r>
      <w:r w:rsidR="00761C3E" w:rsidRPr="00C23D62">
        <w:rPr>
          <w:rFonts w:ascii="Times New Roman" w:eastAsia="Times New Roman" w:hAnsi="Times New Roman" w:cs="Times New Roman"/>
          <w:sz w:val="24"/>
          <w:szCs w:val="24"/>
        </w:rPr>
        <w:t>51</w:t>
      </w:r>
      <w:r w:rsidR="00634275" w:rsidRPr="00C23D62">
        <w:rPr>
          <w:rFonts w:ascii="Times New Roman" w:eastAsia="Times New Roman" w:hAnsi="Times New Roman" w:cs="Times New Roman"/>
          <w:sz w:val="24"/>
          <w:szCs w:val="24"/>
        </w:rPr>
        <w:t> </w:t>
      </w:r>
      <w:r w:rsidR="00761C3E" w:rsidRPr="00C23D62">
        <w:rPr>
          <w:rFonts w:ascii="Times New Roman" w:eastAsia="Times New Roman" w:hAnsi="Times New Roman" w:cs="Times New Roman"/>
          <w:sz w:val="24"/>
          <w:szCs w:val="24"/>
        </w:rPr>
        <w:t>663</w:t>
      </w:r>
      <w:r w:rsidR="00634275" w:rsidRPr="00C23D62">
        <w:rPr>
          <w:rFonts w:ascii="Times New Roman" w:eastAsia="Times New Roman" w:hAnsi="Times New Roman" w:cs="Times New Roman"/>
          <w:sz w:val="24"/>
          <w:szCs w:val="24"/>
        </w:rPr>
        <w:t xml:space="preserve"> т СО2 екв.</w:t>
      </w:r>
      <w:r w:rsidR="006B3CEF" w:rsidRPr="00C23D62">
        <w:rPr>
          <w:rFonts w:ascii="Times New Roman" w:eastAsia="Times New Roman" w:hAnsi="Times New Roman" w:cs="Times New Roman"/>
          <w:sz w:val="24"/>
          <w:szCs w:val="24"/>
        </w:rPr>
        <w:t xml:space="preserve"> У 2020 було видобуто 2 605,421 тис м</w:t>
      </w:r>
      <w:r w:rsidR="006B3CEF" w:rsidRPr="00C23D62">
        <w:rPr>
          <w:rFonts w:ascii="Times New Roman" w:eastAsia="Times New Roman" w:hAnsi="Times New Roman" w:cs="Times New Roman"/>
          <w:sz w:val="24"/>
          <w:szCs w:val="24"/>
          <w:vertAlign w:val="superscript"/>
        </w:rPr>
        <w:t>3</w:t>
      </w:r>
      <w:r w:rsidR="006B3CEF" w:rsidRPr="00C23D62">
        <w:rPr>
          <w:rFonts w:ascii="Times New Roman" w:eastAsia="Times New Roman" w:hAnsi="Times New Roman" w:cs="Times New Roman"/>
          <w:sz w:val="24"/>
          <w:szCs w:val="24"/>
        </w:rPr>
        <w:t xml:space="preserve"> звалищного газу (метан - близько 1 693,524 тис м</w:t>
      </w:r>
      <w:r w:rsidR="006B3CEF" w:rsidRPr="00C23D62">
        <w:rPr>
          <w:rFonts w:ascii="Times New Roman" w:eastAsia="Times New Roman" w:hAnsi="Times New Roman" w:cs="Times New Roman"/>
          <w:sz w:val="24"/>
          <w:szCs w:val="24"/>
          <w:vertAlign w:val="superscript"/>
        </w:rPr>
        <w:t>3</w:t>
      </w:r>
      <w:r w:rsidR="006B3CEF" w:rsidRPr="00C23D62">
        <w:rPr>
          <w:rFonts w:ascii="Times New Roman" w:eastAsia="Times New Roman" w:hAnsi="Times New Roman" w:cs="Times New Roman"/>
          <w:sz w:val="24"/>
          <w:szCs w:val="24"/>
        </w:rPr>
        <w:t>), при спалюванні якого було згенеровано 2 649 705 кВт*год електричної енергії.</w:t>
      </w:r>
    </w:p>
    <w:p w14:paraId="3D993C58" w14:textId="77777777" w:rsidR="00C70B97" w:rsidRDefault="00F96848" w:rsidP="00C70B97">
      <w:pPr>
        <w:spacing w:after="0"/>
        <w:jc w:val="center"/>
        <w:rPr>
          <w:rFonts w:ascii="Times New Roman" w:eastAsia="Times New Roman" w:hAnsi="Times New Roman" w:cs="Times New Roman"/>
          <w:sz w:val="24"/>
          <w:szCs w:val="24"/>
        </w:rPr>
      </w:pPr>
      <w:r>
        <w:rPr>
          <w:noProof/>
          <w:lang w:val="ru-RU"/>
        </w:rPr>
        <w:drawing>
          <wp:inline distT="0" distB="0" distL="0" distR="0" wp14:anchorId="2C6E107A" wp14:editId="157AEF3D">
            <wp:extent cx="5939790" cy="2837180"/>
            <wp:effectExtent l="0" t="0" r="3810" b="127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AACE219" w14:textId="77777777" w:rsidR="000323DA" w:rsidRPr="000323DA" w:rsidRDefault="000323DA" w:rsidP="000323DA">
      <w:pPr>
        <w:spacing w:after="0"/>
        <w:ind w:firstLine="708"/>
        <w:jc w:val="both"/>
        <w:rPr>
          <w:rFonts w:ascii="Times New Roman" w:eastAsia="Times New Roman" w:hAnsi="Times New Roman" w:cs="Times New Roman"/>
          <w:sz w:val="24"/>
          <w:szCs w:val="24"/>
        </w:rPr>
      </w:pPr>
      <w:r w:rsidRPr="000323DA">
        <w:rPr>
          <w:rFonts w:ascii="Times New Roman" w:eastAsia="Times New Roman" w:hAnsi="Times New Roman" w:cs="Times New Roman"/>
          <w:sz w:val="24"/>
          <w:szCs w:val="24"/>
        </w:rPr>
        <w:lastRenderedPageBreak/>
        <w:t>З 2024 року у м Житомирі функціонує сміттєпереробний завод за адресою: м.</w:t>
      </w:r>
      <w:r w:rsidR="00C70B97">
        <w:rPr>
          <w:rFonts w:ascii="Times New Roman" w:eastAsia="Times New Roman" w:hAnsi="Times New Roman" w:cs="Times New Roman"/>
          <w:sz w:val="24"/>
          <w:szCs w:val="24"/>
        </w:rPr>
        <w:t> </w:t>
      </w:r>
      <w:r w:rsidRPr="000323DA">
        <w:rPr>
          <w:rFonts w:ascii="Times New Roman" w:eastAsia="Times New Roman" w:hAnsi="Times New Roman" w:cs="Times New Roman"/>
          <w:sz w:val="24"/>
          <w:szCs w:val="24"/>
        </w:rPr>
        <w:t>Житомир, проїзд Складський, 20, експлуатація якого дозволить суттєво зменшити навантаження на міський полігон захоронення твердих побутових відходів, що в подальшому дасть можливість здійснити його закриття та проведення рекультивації. Планується модернізація ліній обладнання та збільшення потужності заводу.</w:t>
      </w:r>
    </w:p>
    <w:p w14:paraId="156AA2AA" w14:textId="77777777" w:rsidR="000323DA" w:rsidRPr="000323DA" w:rsidRDefault="000323DA" w:rsidP="000323DA">
      <w:pPr>
        <w:spacing w:after="0"/>
        <w:ind w:firstLine="708"/>
        <w:jc w:val="both"/>
        <w:rPr>
          <w:rFonts w:ascii="Times New Roman" w:eastAsia="Times New Roman" w:hAnsi="Times New Roman" w:cs="Times New Roman"/>
          <w:sz w:val="24"/>
          <w:szCs w:val="24"/>
        </w:rPr>
      </w:pPr>
      <w:r w:rsidRPr="000323DA">
        <w:rPr>
          <w:rFonts w:ascii="Times New Roman" w:eastAsia="Times New Roman" w:hAnsi="Times New Roman" w:cs="Times New Roman"/>
          <w:sz w:val="24"/>
          <w:szCs w:val="24"/>
        </w:rPr>
        <w:t>Впровадження системи роздільного збору твердих побутових відходів з подальшим сортуванням з метою зменшення об’ємів збирання, перевезення та захоронення відходів. В тому  числі – впровадження механізованого сортування побутових відходів з вилученням  ресурсоцінних компонентів.</w:t>
      </w:r>
    </w:p>
    <w:p w14:paraId="36EF1579" w14:textId="77777777" w:rsidR="000323DA" w:rsidRDefault="000323DA" w:rsidP="000323DA">
      <w:pPr>
        <w:spacing w:after="0"/>
        <w:ind w:firstLine="708"/>
        <w:jc w:val="both"/>
        <w:rPr>
          <w:rFonts w:ascii="Times New Roman" w:eastAsia="Times New Roman" w:hAnsi="Times New Roman" w:cs="Times New Roman"/>
          <w:sz w:val="24"/>
          <w:szCs w:val="24"/>
        </w:rPr>
      </w:pPr>
    </w:p>
    <w:p w14:paraId="0D1781E6" w14:textId="77777777" w:rsidR="00C82386" w:rsidRDefault="007561B9" w:rsidP="007561B9">
      <w:pPr>
        <w:keepNext/>
        <w:keepLines/>
        <w:numPr>
          <w:ilvl w:val="0"/>
          <w:numId w:val="56"/>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72" w:name="_heading=h.2iq8gzs" w:colFirst="0" w:colLast="0"/>
      <w:bookmarkEnd w:id="72"/>
      <w:r>
        <w:rPr>
          <w:rFonts w:ascii="Times New Roman" w:eastAsia="Times New Roman" w:hAnsi="Times New Roman" w:cs="Times New Roman"/>
          <w:b/>
          <w:color w:val="000000"/>
          <w:sz w:val="24"/>
          <w:szCs w:val="24"/>
        </w:rPr>
        <w:t xml:space="preserve"> </w:t>
      </w:r>
      <w:r w:rsidR="00E66F64">
        <w:rPr>
          <w:rFonts w:ascii="Times New Roman" w:eastAsia="Times New Roman" w:hAnsi="Times New Roman" w:cs="Times New Roman"/>
          <w:b/>
          <w:color w:val="000000"/>
          <w:sz w:val="24"/>
          <w:szCs w:val="24"/>
        </w:rPr>
        <w:t>Заходи на подолання енергетичної бідності</w:t>
      </w:r>
    </w:p>
    <w:p w14:paraId="59DF1E35"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Забезпечення надійного доступу до безпечних, сталих та доступних енергетичних послуг для всіх є </w:t>
      </w:r>
      <w:r w:rsidR="000323DA">
        <w:rPr>
          <w:rFonts w:ascii="Times New Roman" w:eastAsia="Times New Roman" w:hAnsi="Times New Roman" w:cs="Times New Roman"/>
          <w:color w:val="000000"/>
          <w:sz w:val="24"/>
          <w:szCs w:val="24"/>
        </w:rPr>
        <w:t>однією з</w:t>
      </w:r>
      <w:r>
        <w:rPr>
          <w:rFonts w:ascii="Times New Roman" w:eastAsia="Times New Roman" w:hAnsi="Times New Roman" w:cs="Times New Roman"/>
          <w:color w:val="000000"/>
          <w:sz w:val="24"/>
          <w:szCs w:val="24"/>
        </w:rPr>
        <w:t xml:space="preserve"> цілей, що підтримуються Угодою мерів в межах загального бачення цілей до 2050 року. Це зазначено у тексті «Угоди мерів – схід», яку підписують міста, приєднуючись до Угоди мерів.</w:t>
      </w:r>
    </w:p>
    <w:p w14:paraId="5F96C64C"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Значна частина заходів ПДСЕРК, що направлені на пом’якшення зміни клімату, на адаптацію до існуючих кліматичних змін, сприяють також і доступності енергетичних послуг. </w:t>
      </w:r>
    </w:p>
    <w:p w14:paraId="364232CB"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Причини, які перешкоджають надійному доступу до енергетичних послуг:</w:t>
      </w:r>
    </w:p>
    <w:p w14:paraId="24A35FC7" w14:textId="77777777" w:rsidR="00C82386" w:rsidRDefault="00E66F64">
      <w:pPr>
        <w:numPr>
          <w:ilvl w:val="0"/>
          <w:numId w:val="4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фінансова неспроможність, в першу чергу;</w:t>
      </w:r>
    </w:p>
    <w:p w14:paraId="2A9E1A74" w14:textId="77777777" w:rsidR="00C82386" w:rsidRDefault="00E66F64">
      <w:pPr>
        <w:numPr>
          <w:ilvl w:val="0"/>
          <w:numId w:val="4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відсутність надійного постачання енергії – тепла або електроенергії;</w:t>
      </w:r>
    </w:p>
    <w:p w14:paraId="0E69A0B8" w14:textId="77777777" w:rsidR="00C82386" w:rsidRDefault="00E66F64">
      <w:pPr>
        <w:numPr>
          <w:ilvl w:val="0"/>
          <w:numId w:val="4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відсутність резервного джерела енергії;</w:t>
      </w:r>
    </w:p>
    <w:p w14:paraId="05477EC0" w14:textId="77777777" w:rsidR="00C82386" w:rsidRDefault="00E66F64">
      <w:pPr>
        <w:numPr>
          <w:ilvl w:val="0"/>
          <w:numId w:val="4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недостатньо розвинута інфраструктура, це стосується як систем газопостачання, теплопостачання, так і транспортної інфраструктури.</w:t>
      </w:r>
    </w:p>
    <w:p w14:paraId="22D63F4E"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Термін «енергетична бідність» (energy </w:t>
      </w:r>
      <w:r w:rsidRPr="007F2B4D">
        <w:rPr>
          <w:rFonts w:ascii="Times New Roman" w:eastAsia="Times New Roman" w:hAnsi="Times New Roman" w:cs="Times New Roman"/>
          <w:sz w:val="24"/>
          <w:szCs w:val="24"/>
          <w:lang w:val="en-US"/>
        </w:rPr>
        <w:t>poverty</w:t>
      </w:r>
      <w:r w:rsidR="007F2B4D">
        <w:rPr>
          <w:rFonts w:ascii="Times New Roman" w:eastAsia="Times New Roman" w:hAnsi="Times New Roman" w:cs="Times New Roman"/>
          <w:sz w:val="24"/>
          <w:szCs w:val="24"/>
        </w:rPr>
        <w:t>) не є офіційним, але яскрав</w:t>
      </w:r>
      <w:r>
        <w:rPr>
          <w:rFonts w:ascii="Times New Roman" w:eastAsia="Times New Roman" w:hAnsi="Times New Roman" w:cs="Times New Roman"/>
          <w:sz w:val="24"/>
          <w:szCs w:val="24"/>
        </w:rPr>
        <w:t>о відображає основну тезу відсутності доступу до енергії і широко використовується в документах, публікаціях та обговореннях. Поняття «вразливі споживачі» вперше з’явилося в Україні з прийняттям Законів України «Про ринок електричної енергії» і визначається наступним чином:</w:t>
      </w:r>
    </w:p>
    <w:p w14:paraId="1047459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«Вразливі споживачі – це побутові споживачі, які набувають право на державну допомогу в порядку, встановленому Кабінетом Міністрів України».</w:t>
      </w:r>
    </w:p>
    <w:p w14:paraId="19466D4E"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Основною причиною, що призводить і до всіх інших проявів енергетичної бідності є фінансова неспроможність людини, сім’ї забезпечити себе основними необхідними енергетичними ресурсами – теплом, електроенергією і природним газом для забезпечення основних потреб. За оцінками 2020 року житлову субсидію отримують 3,1 млн. домогосподарств в Україні, Крім цього, майже 1,8 мільйона сімей користується пільгами при оплаті житлово-комунальних послуг або мають знижку від 25 до 100 % залежно від категорії пільговика. </w:t>
      </w:r>
      <w:r>
        <w:rPr>
          <w:rFonts w:ascii="Times New Roman" w:eastAsia="Times New Roman" w:hAnsi="Times New Roman" w:cs="Times New Roman"/>
          <w:sz w:val="24"/>
          <w:szCs w:val="24"/>
          <w:vertAlign w:val="superscript"/>
        </w:rPr>
        <w:footnoteReference w:id="26"/>
      </w:r>
      <w:r>
        <w:rPr>
          <w:rFonts w:ascii="Times New Roman" w:eastAsia="Times New Roman" w:hAnsi="Times New Roman" w:cs="Times New Roman"/>
          <w:sz w:val="24"/>
          <w:szCs w:val="24"/>
        </w:rPr>
        <w:t xml:space="preserve"> За результатами опитування</w:t>
      </w:r>
      <w:r>
        <w:rPr>
          <w:rFonts w:ascii="Times New Roman" w:eastAsia="Times New Roman" w:hAnsi="Times New Roman" w:cs="Times New Roman"/>
          <w:sz w:val="24"/>
          <w:szCs w:val="24"/>
          <w:vertAlign w:val="superscript"/>
        </w:rPr>
        <w:footnoteReference w:id="27"/>
      </w:r>
      <w:r>
        <w:rPr>
          <w:rFonts w:ascii="Times New Roman" w:eastAsia="Times New Roman" w:hAnsi="Times New Roman" w:cs="Times New Roman"/>
          <w:sz w:val="24"/>
          <w:szCs w:val="24"/>
        </w:rPr>
        <w:t xml:space="preserve">, більшість українців вважають тарифи </w:t>
      </w:r>
      <w:r>
        <w:rPr>
          <w:rFonts w:ascii="Times New Roman" w:eastAsia="Times New Roman" w:hAnsi="Times New Roman" w:cs="Times New Roman"/>
          <w:sz w:val="24"/>
          <w:szCs w:val="24"/>
        </w:rPr>
        <w:lastRenderedPageBreak/>
        <w:t>за ці комунальні послуги високими. Зокрема, ціни на електроенергію високі для понад 70% домогосподарств, на теплу воду – для понад 68%, а на опалення – для 84-93% залежно від регіону.</w:t>
      </w:r>
    </w:p>
    <w:p w14:paraId="3DDC17F0"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шляхи подолання «енергетичної бідності» в сфері теплопостачання:</w:t>
      </w:r>
    </w:p>
    <w:p w14:paraId="3F8F1A6B"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термомодернізація будівель, чим зменшується споживання тепла та електроенергії на кондиціювання влітку;</w:t>
      </w:r>
    </w:p>
    <w:p w14:paraId="6FF5589B"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модернізація мереж та генеруючих потужностей централізованого теплопостачання, що дозволяє зменшити втрати при генерації та в тепломережі, і таким чином зменшити тариф на теплопостачання;</w:t>
      </w:r>
    </w:p>
    <w:p w14:paraId="32551511"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забезпечення можливості щодо самостійного регулювання споживання енергії, що сприяє раціональному теплоспоживанню, зменшенню фінансових витрат;</w:t>
      </w:r>
    </w:p>
    <w:p w14:paraId="0515F03E"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встановлення індивідуальних резервних котлів для опалення та підготовки гарячої води, що дозволяє зменшити залежність від основного постачальника послуги;</w:t>
      </w:r>
    </w:p>
    <w:p w14:paraId="35AE1D71"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фінансова допомога в реалізації енергоефективних заходів;</w:t>
      </w:r>
    </w:p>
    <w:p w14:paraId="73AC4440" w14:textId="77777777" w:rsidR="00C82386" w:rsidRDefault="00E66F64">
      <w:pPr>
        <w:numPr>
          <w:ilvl w:val="0"/>
          <w:numId w:val="4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соціального тарифу, субсидій, пільг для найвразливіших категорій населення.</w:t>
      </w:r>
    </w:p>
    <w:p w14:paraId="32C3410A" w14:textId="77777777" w:rsidR="00C82386" w:rsidRDefault="00E66F64">
      <w:pPr>
        <w:pBdr>
          <w:top w:val="nil"/>
          <w:left w:val="nil"/>
          <w:bottom w:val="nil"/>
          <w:right w:val="nil"/>
          <w:between w:val="nil"/>
        </w:pBdr>
        <w:spacing w:before="240" w:after="0"/>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подолання «енергетичної бідності» в сфері електропостачання апробовані наступні шляхи:</w:t>
      </w:r>
    </w:p>
    <w:p w14:paraId="07A2E4CB" w14:textId="77777777" w:rsidR="00C82386" w:rsidRDefault="00E66F64">
      <w:pPr>
        <w:numPr>
          <w:ilvl w:val="0"/>
          <w:numId w:val="4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наявність місцевої електрогенерації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(державний, регіональний рівень);</w:t>
      </w:r>
    </w:p>
    <w:p w14:paraId="0F2FF027" w14:textId="77777777" w:rsidR="00C82386" w:rsidRDefault="00E66F64">
      <w:pPr>
        <w:numPr>
          <w:ilvl w:val="0"/>
          <w:numId w:val="4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будівництво потужностей електрогенерації на основі ВДЕ – вітрові та сонячні станції (як малих приватних так промислових потужностей), гідроелектростанції та систем накопичення енергії (так звана розподілена система генерації);</w:t>
      </w:r>
    </w:p>
    <w:p w14:paraId="3D1CC8AF" w14:textId="77777777" w:rsidR="00C82386" w:rsidRDefault="00E66F64">
      <w:pPr>
        <w:numPr>
          <w:ilvl w:val="0"/>
          <w:numId w:val="4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p>
    <w:p w14:paraId="144BA41D" w14:textId="77777777" w:rsidR="00C82386" w:rsidRDefault="00C82386">
      <w:pPr>
        <w:spacing w:after="0"/>
        <w:jc w:val="both"/>
        <w:rPr>
          <w:rFonts w:ascii="Times New Roman" w:eastAsia="Times New Roman" w:hAnsi="Times New Roman" w:cs="Times New Roman"/>
          <w:sz w:val="24"/>
          <w:szCs w:val="24"/>
        </w:rPr>
      </w:pPr>
    </w:p>
    <w:p w14:paraId="34E3AB67" w14:textId="77777777" w:rsidR="00C82386" w:rsidRDefault="00E66F64">
      <w:pPr>
        <w:rPr>
          <w:rFonts w:ascii="Times New Roman" w:eastAsia="Times New Roman" w:hAnsi="Times New Roman" w:cs="Times New Roman"/>
          <w:sz w:val="24"/>
          <w:szCs w:val="24"/>
        </w:rPr>
      </w:pPr>
      <w:r>
        <w:br w:type="page"/>
      </w:r>
    </w:p>
    <w:p w14:paraId="1D33511B"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8"/>
          <w:szCs w:val="28"/>
        </w:rPr>
      </w:pPr>
      <w:bookmarkStart w:id="73" w:name="_heading=h.xvir7l" w:colFirst="0" w:colLast="0"/>
      <w:bookmarkEnd w:id="73"/>
      <w:r>
        <w:rPr>
          <w:rFonts w:ascii="Times New Roman" w:eastAsia="Times New Roman" w:hAnsi="Times New Roman" w:cs="Times New Roman"/>
          <w:b/>
          <w:color w:val="000000"/>
          <w:sz w:val="28"/>
          <w:szCs w:val="28"/>
        </w:rPr>
        <w:lastRenderedPageBreak/>
        <w:t>Розділ 7. ОЦІНКА РИЗИКІВ ТА ВРАЗЛИВОСТІ ЖИТОМИРСЬК</w:t>
      </w:r>
      <w:r w:rsidR="00634275">
        <w:rPr>
          <w:rFonts w:ascii="Times New Roman" w:eastAsia="Times New Roman" w:hAnsi="Times New Roman" w:cs="Times New Roman"/>
          <w:b/>
          <w:color w:val="000000"/>
          <w:sz w:val="28"/>
          <w:szCs w:val="28"/>
        </w:rPr>
        <w:t xml:space="preserve">ОЇ </w:t>
      </w:r>
      <w:r>
        <w:rPr>
          <w:rFonts w:ascii="Times New Roman" w:eastAsia="Times New Roman" w:hAnsi="Times New Roman" w:cs="Times New Roman"/>
          <w:b/>
          <w:color w:val="000000"/>
          <w:sz w:val="28"/>
          <w:szCs w:val="28"/>
        </w:rPr>
        <w:t xml:space="preserve">МІСЬКОЇ ГРОМАДИ ДО ЗМІНИ КЛІМАТУ </w:t>
      </w:r>
    </w:p>
    <w:p w14:paraId="54BB459C"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Оцінка ризиків та вразливості – аналізує можливі загрози, яким можуть піддаватися жителі громади, майно громади або навколишнє середовище. Під час проведення оцінки ризиків та вразливості визначається характер ризику, ступінь потенційної загрози по кожному із секторів життя громади та які групи населення будуть найбільш вразливими.  </w:t>
      </w:r>
    </w:p>
    <w:p w14:paraId="2F6A527B"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Усі ризики ранжуються за чотирма рівнями вразливості. Термінової реакції потребують ризики, що віднесені до третього та другого рівнів. Проте, під час впровадження заходів з адаптації важливо не забувати про ризики першого і нульового рівня. Найбільш ефективними є заходи, що враховують декілька ризиків одночасно. </w:t>
      </w:r>
    </w:p>
    <w:p w14:paraId="1CEB063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w:t>
      </w:r>
      <w:r>
        <w:rPr>
          <w:rFonts w:ascii="Times New Roman" w:eastAsia="Times New Roman" w:hAnsi="Times New Roman" w:cs="Times New Roman"/>
          <w:b/>
          <w:sz w:val="24"/>
          <w:szCs w:val="24"/>
        </w:rPr>
        <w:t xml:space="preserve">результатами оцінки </w:t>
      </w:r>
      <w:r>
        <w:rPr>
          <w:rFonts w:ascii="Times New Roman" w:eastAsia="Times New Roman" w:hAnsi="Times New Roman" w:cs="Times New Roman"/>
          <w:sz w:val="24"/>
          <w:szCs w:val="24"/>
        </w:rPr>
        <w:t>(відповідно до методики, що рекомендована Угодою мерів щодо Клімату і Енергії)</w:t>
      </w:r>
      <w:r>
        <w:rPr>
          <w:rFonts w:ascii="Times New Roman" w:eastAsia="Times New Roman" w:hAnsi="Times New Roman" w:cs="Times New Roman"/>
          <w:b/>
          <w:sz w:val="24"/>
          <w:szCs w:val="24"/>
        </w:rPr>
        <w:t xml:space="preserve"> визначено</w:t>
      </w:r>
      <w:r>
        <w:rPr>
          <w:rFonts w:ascii="Times New Roman" w:eastAsia="Times New Roman" w:hAnsi="Times New Roman" w:cs="Times New Roman"/>
          <w:sz w:val="24"/>
          <w:szCs w:val="24"/>
        </w:rPr>
        <w:t xml:space="preserve"> наступні ризики, які необхідно враховувати та вжити заходи для їх попередження в Житомирській міській територіальній громаді:</w:t>
      </w:r>
    </w:p>
    <w:p w14:paraId="7F5B058F"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7.1.</w:t>
      </w:r>
    </w:p>
    <w:tbl>
      <w:tblPr>
        <w:tblStyle w:val="affffff4"/>
        <w:tblW w:w="94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0"/>
        <w:gridCol w:w="2454"/>
        <w:gridCol w:w="1843"/>
        <w:gridCol w:w="3435"/>
      </w:tblGrid>
      <w:tr w:rsidR="00C82386" w14:paraId="0F73EE35" w14:textId="77777777" w:rsidTr="007112F0">
        <w:tc>
          <w:tcPr>
            <w:tcW w:w="1670" w:type="dxa"/>
          </w:tcPr>
          <w:p w14:paraId="61F13004" w14:textId="77777777" w:rsidR="00C82386" w:rsidRDefault="00E66F64">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Ознака рівня вразливості</w:t>
            </w:r>
          </w:p>
        </w:tc>
        <w:tc>
          <w:tcPr>
            <w:tcW w:w="2454" w:type="dxa"/>
          </w:tcPr>
          <w:p w14:paraId="7CCBE709" w14:textId="77777777" w:rsidR="00C82386" w:rsidRDefault="00E66F64">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Ризики</w:t>
            </w:r>
          </w:p>
        </w:tc>
        <w:tc>
          <w:tcPr>
            <w:tcW w:w="1843" w:type="dxa"/>
          </w:tcPr>
          <w:p w14:paraId="356B3F74" w14:textId="77777777" w:rsidR="00C82386" w:rsidRDefault="00E66F64">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Оцінка рівня вразливості</w:t>
            </w:r>
          </w:p>
        </w:tc>
        <w:tc>
          <w:tcPr>
            <w:tcW w:w="3435" w:type="dxa"/>
          </w:tcPr>
          <w:p w14:paraId="6E6E104B" w14:textId="77777777" w:rsidR="00C82386" w:rsidRDefault="00E66F64">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Дії з адаптації</w:t>
            </w:r>
          </w:p>
        </w:tc>
      </w:tr>
      <w:tr w:rsidR="00C82386" w14:paraId="346CEE49" w14:textId="77777777" w:rsidTr="007112F0">
        <w:tc>
          <w:tcPr>
            <w:tcW w:w="1670" w:type="dxa"/>
            <w:shd w:val="clear" w:color="auto" w:fill="FF9966"/>
          </w:tcPr>
          <w:p w14:paraId="6D861C8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V3</w:t>
            </w:r>
          </w:p>
        </w:tc>
        <w:tc>
          <w:tcPr>
            <w:tcW w:w="2454" w:type="dxa"/>
            <w:shd w:val="clear" w:color="auto" w:fill="FF9966"/>
          </w:tcPr>
          <w:p w14:paraId="4D014680"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w:t>
            </w:r>
          </w:p>
          <w:p w14:paraId="44FA8639"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 зливи</w:t>
            </w:r>
          </w:p>
        </w:tc>
        <w:tc>
          <w:tcPr>
            <w:tcW w:w="1843" w:type="dxa"/>
            <w:shd w:val="clear" w:color="auto" w:fill="FF9966"/>
          </w:tcPr>
          <w:p w14:paraId="59FC1DDC"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дуже високий рівень вразливості</w:t>
            </w:r>
          </w:p>
        </w:tc>
        <w:tc>
          <w:tcPr>
            <w:tcW w:w="3435" w:type="dxa"/>
            <w:shd w:val="clear" w:color="auto" w:fill="FF9966"/>
          </w:tcPr>
          <w:p w14:paraId="38126301"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необхідно обрати варіанти адаптації і вжити термінових заходів</w:t>
            </w:r>
          </w:p>
        </w:tc>
      </w:tr>
      <w:tr w:rsidR="00C82386" w14:paraId="7AB019F1" w14:textId="77777777" w:rsidTr="007112F0">
        <w:tc>
          <w:tcPr>
            <w:tcW w:w="1670" w:type="dxa"/>
            <w:shd w:val="clear" w:color="auto" w:fill="FFC000"/>
          </w:tcPr>
          <w:p w14:paraId="51FE46F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V2</w:t>
            </w:r>
          </w:p>
        </w:tc>
        <w:tc>
          <w:tcPr>
            <w:tcW w:w="2454" w:type="dxa"/>
            <w:shd w:val="clear" w:color="auto" w:fill="FFC000"/>
          </w:tcPr>
          <w:p w14:paraId="22F4CFB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Повені: підвищення рівня води</w:t>
            </w:r>
          </w:p>
          <w:p w14:paraId="24D1677D"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Посуха</w:t>
            </w:r>
          </w:p>
        </w:tc>
        <w:tc>
          <w:tcPr>
            <w:tcW w:w="1843" w:type="dxa"/>
            <w:shd w:val="clear" w:color="auto" w:fill="FFC000"/>
          </w:tcPr>
          <w:p w14:paraId="107BEF3E"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високий рівень вразливості</w:t>
            </w:r>
          </w:p>
        </w:tc>
        <w:tc>
          <w:tcPr>
            <w:tcW w:w="3435" w:type="dxa"/>
            <w:shd w:val="clear" w:color="auto" w:fill="FFC000"/>
          </w:tcPr>
          <w:p w14:paraId="7D95E646"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необхідно запропонувати належні дії з адаптації для зниження вразливості.</w:t>
            </w:r>
          </w:p>
        </w:tc>
      </w:tr>
      <w:tr w:rsidR="00C82386" w14:paraId="3F8A85C0" w14:textId="77777777" w:rsidTr="007112F0">
        <w:tc>
          <w:tcPr>
            <w:tcW w:w="1670" w:type="dxa"/>
            <w:shd w:val="clear" w:color="auto" w:fill="FFFF99"/>
          </w:tcPr>
          <w:p w14:paraId="50E01EF9"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V1</w:t>
            </w:r>
          </w:p>
        </w:tc>
        <w:tc>
          <w:tcPr>
            <w:tcW w:w="2454" w:type="dxa"/>
            <w:shd w:val="clear" w:color="auto" w:fill="FFFF99"/>
          </w:tcPr>
          <w:p w14:paraId="41110A01"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 снігопади, град</w:t>
            </w:r>
          </w:p>
          <w:p w14:paraId="45B9902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Інфекційні захворювання та алергічні прояви</w:t>
            </w:r>
          </w:p>
        </w:tc>
        <w:tc>
          <w:tcPr>
            <w:tcW w:w="1843" w:type="dxa"/>
            <w:shd w:val="clear" w:color="auto" w:fill="FFFF99"/>
          </w:tcPr>
          <w:p w14:paraId="7ADBB5B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прийнятний рівень вразливості</w:t>
            </w:r>
          </w:p>
        </w:tc>
        <w:tc>
          <w:tcPr>
            <w:tcW w:w="3435" w:type="dxa"/>
            <w:shd w:val="clear" w:color="auto" w:fill="FFFF99"/>
          </w:tcPr>
          <w:p w14:paraId="59D79C0D"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проте необхідно запропонувати заходи з адаптації і забезпечити регулярний моніторинг</w:t>
            </w:r>
          </w:p>
        </w:tc>
      </w:tr>
      <w:tr w:rsidR="00C82386" w14:paraId="6361E97E" w14:textId="77777777" w:rsidTr="007112F0">
        <w:tc>
          <w:tcPr>
            <w:tcW w:w="1670" w:type="dxa"/>
            <w:shd w:val="clear" w:color="auto" w:fill="E5DFEC"/>
          </w:tcPr>
          <w:p w14:paraId="4039E739"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V0</w:t>
            </w:r>
          </w:p>
        </w:tc>
        <w:tc>
          <w:tcPr>
            <w:tcW w:w="2454" w:type="dxa"/>
            <w:shd w:val="clear" w:color="auto" w:fill="E5DFEC"/>
          </w:tcPr>
          <w:p w14:paraId="086852B2"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Екстремальний холод</w:t>
            </w:r>
          </w:p>
          <w:p w14:paraId="25393A1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Низові пожежі</w:t>
            </w:r>
          </w:p>
        </w:tc>
        <w:tc>
          <w:tcPr>
            <w:tcW w:w="1843" w:type="dxa"/>
            <w:shd w:val="clear" w:color="auto" w:fill="E5DFEC"/>
          </w:tcPr>
          <w:p w14:paraId="1F76BD3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прийнятний рівень вразливості</w:t>
            </w:r>
          </w:p>
        </w:tc>
        <w:tc>
          <w:tcPr>
            <w:tcW w:w="3435" w:type="dxa"/>
            <w:shd w:val="clear" w:color="auto" w:fill="E5DFEC"/>
          </w:tcPr>
          <w:p w14:paraId="294551D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немає необхідності проводити будь-які заходи з адаптації та здійснювати моніторинг.</w:t>
            </w:r>
          </w:p>
        </w:tc>
      </w:tr>
    </w:tbl>
    <w:p w14:paraId="3E4763AF"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Нижче наведена таблиця із деталізацією впливу ризиків на окремі сектори життя громади та вразливі групи населення. Для секторів з високим та середнім рівнем чутливості наведено перелік індикаторів за показниками яких можна відслідковувати динаміку змін. </w:t>
      </w:r>
    </w:p>
    <w:p w14:paraId="53C81367"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зараз не всі індикатори містять числове значення, в зв’язку із тим, що в цілому в Україні збір даних, пов’язаних і з кліматичною адаптацією є налагодженим. Громада має запланувати отриманні та збір даних, які допоможуть їй отримувати відповідні числові показники для проведення ефективної оцінки та реалізації заходів з адаптації.  </w:t>
      </w:r>
    </w:p>
    <w:p w14:paraId="3D9D46A9" w14:textId="77777777" w:rsidR="00C82386" w:rsidRDefault="00E66F64">
      <w:pPr>
        <w:spacing w:after="0"/>
        <w:jc w:val="both"/>
        <w:rPr>
          <w:rFonts w:ascii="Times New Roman" w:eastAsia="Times New Roman" w:hAnsi="Times New Roman" w:cs="Times New Roman"/>
          <w:sz w:val="24"/>
          <w:szCs w:val="24"/>
        </w:rPr>
        <w:sectPr w:rsidR="00C82386">
          <w:footerReference w:type="default" r:id="rId65"/>
          <w:pgSz w:w="11906" w:h="16838"/>
          <w:pgMar w:top="1134" w:right="851" w:bottom="1134" w:left="1701" w:header="709" w:footer="709" w:gutter="0"/>
          <w:cols w:space="720"/>
        </w:sectPr>
      </w:pPr>
      <w:r>
        <w:rPr>
          <w:rFonts w:ascii="Times New Roman" w:eastAsia="Times New Roman" w:hAnsi="Times New Roman" w:cs="Times New Roman"/>
          <w:sz w:val="24"/>
          <w:szCs w:val="24"/>
        </w:rPr>
        <w:t xml:space="preserve">Повна оцінка ризиків та </w:t>
      </w:r>
      <w:r w:rsidRPr="007F2B4D">
        <w:rPr>
          <w:rFonts w:ascii="Times New Roman" w:eastAsia="Times New Roman" w:hAnsi="Times New Roman" w:cs="Times New Roman"/>
          <w:sz w:val="24"/>
          <w:szCs w:val="24"/>
        </w:rPr>
        <w:t>вразливості Житомирської громади, на основі якої формувалася таблиця 7.2, наведена у Додатку 2.</w:t>
      </w:r>
    </w:p>
    <w:p w14:paraId="55AC9EFB" w14:textId="77777777" w:rsidR="00C82386" w:rsidRDefault="00E66F64">
      <w:pPr>
        <w:keepNext/>
        <w:keepLines/>
        <w:numPr>
          <w:ilvl w:val="1"/>
          <w:numId w:val="27"/>
        </w:numPr>
        <w:pBdr>
          <w:top w:val="nil"/>
          <w:left w:val="nil"/>
          <w:bottom w:val="nil"/>
          <w:right w:val="nil"/>
          <w:between w:val="nil"/>
        </w:pBdr>
        <w:spacing w:after="0"/>
        <w:rPr>
          <w:rFonts w:ascii="Times New Roman" w:eastAsia="Times New Roman" w:hAnsi="Times New Roman" w:cs="Times New Roman"/>
          <w:b/>
          <w:color w:val="000000"/>
          <w:sz w:val="24"/>
          <w:szCs w:val="24"/>
        </w:rPr>
      </w:pPr>
      <w:bookmarkStart w:id="74" w:name="_heading=h.3hv69ve" w:colFirst="0" w:colLast="0"/>
      <w:bookmarkEnd w:id="74"/>
      <w:r>
        <w:rPr>
          <w:rFonts w:ascii="Times New Roman" w:eastAsia="Times New Roman" w:hAnsi="Times New Roman" w:cs="Times New Roman"/>
          <w:b/>
          <w:color w:val="000000"/>
          <w:sz w:val="24"/>
          <w:szCs w:val="24"/>
        </w:rPr>
        <w:lastRenderedPageBreak/>
        <w:t>Підсумкова оцінка вразливості громади до змін клімату</w:t>
      </w:r>
    </w:p>
    <w:p w14:paraId="5A5BD800" w14:textId="77777777" w:rsidR="00C82386" w:rsidRDefault="00E66F64">
      <w:pPr>
        <w:spacing w:before="240"/>
        <w:ind w:firstLine="709"/>
        <w:jc w:val="center"/>
        <w:rPr>
          <w:rFonts w:ascii="Times New Roman" w:eastAsia="Times New Roman" w:hAnsi="Times New Roman" w:cs="Times New Roman"/>
          <w:sz w:val="24"/>
          <w:szCs w:val="24"/>
        </w:rPr>
      </w:pPr>
      <w:bookmarkStart w:id="75" w:name="_heading=h.1x0gk37" w:colFirst="0" w:colLast="0"/>
      <w:bookmarkEnd w:id="75"/>
      <w:r>
        <w:rPr>
          <w:rFonts w:ascii="Times New Roman" w:eastAsia="Times New Roman" w:hAnsi="Times New Roman" w:cs="Times New Roman"/>
          <w:color w:val="000000"/>
          <w:sz w:val="24"/>
          <w:szCs w:val="24"/>
        </w:rPr>
        <w:t>Загрози Житомирської міської територіальної громади до ризиків, що пов’язані зі зміною клімату.</w:t>
      </w:r>
    </w:p>
    <w:tbl>
      <w:tblPr>
        <w:tblStyle w:val="affffff5"/>
        <w:tblW w:w="14894"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260"/>
        <w:gridCol w:w="1418"/>
        <w:gridCol w:w="1134"/>
        <w:gridCol w:w="1949"/>
        <w:gridCol w:w="1919"/>
        <w:gridCol w:w="1537"/>
        <w:gridCol w:w="4677"/>
      </w:tblGrid>
      <w:tr w:rsidR="00C82386" w14:paraId="7513B0BE" w14:textId="77777777" w:rsidTr="007112F0">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107A698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Загроза</w:t>
            </w:r>
          </w:p>
        </w:tc>
        <w:tc>
          <w:tcPr>
            <w:tcW w:w="1418"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432ECDE9"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Імовірність виникнення</w:t>
            </w:r>
          </w:p>
        </w:tc>
        <w:tc>
          <w:tcPr>
            <w:tcW w:w="1134"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59E3F21"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Вплив загрози</w:t>
            </w:r>
          </w:p>
        </w:tc>
        <w:tc>
          <w:tcPr>
            <w:tcW w:w="1949"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52E8CCD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Очікувана зміна інтенсивності загрози</w:t>
            </w:r>
          </w:p>
        </w:tc>
        <w:tc>
          <w:tcPr>
            <w:tcW w:w="1919"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480878D4"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Очікувана зміна частоти загрози</w:t>
            </w:r>
          </w:p>
        </w:tc>
        <w:tc>
          <w:tcPr>
            <w:tcW w:w="1537"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0810337D"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Поточний рівень вразливості</w:t>
            </w:r>
          </w:p>
        </w:tc>
        <w:tc>
          <w:tcPr>
            <w:tcW w:w="4677"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093E70C"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Вразливі групи населення</w:t>
            </w:r>
          </w:p>
        </w:tc>
      </w:tr>
      <w:tr w:rsidR="00C82386" w14:paraId="23E5AB62" w14:textId="77777777" w:rsidTr="007112F0">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F704CC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Екстремальна спека </w:t>
            </w:r>
          </w:p>
          <w:p w14:paraId="623D58F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V3 </w:t>
            </w:r>
          </w:p>
        </w:tc>
        <w:tc>
          <w:tcPr>
            <w:tcW w:w="141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68AAED4"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161F692"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1949"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63D2D08"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3F57EA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53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C07771E"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467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571C68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люди поважного віку,  </w:t>
            </w:r>
          </w:p>
          <w:p w14:paraId="38DA73B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діти,  </w:t>
            </w:r>
            <w:r>
              <w:rPr>
                <w:rFonts w:ascii="Times New Roman" w:eastAsia="Times New Roman" w:hAnsi="Times New Roman" w:cs="Times New Roman"/>
                <w:b/>
                <w:color w:val="000000"/>
              </w:rPr>
              <w:br/>
              <w:t>люди з хронічними захворюваннями, </w:t>
            </w:r>
          </w:p>
          <w:p w14:paraId="2F96670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внутрішньо-переміщені особи </w:t>
            </w:r>
          </w:p>
          <w:p w14:paraId="37FA99A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інші</w:t>
            </w:r>
          </w:p>
        </w:tc>
      </w:tr>
      <w:tr w:rsidR="00C82386" w14:paraId="00210FA5" w14:textId="77777777" w:rsidTr="007112F0">
        <w:trPr>
          <w:trHeight w:val="253"/>
        </w:trPr>
        <w:tc>
          <w:tcPr>
            <w:tcW w:w="2260"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3CEC90E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Екстремальний холод </w:t>
            </w:r>
          </w:p>
          <w:p w14:paraId="5A80315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V0 </w:t>
            </w:r>
          </w:p>
        </w:tc>
        <w:tc>
          <w:tcPr>
            <w:tcW w:w="1418"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02F158E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134"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7FED6E23"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1949"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52A72017"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919"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7086E7F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537"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027F131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4677"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600BC06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маломобільні групи населення, </w:t>
            </w:r>
            <w:r>
              <w:rPr>
                <w:rFonts w:ascii="Times New Roman" w:eastAsia="Times New Roman" w:hAnsi="Times New Roman" w:cs="Times New Roman"/>
                <w:b/>
                <w:color w:val="000000"/>
              </w:rPr>
              <w:br/>
              <w:t>люди з домогосподарства з низьким рівнем доходу,  </w:t>
            </w:r>
            <w:r>
              <w:rPr>
                <w:rFonts w:ascii="Times New Roman" w:eastAsia="Times New Roman" w:hAnsi="Times New Roman" w:cs="Times New Roman"/>
                <w:b/>
                <w:color w:val="000000"/>
              </w:rPr>
              <w:br/>
              <w:t>безробітні та люди, що живуть в аварійному помешканні, </w:t>
            </w:r>
          </w:p>
          <w:p w14:paraId="3DE11CF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внутрішньо-переміщені особи </w:t>
            </w:r>
          </w:p>
        </w:tc>
      </w:tr>
      <w:tr w:rsidR="00C82386" w14:paraId="5998D239" w14:textId="77777777" w:rsidTr="007112F0">
        <w:trPr>
          <w:trHeight w:val="291"/>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0F61CD3D"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60B5BA7"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6CC7EA3E"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4C723100"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53CEBD2B"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D3BF13D"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FA28A1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r>
      <w:tr w:rsidR="00C82386" w14:paraId="54577557" w14:textId="77777777" w:rsidTr="007112F0">
        <w:trPr>
          <w:trHeight w:val="291"/>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56C5B92F"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7A5E302A"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0A6AB146"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A1F8134"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65AC7943"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24B4E339"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4A7DBA0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r>
      <w:tr w:rsidR="00C82386" w14:paraId="6F2A7F78" w14:textId="77777777" w:rsidTr="007112F0">
        <w:trPr>
          <w:trHeight w:val="291"/>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A3D64A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604BDAB2"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5911D20D"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1BB43270"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6AFFB3DF"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6EA47343"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35E6B7E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r>
      <w:tr w:rsidR="00C82386" w14:paraId="6674775C" w14:textId="77777777" w:rsidTr="007112F0">
        <w:trPr>
          <w:trHeight w:val="291"/>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4C691B4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77482FDB"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2760E630"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4B6B7C34"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7588BCA4"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19B9D30C" w14:textId="77777777" w:rsidR="00C82386" w:rsidRDefault="00C82386" w:rsidP="007112F0">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08E22364"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r>
      <w:tr w:rsidR="00C82386" w14:paraId="2A185C54" w14:textId="77777777" w:rsidTr="007112F0">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D1401E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зливи </w:t>
            </w:r>
          </w:p>
          <w:p w14:paraId="239AC47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V3</w:t>
            </w:r>
          </w:p>
        </w:tc>
        <w:tc>
          <w:tcPr>
            <w:tcW w:w="141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36F6A7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4530B6C"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0EA2C0A"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2A8548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53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EBE764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BCD9D4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всі групи населення </w:t>
            </w:r>
          </w:p>
        </w:tc>
      </w:tr>
      <w:tr w:rsidR="00C82386" w14:paraId="04B33DA7" w14:textId="77777777" w:rsidTr="007112F0">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39AD5B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снігопади </w:t>
            </w:r>
          </w:p>
          <w:p w14:paraId="66048C3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784EF0E"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21D3BF5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35FF226"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22D98694"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53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E0CAF64"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7B137B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всі групи населення  </w:t>
            </w:r>
          </w:p>
        </w:tc>
      </w:tr>
      <w:tr w:rsidR="00C82386" w14:paraId="454F2BEE" w14:textId="77777777" w:rsidTr="007112F0">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6B50DEC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w:t>
            </w:r>
          </w:p>
          <w:p w14:paraId="18801B9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град </w:t>
            </w:r>
          </w:p>
          <w:p w14:paraId="05B0384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46B679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3770D781"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F0841AE"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ACCBDE6"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53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B9E0CFA"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964A65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домогосподарства з низьким рівнем доходу,  </w:t>
            </w:r>
            <w:r>
              <w:rPr>
                <w:rFonts w:ascii="Times New Roman" w:eastAsia="Times New Roman" w:hAnsi="Times New Roman" w:cs="Times New Roman"/>
                <w:b/>
                <w:color w:val="000000"/>
              </w:rPr>
              <w:br/>
              <w:t>безробітні та люди, що живуть в аварійному помешканні,  </w:t>
            </w:r>
            <w:r>
              <w:rPr>
                <w:rFonts w:ascii="Times New Roman" w:eastAsia="Times New Roman" w:hAnsi="Times New Roman" w:cs="Times New Roman"/>
                <w:b/>
                <w:color w:val="000000"/>
              </w:rPr>
              <w:br/>
              <w:t>інші </w:t>
            </w:r>
          </w:p>
        </w:tc>
      </w:tr>
      <w:tr w:rsidR="00C82386" w14:paraId="371FD528" w14:textId="77777777" w:rsidTr="007112F0">
        <w:trPr>
          <w:trHeight w:val="1100"/>
        </w:trPr>
        <w:tc>
          <w:tcPr>
            <w:tcW w:w="2260"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95523C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Повені: підвищення рівня води </w:t>
            </w:r>
          </w:p>
          <w:p w14:paraId="224951D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V2 </w:t>
            </w:r>
          </w:p>
        </w:tc>
        <w:tc>
          <w:tcPr>
            <w:tcW w:w="1418"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71D698AC"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134"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50ABF552"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949"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FEF27EC"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44DB8078"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537" w:type="dxa"/>
            <w:tcBorders>
              <w:top w:val="single" w:sz="6" w:space="0" w:color="000000"/>
              <w:left w:val="single" w:sz="6" w:space="0" w:color="000000"/>
              <w:right w:val="single" w:sz="6" w:space="0" w:color="000000"/>
            </w:tcBorders>
            <w:shd w:val="clear" w:color="auto" w:fill="CCC1D9"/>
            <w:vAlign w:val="center"/>
          </w:tcPr>
          <w:p w14:paraId="33DC5FA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467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284D436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домогосподарства з низьким рівнем доходу,  </w:t>
            </w:r>
            <w:r>
              <w:rPr>
                <w:rFonts w:ascii="Times New Roman" w:eastAsia="Times New Roman" w:hAnsi="Times New Roman" w:cs="Times New Roman"/>
                <w:b/>
                <w:color w:val="000000"/>
              </w:rPr>
              <w:br/>
              <w:t>безробітні та люди, що живуть в аварійному помешканні,  </w:t>
            </w:r>
            <w:r>
              <w:rPr>
                <w:rFonts w:ascii="Times New Roman" w:eastAsia="Times New Roman" w:hAnsi="Times New Roman" w:cs="Times New Roman"/>
                <w:b/>
                <w:color w:val="000000"/>
              </w:rPr>
              <w:br/>
              <w:t>інші </w:t>
            </w:r>
          </w:p>
        </w:tc>
      </w:tr>
      <w:tr w:rsidR="00C82386" w14:paraId="0FE23CA8" w14:textId="77777777" w:rsidTr="007112F0">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5B413A5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Посуха </w:t>
            </w:r>
          </w:p>
          <w:p w14:paraId="7068218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V2 </w:t>
            </w:r>
          </w:p>
        </w:tc>
        <w:tc>
          <w:tcPr>
            <w:tcW w:w="1418"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5DA1C0A"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середня</w:t>
            </w:r>
          </w:p>
        </w:tc>
        <w:tc>
          <w:tcPr>
            <w:tcW w:w="1134"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7B72A53D"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1949"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783A0DCB"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6300FAB"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висока</w:t>
            </w:r>
          </w:p>
        </w:tc>
        <w:tc>
          <w:tcPr>
            <w:tcW w:w="153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5CD5F4C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171B5D9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всі групи населення </w:t>
            </w:r>
          </w:p>
        </w:tc>
      </w:tr>
      <w:tr w:rsidR="00C82386" w14:paraId="6850BE0E" w14:textId="77777777" w:rsidTr="007112F0">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753DA17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Низові пожежі </w:t>
            </w:r>
          </w:p>
          <w:p w14:paraId="58693BE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V0 </w:t>
            </w:r>
          </w:p>
        </w:tc>
        <w:tc>
          <w:tcPr>
            <w:tcW w:w="141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582C2B17"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17DFC34"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4941317B"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6514064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53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4C43019B"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41A1694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всі групи населення </w:t>
            </w:r>
          </w:p>
        </w:tc>
      </w:tr>
      <w:tr w:rsidR="00C82386" w14:paraId="5FD3729B" w14:textId="77777777" w:rsidTr="007112F0">
        <w:trPr>
          <w:trHeight w:val="1304"/>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C98033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Інфекційні захворювання та алергічні прояви </w:t>
            </w:r>
          </w:p>
          <w:p w14:paraId="6EBF3C0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396FA30D"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ACF0BF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440A6E8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F3DFCB0"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1537" w:type="dxa"/>
            <w:tcBorders>
              <w:top w:val="single" w:sz="6" w:space="0" w:color="000000"/>
              <w:left w:val="single" w:sz="6" w:space="0" w:color="000000"/>
              <w:right w:val="single" w:sz="6" w:space="0" w:color="000000"/>
            </w:tcBorders>
            <w:shd w:val="clear" w:color="auto" w:fill="B7DDE8"/>
            <w:vAlign w:val="center"/>
          </w:tcPr>
          <w:p w14:paraId="6813E41F"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p w14:paraId="5E236096" w14:textId="77777777" w:rsidR="00C82386" w:rsidRDefault="00C82386"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E3D46D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діти,  </w:t>
            </w:r>
            <w:r>
              <w:rPr>
                <w:rFonts w:ascii="Times New Roman" w:eastAsia="Times New Roman" w:hAnsi="Times New Roman" w:cs="Times New Roman"/>
                <w:b/>
                <w:color w:val="000000"/>
              </w:rPr>
              <w:br/>
              <w:t>молодь,  </w:t>
            </w:r>
            <w:r>
              <w:rPr>
                <w:rFonts w:ascii="Times New Roman" w:eastAsia="Times New Roman" w:hAnsi="Times New Roman" w:cs="Times New Roman"/>
                <w:b/>
                <w:color w:val="000000"/>
              </w:rPr>
              <w:br/>
              <w:t>люди з особливими потребами, люди з хронічними захворюваннями,  </w:t>
            </w:r>
            <w:r>
              <w:rPr>
                <w:rFonts w:ascii="Times New Roman" w:eastAsia="Times New Roman" w:hAnsi="Times New Roman" w:cs="Times New Roman"/>
                <w:b/>
                <w:color w:val="000000"/>
              </w:rPr>
              <w:br/>
              <w:t>люди поважного віку </w:t>
            </w:r>
          </w:p>
        </w:tc>
      </w:tr>
    </w:tbl>
    <w:p w14:paraId="4DE08F9B" w14:textId="77777777" w:rsidR="00C82386" w:rsidRDefault="00C82386">
      <w:pPr>
        <w:spacing w:after="0"/>
        <w:jc w:val="both"/>
        <w:rPr>
          <w:rFonts w:ascii="Times New Roman" w:eastAsia="Times New Roman" w:hAnsi="Times New Roman" w:cs="Times New Roman"/>
          <w:sz w:val="24"/>
          <w:szCs w:val="24"/>
        </w:rPr>
      </w:pPr>
    </w:p>
    <w:p w14:paraId="3AF20B5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Підсумкова таблиця оцінки вразливості Житомирської міської територіальної громади до ризиків, що пов’язані зі зміною клімату.</w:t>
      </w:r>
    </w:p>
    <w:tbl>
      <w:tblPr>
        <w:tblStyle w:val="affffff6"/>
        <w:tblW w:w="1487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344"/>
        <w:gridCol w:w="3468"/>
        <w:gridCol w:w="1856"/>
        <w:gridCol w:w="6507"/>
        <w:gridCol w:w="1701"/>
      </w:tblGrid>
      <w:tr w:rsidR="00C82386" w14:paraId="70223D91" w14:textId="77777777" w:rsidTr="007112F0">
        <w:trPr>
          <w:trHeight w:val="300"/>
        </w:trPr>
        <w:tc>
          <w:tcPr>
            <w:tcW w:w="1344"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2AA073B"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Загроза</w:t>
            </w:r>
          </w:p>
        </w:tc>
        <w:tc>
          <w:tcPr>
            <w:tcW w:w="3468"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FE4619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Сектор</w:t>
            </w:r>
          </w:p>
        </w:tc>
        <w:tc>
          <w:tcPr>
            <w:tcW w:w="1856"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7809AC5"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Рівень чутливості сектору</w:t>
            </w:r>
          </w:p>
        </w:tc>
        <w:tc>
          <w:tcPr>
            <w:tcW w:w="6507"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1BBE6B55"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Пропонований індикатор вразливості сектору (може бути встановлений інший)</w:t>
            </w:r>
          </w:p>
        </w:tc>
        <w:tc>
          <w:tcPr>
            <w:tcW w:w="1701" w:type="dxa"/>
            <w:tcBorders>
              <w:top w:val="single" w:sz="6" w:space="0" w:color="000000"/>
              <w:left w:val="single" w:sz="6" w:space="0" w:color="000000"/>
              <w:bottom w:val="single" w:sz="6" w:space="0" w:color="000000"/>
              <w:right w:val="single" w:sz="6" w:space="0" w:color="000000"/>
            </w:tcBorders>
            <w:shd w:val="clear" w:color="auto" w:fill="EEECE1"/>
            <w:vAlign w:val="center"/>
          </w:tcPr>
          <w:p w14:paraId="732867C7" w14:textId="77777777" w:rsidR="00C82386" w:rsidRDefault="00E66F64" w:rsidP="007112F0">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Значення індикатору</w:t>
            </w:r>
          </w:p>
        </w:tc>
      </w:tr>
      <w:tr w:rsidR="00C82386" w14:paraId="7F62A9B9"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14:paraId="6CA0E2A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Екстремальна спека </w:t>
            </w:r>
          </w:p>
          <w:p w14:paraId="7325028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V3 </w:t>
            </w: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14:paraId="6DDFD73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водні ресурси </w:t>
            </w:r>
          </w:p>
          <w:p w14:paraId="3F50BD9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14:paraId="17860487"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B686B24" w14:textId="77777777" w:rsidR="00C82386" w:rsidRDefault="004341E7">
            <w:pPr>
              <w:pBdr>
                <w:top w:val="nil"/>
                <w:left w:val="nil"/>
                <w:bottom w:val="nil"/>
                <w:right w:val="nil"/>
                <w:between w:val="nil"/>
              </w:pBdr>
              <w:spacing w:after="0" w:line="240" w:lineRule="auto"/>
              <w:rPr>
                <w:rFonts w:ascii="Times New Roman" w:eastAsia="Times New Roman" w:hAnsi="Times New Roman" w:cs="Times New Roman"/>
                <w:b/>
                <w:color w:val="000000"/>
              </w:rPr>
            </w:pPr>
            <w:sdt>
              <w:sdtPr>
                <w:tag w:val="goog_rdk_96"/>
                <w:id w:val="-266919278"/>
              </w:sdtPr>
              <w:sdtEndPr/>
              <w:sdtContent/>
            </w:sdt>
            <w:r w:rsidR="00E66F64">
              <w:rPr>
                <w:rFonts w:ascii="Times New Roman" w:eastAsia="Times New Roman" w:hAnsi="Times New Roman" w:cs="Times New Roman"/>
                <w:b/>
                <w:color w:val="000000"/>
              </w:rPr>
              <w:t>Протяжність мереж водовідведення, км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3FE2EB1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255 км </w:t>
            </w:r>
          </w:p>
        </w:tc>
      </w:tr>
      <w:tr w:rsidR="00C82386" w14:paraId="5DF6D81E"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0716178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7590FFC9"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D99594"/>
            <w:vAlign w:val="center"/>
          </w:tcPr>
          <w:p w14:paraId="56B1C43E"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CC2730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Протяжність мереж водопостачання, км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AC40B6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522 км </w:t>
            </w:r>
          </w:p>
        </w:tc>
      </w:tr>
      <w:tr w:rsidR="00C82386" w14:paraId="3183BF32"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61CDE55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32E430C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D99594"/>
            <w:vAlign w:val="center"/>
          </w:tcPr>
          <w:p w14:paraId="772FBA33"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D071F0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Внутрішні води від загальної площі м. Житомир (не включаючи с. Вереси)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53F1E8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2,6% </w:t>
            </w:r>
          </w:p>
        </w:tc>
      </w:tr>
      <w:tr w:rsidR="00C82386" w14:paraId="053DBCFF"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264AAEF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1A261BD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D99594"/>
            <w:vAlign w:val="center"/>
          </w:tcPr>
          <w:p w14:paraId="43078543"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29039F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Максимальний вміст фітопланктону водосховища «Відсічне», яке слугує основним джерелом водопостачання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20CEF1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2022 тис. кл/</w:t>
            </w:r>
            <w:r>
              <w:rPr>
                <w:rFonts w:ascii="Times New Roman" w:eastAsia="Times New Roman" w:hAnsi="Times New Roman" w:cs="Times New Roman"/>
                <w:b/>
                <w:color w:val="000000"/>
              </w:rPr>
              <w:br/>
              <w:t>см</w:t>
            </w:r>
            <w:r>
              <w:rPr>
                <w:rFonts w:ascii="Times New Roman" w:eastAsia="Times New Roman" w:hAnsi="Times New Roman" w:cs="Times New Roman"/>
                <w:b/>
                <w:color w:val="000000"/>
                <w:vertAlign w:val="superscript"/>
              </w:rPr>
              <w:t>3</w:t>
            </w:r>
          </w:p>
        </w:tc>
      </w:tr>
      <w:tr w:rsidR="00C82386" w14:paraId="12EE336D"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2C88427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14:paraId="026B12D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відходи </w:t>
            </w:r>
          </w:p>
          <w:p w14:paraId="60BFB29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14:paraId="3533A3A0"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9190E4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Звернення зі скаргами населення за сморід із смітників (% респондентів, для яких це становить проблему) </w:t>
            </w:r>
          </w:p>
          <w:p w14:paraId="7144F1B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CF9B6F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66,1% (2020)</w:t>
            </w:r>
            <w:r>
              <w:rPr>
                <w:rFonts w:ascii="Times New Roman" w:eastAsia="Times New Roman" w:hAnsi="Times New Roman" w:cs="Times New Roman"/>
                <w:b/>
                <w:color w:val="000000"/>
              </w:rPr>
              <w:br/>
              <w:t>54%  (2024) </w:t>
            </w:r>
          </w:p>
        </w:tc>
      </w:tr>
      <w:tr w:rsidR="00C82386" w14:paraId="6BFA7F42"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57378788"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08574952"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D99594"/>
            <w:vAlign w:val="center"/>
          </w:tcPr>
          <w:p w14:paraId="17A48B42"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E7F2CD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Доля відходів, що підлягають захороненню на полігоні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FE8AB2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100% </w:t>
            </w:r>
          </w:p>
        </w:tc>
      </w:tr>
      <w:tr w:rsidR="00C82386" w14:paraId="539B405F"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03F0F87F"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14:paraId="4E79DAC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планування землекористування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14:paraId="33CBF34B"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324151A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Нестача затінення: % респондентів, які відзначають недостатній рівень затінку на вулицях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EE6192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71,1% (2020) </w:t>
            </w:r>
          </w:p>
          <w:p w14:paraId="2C5F004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66% (2024) </w:t>
            </w:r>
          </w:p>
        </w:tc>
      </w:tr>
      <w:tr w:rsidR="00C82386" w14:paraId="37182864"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06015169"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7B9CD4E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D99594"/>
            <w:vAlign w:val="center"/>
          </w:tcPr>
          <w:p w14:paraId="4AA07EC1"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A2B8E0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Відкриті землі без рослинного покриву або з незначним рослинним покривом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3F55DB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3,7% </w:t>
            </w:r>
          </w:p>
        </w:tc>
      </w:tr>
      <w:tr w:rsidR="00C82386" w14:paraId="6F80CB37"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34D25D0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5484B3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17B0747"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7D2F76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звернень із скаргами на серцево-судинні захворювання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369DE4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51291B8B"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3B00E82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CD60A3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середовище та біорізноманіття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A538E3E"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284B05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днів з температурою +30 градусів Цельсія і вище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176D24C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2,8 </w:t>
            </w:r>
          </w:p>
        </w:tc>
      </w:tr>
      <w:tr w:rsidR="00C82386" w14:paraId="5829A0A5"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31128C3F"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F9B242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транспорт </w:t>
            </w:r>
          </w:p>
          <w:p w14:paraId="6DC7C3A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енергетика, цивільний захист та надзвичайні ситуації, туризм </w:t>
            </w:r>
          </w:p>
          <w:p w14:paraId="23A936A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освіта,  </w:t>
            </w:r>
          </w:p>
          <w:p w14:paraId="2DA1A66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інформаційно-комунікаційні технології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D7A07E0"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3D8CEE4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29DBB5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11C34AE2"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14:paraId="5004CD2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Екстремальний холод </w:t>
            </w:r>
          </w:p>
          <w:p w14:paraId="6340457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V0 </w:t>
            </w: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3B695D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транспорт</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7E9F333E"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C7DBF1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днів, коли спостерігалася ожеледиця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F17DE9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758E7096"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0C1C758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AD5831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2C12513C"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55C342C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звернень громадян із обмороженнями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EE5161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19207C9A"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748215B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D87E49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w:t>
            </w:r>
          </w:p>
          <w:p w14:paraId="215A8B3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299AB211"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2EADF2C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будівель, які знаходяться в аварійному стані. </w:t>
            </w:r>
          </w:p>
          <w:p w14:paraId="62482D8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Тривалість періоду із нижчими за санітарно-гігієнічні норми температурами в будівлях шкіл, садочків, лікарень).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0608C2A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 </w:t>
            </w:r>
          </w:p>
        </w:tc>
      </w:tr>
      <w:tr w:rsidR="00C82386" w14:paraId="1FD30C85"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0E58E40F"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0331CB3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енергетика </w:t>
            </w:r>
          </w:p>
          <w:p w14:paraId="284D1C6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14749BA"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16E438C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аварійних відключень внаслідок додаткового обігріву населення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4C637D8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014B80BC"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14:paraId="7E93FC7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0E4868C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сільське та лісове господарство </w:t>
            </w:r>
          </w:p>
          <w:p w14:paraId="0AE73E3B"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644B24E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p w14:paraId="31D409C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інформаційно-комунікаційні технології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2E8849A0"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3D7D3E4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08CB7B7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447ACB7E"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14:paraId="4896683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зливи </w:t>
            </w:r>
          </w:p>
          <w:p w14:paraId="4D29D1F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V3</w:t>
            </w:r>
            <w:r>
              <w:rPr>
                <w:rFonts w:ascii="Times New Roman" w:eastAsia="Times New Roman" w:hAnsi="Times New Roman" w:cs="Times New Roman"/>
                <w:b/>
                <w:color w:val="000000"/>
              </w:rPr>
              <w:tab/>
              <w:t> </w:t>
            </w: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869B67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 і біорізноманіття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A88FD97"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4758351" w14:textId="77777777" w:rsidR="00C82386" w:rsidRDefault="004341E7">
            <w:pPr>
              <w:pBdr>
                <w:top w:val="nil"/>
                <w:left w:val="nil"/>
                <w:bottom w:val="nil"/>
                <w:right w:val="nil"/>
                <w:between w:val="nil"/>
              </w:pBdr>
              <w:spacing w:after="0" w:line="240" w:lineRule="auto"/>
              <w:rPr>
                <w:rFonts w:ascii="Times New Roman" w:eastAsia="Times New Roman" w:hAnsi="Times New Roman" w:cs="Times New Roman"/>
                <w:b/>
                <w:color w:val="000000"/>
              </w:rPr>
            </w:pPr>
            <w:sdt>
              <w:sdtPr>
                <w:tag w:val="goog_rdk_97"/>
                <w:id w:val="1798111607"/>
              </w:sdtPr>
              <w:sdtEndPr/>
              <w:sdtContent/>
            </w:sdt>
            <w:r w:rsidR="00E66F64">
              <w:rPr>
                <w:rFonts w:ascii="Times New Roman" w:eastAsia="Times New Roman" w:hAnsi="Times New Roman" w:cs="Times New Roman"/>
                <w:b/>
                <w:color w:val="000000"/>
              </w:rPr>
              <w:t>Зменшення кількості опадів порівняно із кліматичною нормою в період з 2000-2015 років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B3B7EC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3% </w:t>
            </w:r>
          </w:p>
        </w:tc>
      </w:tr>
      <w:tr w:rsidR="00C82386" w14:paraId="7B1AC336"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35DD73A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0BAA56B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w:t>
            </w:r>
          </w:p>
          <w:p w14:paraId="20CE435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3F925D0"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82C568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Підтоплення внаслідок зливових та довготривалих опадів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801760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2,3 км</w:t>
            </w:r>
            <w:r>
              <w:rPr>
                <w:rFonts w:ascii="Times New Roman" w:eastAsia="Times New Roman" w:hAnsi="Times New Roman" w:cs="Times New Roman"/>
                <w:b/>
                <w:color w:val="000000"/>
                <w:vertAlign w:val="superscript"/>
              </w:rPr>
              <w:t xml:space="preserve">2  </w:t>
            </w:r>
            <w:r>
              <w:rPr>
                <w:rFonts w:ascii="Times New Roman" w:eastAsia="Times New Roman" w:hAnsi="Times New Roman" w:cs="Times New Roman"/>
                <w:b/>
                <w:color w:val="000000"/>
              </w:rPr>
              <w:t>та 7170 чоловік </w:t>
            </w:r>
          </w:p>
        </w:tc>
      </w:tr>
      <w:tr w:rsidR="00C82386" w14:paraId="49AB4E46"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4CBFDD7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79EDE0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планування землекористування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4B902FF"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8B4B0B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населення, що проживає в зонах зсувних процесів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6EBA87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2800 чоловік </w:t>
            </w:r>
          </w:p>
        </w:tc>
      </w:tr>
      <w:tr w:rsidR="00C82386" w14:paraId="76D6ED7E"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4BE6BA4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6D862B3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транспорт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4F358206"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2CA094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Протяжність зливової мережі в м. Житомир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2BD3C91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160 км </w:t>
            </w:r>
          </w:p>
        </w:tc>
      </w:tr>
      <w:tr w:rsidR="00C82386" w14:paraId="4A000523"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14:paraId="2E61EF1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7E1D0F0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енергетика </w:t>
            </w:r>
          </w:p>
          <w:p w14:paraId="3BD7688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51D2A26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відходи </w:t>
            </w:r>
          </w:p>
          <w:p w14:paraId="18ACC6E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сільське та лісове господарство </w:t>
            </w:r>
          </w:p>
          <w:p w14:paraId="37562C1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7FE6F28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9F231E1" w14:textId="77777777" w:rsidR="00C82386" w:rsidRDefault="00C82386"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3B7057A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14:paraId="5FE0B15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779976CA" w14:textId="77777777" w:rsidTr="007112F0">
        <w:trPr>
          <w:trHeight w:val="300"/>
        </w:trPr>
        <w:tc>
          <w:tcPr>
            <w:tcW w:w="1344"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DD1E1D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снігопади </w:t>
            </w:r>
          </w:p>
          <w:p w14:paraId="77D1AB9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V1 </w:t>
            </w:r>
          </w:p>
        </w:tc>
        <w:tc>
          <w:tcPr>
            <w:tcW w:w="346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41B028B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транспорт  </w:t>
            </w:r>
          </w:p>
          <w:p w14:paraId="1E16567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p w14:paraId="59FEC06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w:t>
            </w:r>
          </w:p>
          <w:p w14:paraId="1D27443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енергетика </w:t>
            </w:r>
          </w:p>
          <w:p w14:paraId="06700EC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13F3AF41"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0697049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6A98D71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інформаційно-комунікаційні технології </w:t>
            </w:r>
          </w:p>
        </w:tc>
        <w:tc>
          <w:tcPr>
            <w:tcW w:w="1856"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481A32C"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C5D7977" w14:textId="77777777" w:rsidR="00C82386" w:rsidRDefault="00E66F64" w:rsidP="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Підтоплення внаслідок зливових та довготривалих опадів (враховувати наслідки </w:t>
            </w:r>
            <w:r w:rsidR="00D72CDF" w:rsidRPr="0026626A">
              <w:rPr>
                <w:rFonts w:ascii="Times New Roman" w:eastAsia="Times New Roman" w:hAnsi="Times New Roman" w:cs="Times New Roman"/>
                <w:b/>
                <w:color w:val="000000"/>
              </w:rPr>
              <w:t>випадання</w:t>
            </w:r>
            <w:r>
              <w:rPr>
                <w:rFonts w:ascii="Times New Roman" w:eastAsia="Times New Roman" w:hAnsi="Times New Roman" w:cs="Times New Roman"/>
                <w:b/>
                <w:color w:val="000000"/>
              </w:rPr>
              <w:t xml:space="preserve"> опадів у вигляді снігу та раптового його танення)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2909CA0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2,3 км</w:t>
            </w:r>
            <w:r>
              <w:rPr>
                <w:rFonts w:ascii="Times New Roman" w:eastAsia="Times New Roman" w:hAnsi="Times New Roman" w:cs="Times New Roman"/>
                <w:b/>
                <w:color w:val="000000"/>
                <w:vertAlign w:val="superscript"/>
              </w:rPr>
              <w:t xml:space="preserve">2  </w:t>
            </w:r>
            <w:r>
              <w:rPr>
                <w:rFonts w:ascii="Times New Roman" w:eastAsia="Times New Roman" w:hAnsi="Times New Roman" w:cs="Times New Roman"/>
                <w:b/>
                <w:color w:val="000000"/>
              </w:rPr>
              <w:t>та 7170 чоловік </w:t>
            </w:r>
          </w:p>
        </w:tc>
      </w:tr>
      <w:tr w:rsidR="00C82386" w14:paraId="0A638C82" w14:textId="77777777" w:rsidTr="007112F0">
        <w:trPr>
          <w:trHeight w:val="300"/>
        </w:trPr>
        <w:tc>
          <w:tcPr>
            <w:tcW w:w="1344"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56F1F5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Екстремальні опади: </w:t>
            </w:r>
          </w:p>
          <w:p w14:paraId="23112AB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град </w:t>
            </w:r>
          </w:p>
          <w:p w14:paraId="649F679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V1 </w:t>
            </w:r>
          </w:p>
        </w:tc>
        <w:tc>
          <w:tcPr>
            <w:tcW w:w="346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525715C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сільське та лісове господарство; </w:t>
            </w:r>
          </w:p>
          <w:p w14:paraId="71EA628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w:t>
            </w:r>
          </w:p>
          <w:p w14:paraId="47D2D7F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транспорт </w:t>
            </w:r>
          </w:p>
          <w:p w14:paraId="7EB31EF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енергетика </w:t>
            </w:r>
          </w:p>
          <w:p w14:paraId="38B84246"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0FD34F2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3891195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tc>
        <w:tc>
          <w:tcPr>
            <w:tcW w:w="1856"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3186B81D"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851F446" w14:textId="77777777" w:rsidR="00C82386" w:rsidRDefault="00E66F64" w:rsidP="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Руйнування майна внаслідок </w:t>
            </w:r>
            <w:r w:rsidR="00D72CDF">
              <w:rPr>
                <w:rFonts w:ascii="Times New Roman" w:eastAsia="Times New Roman" w:hAnsi="Times New Roman" w:cs="Times New Roman"/>
                <w:b/>
                <w:color w:val="000000"/>
              </w:rPr>
              <w:t xml:space="preserve">випадання </w:t>
            </w:r>
            <w:r>
              <w:rPr>
                <w:rFonts w:ascii="Times New Roman" w:eastAsia="Times New Roman" w:hAnsi="Times New Roman" w:cs="Times New Roman"/>
                <w:b/>
                <w:color w:val="000000"/>
              </w:rPr>
              <w:t>граду.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B14DCB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52F71B66"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14:paraId="281203A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Повені: підвищення рівня води </w:t>
            </w:r>
          </w:p>
          <w:p w14:paraId="5623393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V2 </w:t>
            </w:r>
          </w:p>
        </w:tc>
        <w:tc>
          <w:tcPr>
            <w:tcW w:w="3468"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2056F67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планування землекористування </w:t>
            </w:r>
          </w:p>
          <w:p w14:paraId="433A9E0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3ACE62F7"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1AB77C7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Загальна площа ставків, кар’єрів та копанок (без урахування ставка у с. Вереси)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C2DC54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56,7 га </w:t>
            </w:r>
          </w:p>
        </w:tc>
      </w:tr>
      <w:tr w:rsidR="00C82386" w14:paraId="061ACFC2"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6CE2FEA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14:paraId="5B4F59E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Будівлі </w:t>
            </w:r>
          </w:p>
          <w:p w14:paraId="0E37DC1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транспорт </w:t>
            </w:r>
          </w:p>
          <w:p w14:paraId="10031F8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62DDF26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сільське та лісове господарство </w:t>
            </w:r>
          </w:p>
          <w:p w14:paraId="77A8801A"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164751D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491C853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tc>
        <w:tc>
          <w:tcPr>
            <w:tcW w:w="1856" w:type="dxa"/>
            <w:vMerge w:val="restart"/>
            <w:tcBorders>
              <w:top w:val="single" w:sz="6" w:space="0" w:color="000000"/>
              <w:left w:val="single" w:sz="6" w:space="0" w:color="000000"/>
              <w:right w:val="single" w:sz="6" w:space="0" w:color="000000"/>
            </w:tcBorders>
            <w:shd w:val="clear" w:color="auto" w:fill="CCC1D9"/>
            <w:vAlign w:val="center"/>
          </w:tcPr>
          <w:p w14:paraId="662E96F2"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24619C3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людей, що можуть опинитися в  зоні катастрофічного затоплення внаслідок руйнування водопідйомної греблі на р. Тетерів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4FB24C0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1,12 тис. осіб </w:t>
            </w:r>
          </w:p>
        </w:tc>
      </w:tr>
      <w:tr w:rsidR="00C82386" w14:paraId="421EF397"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4DA0EF96"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32142A7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CCC1D9"/>
            <w:vAlign w:val="center"/>
          </w:tcPr>
          <w:p w14:paraId="4AAE741E"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21A98F0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Площа затоплення  внаслідок руйнування водопідйомної греблі на р. Тетерів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0E090C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15,0 км</w:t>
            </w:r>
            <w:r>
              <w:rPr>
                <w:rFonts w:ascii="Times New Roman" w:eastAsia="Times New Roman" w:hAnsi="Times New Roman" w:cs="Times New Roman"/>
                <w:b/>
                <w:color w:val="000000"/>
                <w:vertAlign w:val="superscript"/>
              </w:rPr>
              <w:t>2</w:t>
            </w:r>
            <w:r>
              <w:rPr>
                <w:rFonts w:ascii="Times New Roman" w:eastAsia="Times New Roman" w:hAnsi="Times New Roman" w:cs="Times New Roman"/>
                <w:b/>
                <w:color w:val="000000"/>
              </w:rPr>
              <w:t> </w:t>
            </w:r>
          </w:p>
        </w:tc>
      </w:tr>
      <w:tr w:rsidR="00C82386" w14:paraId="241E887D"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14:paraId="3873C4C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Посуха </w:t>
            </w:r>
          </w:p>
          <w:p w14:paraId="4C50817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V2 </w:t>
            </w:r>
          </w:p>
        </w:tc>
        <w:tc>
          <w:tcPr>
            <w:tcW w:w="3468"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4784CD5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4CC735A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vMerge w:val="restart"/>
            <w:tcBorders>
              <w:top w:val="single" w:sz="6" w:space="0" w:color="000000"/>
              <w:left w:val="single" w:sz="6" w:space="0" w:color="000000"/>
              <w:right w:val="single" w:sz="6" w:space="0" w:color="000000"/>
            </w:tcBorders>
            <w:shd w:val="clear" w:color="auto" w:fill="CCC1D9"/>
            <w:vAlign w:val="center"/>
          </w:tcPr>
          <w:p w14:paraId="11627C2C"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A426D6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Потреба у створенні зелених насаджень спеціального призначення у санітарно-захисних зонах та охоронних зонах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316C55A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Біля 50 га </w:t>
            </w:r>
          </w:p>
        </w:tc>
      </w:tr>
      <w:tr w:rsidR="00C82386" w14:paraId="44993D22"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4266EC5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14:paraId="0184AF2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землекористування </w:t>
            </w:r>
          </w:p>
          <w:p w14:paraId="5A4028D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планування  </w:t>
            </w:r>
          </w:p>
          <w:p w14:paraId="6A6B600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сільське та лісове господарство </w:t>
            </w:r>
          </w:p>
          <w:p w14:paraId="344FBA05"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71A0249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туризм </w:t>
            </w:r>
          </w:p>
          <w:p w14:paraId="27A969D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294EFA0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vMerge/>
            <w:tcBorders>
              <w:top w:val="single" w:sz="6" w:space="0" w:color="000000"/>
              <w:left w:val="single" w:sz="6" w:space="0" w:color="000000"/>
              <w:right w:val="single" w:sz="6" w:space="0" w:color="000000"/>
            </w:tcBorders>
            <w:shd w:val="clear" w:color="auto" w:fill="CCC1D9"/>
            <w:vAlign w:val="center"/>
          </w:tcPr>
          <w:p w14:paraId="55DBE2D2"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F99762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Опитувані, що відзначають нестачу парків, скверів та садів у місті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D572E5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61,1% (2020) </w:t>
            </w:r>
            <w:r>
              <w:rPr>
                <w:rFonts w:ascii="Times New Roman" w:eastAsia="Times New Roman" w:hAnsi="Times New Roman" w:cs="Times New Roman"/>
                <w:b/>
                <w:color w:val="000000"/>
              </w:rPr>
              <w:br/>
              <w:t>58% (2024) </w:t>
            </w:r>
          </w:p>
        </w:tc>
      </w:tr>
      <w:tr w:rsidR="00C82386" w14:paraId="304328FF"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45CB1B7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1BEA77F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CCC1D9"/>
            <w:vAlign w:val="center"/>
          </w:tcPr>
          <w:p w14:paraId="0D08BAEA"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22F74C5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зелених насаджень на 1 мешканця Житомира (норматив 16 м</w:t>
            </w:r>
            <w:r>
              <w:rPr>
                <w:rFonts w:ascii="Times New Roman" w:eastAsia="Times New Roman" w:hAnsi="Times New Roman" w:cs="Times New Roman"/>
                <w:b/>
                <w:color w:val="000000"/>
                <w:vertAlign w:val="superscript"/>
              </w:rPr>
              <w:t>2</w:t>
            </w: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439962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12,4 м</w:t>
            </w:r>
            <w:r>
              <w:rPr>
                <w:rFonts w:ascii="Times New Roman" w:eastAsia="Times New Roman" w:hAnsi="Times New Roman" w:cs="Times New Roman"/>
                <w:b/>
                <w:color w:val="000000"/>
                <w:vertAlign w:val="superscript"/>
              </w:rPr>
              <w:t>2 </w:t>
            </w:r>
            <w:r>
              <w:rPr>
                <w:rFonts w:ascii="Times New Roman" w:eastAsia="Times New Roman" w:hAnsi="Times New Roman" w:cs="Times New Roman"/>
                <w:b/>
                <w:color w:val="000000"/>
              </w:rPr>
              <w:t> </w:t>
            </w:r>
          </w:p>
        </w:tc>
      </w:tr>
      <w:tr w:rsidR="00C82386" w14:paraId="58B55971"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1B8880A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5EBC3B1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CCC1D9"/>
            <w:vAlign w:val="center"/>
          </w:tcPr>
          <w:p w14:paraId="7634CD6E"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2B9E580"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Площа насаджень загального користування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10A6591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335 га </w:t>
            </w:r>
          </w:p>
        </w:tc>
      </w:tr>
      <w:tr w:rsidR="00C82386" w14:paraId="6FBB21F0"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40352ED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5352284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CCC1D9"/>
            <w:vAlign w:val="center"/>
          </w:tcPr>
          <w:p w14:paraId="11DFD42F"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52DBBEE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Належний стан благоустрою насаджень загального користування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5336933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40,3% </w:t>
            </w:r>
          </w:p>
        </w:tc>
      </w:tr>
      <w:tr w:rsidR="00C82386" w14:paraId="3BB40281"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14:paraId="7911D66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3C5BA5C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енергетика </w:t>
            </w:r>
          </w:p>
          <w:p w14:paraId="22F4AF1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відходи </w:t>
            </w:r>
          </w:p>
        </w:tc>
        <w:tc>
          <w:tcPr>
            <w:tcW w:w="1856"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1FED1A36" w14:textId="77777777" w:rsidR="00C82386" w:rsidRDefault="00C82386"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661346D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14:paraId="0C91429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35B6BE86" w14:textId="77777777" w:rsidTr="007112F0">
        <w:trPr>
          <w:trHeight w:val="300"/>
        </w:trPr>
        <w:tc>
          <w:tcPr>
            <w:tcW w:w="1344"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03D0E76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Низові пожежі </w:t>
            </w:r>
          </w:p>
          <w:p w14:paraId="004B354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V0 </w:t>
            </w:r>
          </w:p>
        </w:tc>
        <w:tc>
          <w:tcPr>
            <w:tcW w:w="3468"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60471E0F"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відходи </w:t>
            </w:r>
          </w:p>
          <w:p w14:paraId="235913A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2B5476C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планування землекористування </w:t>
            </w:r>
          </w:p>
          <w:p w14:paraId="625D096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сільське та лісове господарство </w:t>
            </w:r>
          </w:p>
          <w:p w14:paraId="263EAA35" w14:textId="77777777" w:rsidR="00C82386" w:rsidRDefault="00D72CDF">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навколишнє природне середовище</w:t>
            </w:r>
            <w:r w:rsidR="00E66F64">
              <w:rPr>
                <w:rFonts w:ascii="Times New Roman" w:eastAsia="Times New Roman" w:hAnsi="Times New Roman" w:cs="Times New Roman"/>
                <w:b/>
                <w:color w:val="000000"/>
              </w:rPr>
              <w:t xml:space="preserve"> і біорізноманіття </w:t>
            </w:r>
          </w:p>
          <w:p w14:paraId="4D147B69"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25CF41EA"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цивільний захист та надзвичайні ситуації </w:t>
            </w:r>
          </w:p>
          <w:p w14:paraId="1B206E8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туризм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463CCD37"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25999C3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зафіксованих пожеж за період </w:t>
            </w:r>
          </w:p>
          <w:p w14:paraId="110A864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Тривалість періоду пожежонебезпеки, що встановлюється ДСНС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14:paraId="5BCF2B2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C82386" w14:paraId="2B37E9D2" w14:textId="77777777" w:rsidTr="007112F0">
        <w:trPr>
          <w:trHeight w:val="300"/>
        </w:trPr>
        <w:tc>
          <w:tcPr>
            <w:tcW w:w="1344" w:type="dxa"/>
            <w:vMerge w:val="restart"/>
            <w:tcBorders>
              <w:top w:val="single" w:sz="6" w:space="0" w:color="000000"/>
              <w:left w:val="single" w:sz="6" w:space="0" w:color="000000"/>
              <w:bottom w:val="single" w:sz="6" w:space="0" w:color="000000"/>
              <w:right w:val="single" w:sz="6" w:space="0" w:color="000000"/>
            </w:tcBorders>
            <w:shd w:val="clear" w:color="auto" w:fill="B7DDE8"/>
            <w:vAlign w:val="center"/>
          </w:tcPr>
          <w:p w14:paraId="3EB7E83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Інфекційні захворювання та алергічні прояви </w:t>
            </w:r>
          </w:p>
          <w:p w14:paraId="3054F93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V1 </w:t>
            </w:r>
          </w:p>
        </w:tc>
        <w:tc>
          <w:tcPr>
            <w:tcW w:w="3468" w:type="dxa"/>
            <w:vMerge w:val="restart"/>
            <w:tcBorders>
              <w:top w:val="single" w:sz="6" w:space="0" w:color="000000"/>
              <w:left w:val="single" w:sz="6" w:space="0" w:color="000000"/>
              <w:bottom w:val="single" w:sz="6" w:space="0" w:color="000000"/>
              <w:right w:val="single" w:sz="6" w:space="0" w:color="000000"/>
            </w:tcBorders>
            <w:shd w:val="clear" w:color="auto" w:fill="B7DDE8"/>
            <w:vAlign w:val="center"/>
          </w:tcPr>
          <w:p w14:paraId="46E8E43B"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охорона здоров’я </w:t>
            </w:r>
          </w:p>
          <w:p w14:paraId="6F8888F1"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856" w:type="dxa"/>
            <w:vMerge w:val="restart"/>
            <w:tcBorders>
              <w:top w:val="single" w:sz="6" w:space="0" w:color="000000"/>
              <w:left w:val="single" w:sz="6" w:space="0" w:color="000000"/>
              <w:right w:val="single" w:sz="6" w:space="0" w:color="000000"/>
            </w:tcBorders>
            <w:shd w:val="clear" w:color="auto" w:fill="B7DDE8"/>
            <w:vAlign w:val="center"/>
          </w:tcPr>
          <w:p w14:paraId="63FA79C3" w14:textId="77777777" w:rsidR="00C82386" w:rsidRDefault="00E66F64"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B1E238E"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людей похилого віку (65 років і старші), що проживають в м. Житомир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6E46BFC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37892 (14,4%) </w:t>
            </w:r>
          </w:p>
        </w:tc>
      </w:tr>
      <w:tr w:rsidR="00C82386" w14:paraId="3F4A988E"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1B11DD8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176B6AE4"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0EF07C2E"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3AD8B1E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людей похилого віку (65 років і старші), що проживають в с. Вереси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262D9F7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227 (9,3%) </w:t>
            </w:r>
          </w:p>
        </w:tc>
      </w:tr>
      <w:tr w:rsidR="00C82386" w14:paraId="09EACBB1"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2BCB45A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303B9E6A"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7A390951"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9276D3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дітей (віком до 14 років), що проживають в м. Житомир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895124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41181 (15,6%) </w:t>
            </w:r>
          </w:p>
        </w:tc>
      </w:tr>
      <w:tr w:rsidR="00C82386" w14:paraId="50B22E68"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0F950B1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63D61C68"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280CB972"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B3300F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дітей (віком до 14 років), що проживають в с. Вереси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3EB8C03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282 (11,5%) </w:t>
            </w:r>
          </w:p>
        </w:tc>
      </w:tr>
      <w:tr w:rsidR="00C82386" w14:paraId="46799E9A"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5EAB295D"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675ECFF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3B5D283F"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FDDD9D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Звернень з укусами кліщів в рік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CFB0EF4"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480 </w:t>
            </w:r>
          </w:p>
        </w:tc>
      </w:tr>
      <w:tr w:rsidR="00C82386" w14:paraId="18F78542"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42C64C71"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4C6F645D"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686A3167"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4CF632A8"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Звернення з алергійними проявами в рік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1C0222A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1000 </w:t>
            </w:r>
          </w:p>
        </w:tc>
      </w:tr>
      <w:tr w:rsidR="00C82386" w14:paraId="4410A950"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6ABFF7B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618FE16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1856" w:type="dxa"/>
            <w:vMerge/>
            <w:tcBorders>
              <w:top w:val="single" w:sz="6" w:space="0" w:color="000000"/>
              <w:left w:val="single" w:sz="6" w:space="0" w:color="000000"/>
              <w:right w:val="single" w:sz="6" w:space="0" w:color="000000"/>
            </w:tcBorders>
            <w:shd w:val="clear" w:color="auto" w:fill="B7DDE8"/>
            <w:vAlign w:val="center"/>
          </w:tcPr>
          <w:p w14:paraId="67C815A5" w14:textId="77777777" w:rsidR="00C82386" w:rsidRDefault="00C82386" w:rsidP="00F50E39">
            <w:pPr>
              <w:widowControl w:val="0"/>
              <w:pBdr>
                <w:top w:val="nil"/>
                <w:left w:val="nil"/>
                <w:bottom w:val="nil"/>
                <w:right w:val="nil"/>
                <w:between w:val="nil"/>
              </w:pBdr>
              <w:spacing w:after="0"/>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1F34F3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Кількість захворювань на суму гострих кишкових інфекцій, осіб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6E3360AC"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1211 </w:t>
            </w:r>
          </w:p>
        </w:tc>
      </w:tr>
      <w:tr w:rsidR="00C82386" w14:paraId="281E01B0" w14:textId="77777777" w:rsidTr="007112F0">
        <w:trPr>
          <w:trHeight w:val="300"/>
        </w:trPr>
        <w:tc>
          <w:tcPr>
            <w:tcW w:w="1344"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14:paraId="4E3C3229"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3468"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65D2F66"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відходи </w:t>
            </w:r>
          </w:p>
          <w:p w14:paraId="6FF05A7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вода </w:t>
            </w:r>
          </w:p>
          <w:p w14:paraId="72CB24D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освіта </w:t>
            </w:r>
          </w:p>
        </w:tc>
        <w:tc>
          <w:tcPr>
            <w:tcW w:w="1856"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7650A943" w14:textId="77777777" w:rsidR="00C82386" w:rsidRDefault="00C82386" w:rsidP="00F50E39">
            <w:pPr>
              <w:pBdr>
                <w:top w:val="nil"/>
                <w:left w:val="nil"/>
                <w:bottom w:val="nil"/>
                <w:right w:val="nil"/>
                <w:between w:val="nil"/>
              </w:pBdr>
              <w:spacing w:after="0" w:line="240" w:lineRule="auto"/>
              <w:jc w:val="center"/>
              <w:rPr>
                <w:rFonts w:ascii="Times New Roman" w:eastAsia="Times New Roman" w:hAnsi="Times New Roman" w:cs="Times New Roman"/>
                <w:b/>
                <w:color w:val="000000"/>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0F7A5DD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14:paraId="646F97C3"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bl>
    <w:p w14:paraId="22337B5B" w14:textId="77777777" w:rsidR="00C82386" w:rsidRDefault="00C82386">
      <w:pPr>
        <w:spacing w:after="0"/>
        <w:ind w:firstLine="709"/>
        <w:jc w:val="both"/>
        <w:rPr>
          <w:rFonts w:ascii="Times New Roman" w:eastAsia="Times New Roman" w:hAnsi="Times New Roman" w:cs="Times New Roman"/>
          <w:sz w:val="24"/>
          <w:szCs w:val="24"/>
        </w:rPr>
        <w:sectPr w:rsidR="00C82386" w:rsidSect="007112F0">
          <w:pgSz w:w="16838" w:h="11906" w:orient="landscape"/>
          <w:pgMar w:top="568" w:right="1134" w:bottom="851" w:left="1134" w:header="709" w:footer="709" w:gutter="0"/>
          <w:cols w:space="720"/>
        </w:sectPr>
      </w:pPr>
    </w:p>
    <w:p w14:paraId="2C10114D" w14:textId="77777777" w:rsidR="00C82386" w:rsidRDefault="00E66F64">
      <w:pPr>
        <w:keepNext/>
        <w:keepLines/>
        <w:pBdr>
          <w:top w:val="nil"/>
          <w:left w:val="nil"/>
          <w:bottom w:val="nil"/>
          <w:right w:val="nil"/>
          <w:between w:val="nil"/>
        </w:pBdr>
        <w:spacing w:after="0"/>
        <w:jc w:val="both"/>
        <w:rPr>
          <w:rFonts w:ascii="Times New Roman" w:eastAsia="Times New Roman" w:hAnsi="Times New Roman" w:cs="Times New Roman"/>
          <w:b/>
          <w:color w:val="000000"/>
          <w:sz w:val="28"/>
          <w:szCs w:val="28"/>
        </w:rPr>
      </w:pPr>
      <w:bookmarkStart w:id="76" w:name="_heading=h.4h042r0" w:colFirst="0" w:colLast="0"/>
      <w:bookmarkEnd w:id="76"/>
      <w:r>
        <w:rPr>
          <w:rFonts w:ascii="Times New Roman" w:eastAsia="Times New Roman" w:hAnsi="Times New Roman" w:cs="Times New Roman"/>
          <w:b/>
          <w:color w:val="000000"/>
          <w:sz w:val="28"/>
          <w:szCs w:val="28"/>
        </w:rPr>
        <w:lastRenderedPageBreak/>
        <w:t xml:space="preserve">РОЗДІЛ 8. ОПИС ЗАХОДІВ З АДАПТАЦІЇ ЖИТОМИРСЬКОЇ МІСЬКОЇ ТЕРИТОРІАЛЬНОЇ ГРОМАДИ ДО КЛІМАТИЧНИХ ЗМІН </w:t>
      </w:r>
    </w:p>
    <w:p w14:paraId="7F74762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забезпечення сталості та розвитку Житомирської міської громади в умовах зміни клімату необхідно впровадження відповідних адаптаційних заходів, що мають на меті зниження вразливості до наслідків зміни клімату та посилення адаптаційного потенціалу. </w:t>
      </w:r>
    </w:p>
    <w:p w14:paraId="31E4FB47"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Найвищий рівень вразливості до зміни клімату  Житомирська міська громада має до екстремальних опадів: зливи та екстремальної спеки. Рекомендовані заходи з адаптації спрямовані,  перш за все, на посилення адаптаційного потенціалу до вказаних ризиків. </w:t>
      </w:r>
    </w:p>
    <w:p w14:paraId="38888F4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з адаптації  до зміни клімату в подальшому згруповані за напрямками роботи, та поділені на:</w:t>
      </w:r>
    </w:p>
    <w:p w14:paraId="69ECC738" w14:textId="77777777" w:rsidR="00C82386" w:rsidRDefault="00E66F64">
      <w:pPr>
        <w:numPr>
          <w:ilvl w:val="0"/>
          <w:numId w:val="6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соціально-економічні (socio-economic);</w:t>
      </w:r>
    </w:p>
    <w:p w14:paraId="3BA38CEE" w14:textId="77777777" w:rsidR="00C82386" w:rsidRDefault="00E66F64">
      <w:pPr>
        <w:numPr>
          <w:ilvl w:val="0"/>
          <w:numId w:val="6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(physical &amp; environmental);</w:t>
      </w:r>
    </w:p>
    <w:p w14:paraId="0C625B49" w14:textId="77777777" w:rsidR="00C82386" w:rsidRDefault="00E66F64">
      <w:pPr>
        <w:numPr>
          <w:ilvl w:val="0"/>
          <w:numId w:val="6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державні та інституційні (governmental &amp; institutional);</w:t>
      </w:r>
    </w:p>
    <w:p w14:paraId="3454A44F" w14:textId="77777777" w:rsidR="00C82386" w:rsidRDefault="00E66F64">
      <w:pPr>
        <w:numPr>
          <w:ilvl w:val="0"/>
          <w:numId w:val="6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знання та технології (інновації) (knowledge  &amp; technology).</w:t>
      </w:r>
    </w:p>
    <w:p w14:paraId="2E304BA8" w14:textId="77777777" w:rsidR="00C82386" w:rsidRDefault="00E66F64">
      <w:pPr>
        <w:keepNext/>
        <w:keepLines/>
        <w:numPr>
          <w:ilvl w:val="1"/>
          <w:numId w:val="28"/>
        </w:numPr>
        <w:pBdr>
          <w:top w:val="nil"/>
          <w:left w:val="nil"/>
          <w:bottom w:val="nil"/>
          <w:right w:val="nil"/>
          <w:between w:val="nil"/>
        </w:pBdr>
        <w:spacing w:after="0"/>
        <w:ind w:left="709" w:hanging="709"/>
        <w:rPr>
          <w:rFonts w:ascii="Times New Roman" w:eastAsia="Times New Roman" w:hAnsi="Times New Roman" w:cs="Times New Roman"/>
          <w:b/>
          <w:color w:val="000000"/>
          <w:sz w:val="24"/>
          <w:szCs w:val="24"/>
        </w:rPr>
      </w:pPr>
      <w:bookmarkStart w:id="77" w:name="_heading=h.2w5ecyt" w:colFirst="0" w:colLast="0"/>
      <w:bookmarkEnd w:id="77"/>
      <w:r>
        <w:rPr>
          <w:rFonts w:ascii="Times New Roman" w:eastAsia="Times New Roman" w:hAnsi="Times New Roman" w:cs="Times New Roman"/>
          <w:b/>
          <w:color w:val="000000"/>
          <w:sz w:val="24"/>
          <w:szCs w:val="24"/>
        </w:rPr>
        <w:t>Соціально-економічні заходи з адаптації</w:t>
      </w:r>
    </w:p>
    <w:p w14:paraId="0DD34786" w14:textId="77777777" w:rsidR="00C82386" w:rsidRDefault="00C82386">
      <w:pPr>
        <w:spacing w:after="0"/>
        <w:jc w:val="both"/>
        <w:rPr>
          <w:rFonts w:ascii="Times New Roman" w:eastAsia="Times New Roman" w:hAnsi="Times New Roman" w:cs="Times New Roman"/>
          <w:sz w:val="24"/>
          <w:szCs w:val="24"/>
        </w:rPr>
      </w:pPr>
    </w:p>
    <w:tbl>
      <w:tblPr>
        <w:tblStyle w:val="affffff7"/>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7D3FB57D" w14:textId="77777777" w:rsidTr="00864398">
        <w:tc>
          <w:tcPr>
            <w:tcW w:w="1953" w:type="dxa"/>
          </w:tcPr>
          <w:p w14:paraId="7D6B8AD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21BA258F"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1.1 Включення в економічно обґрунтовані тарифи на комунальні послуги виконання принципу «забруднювач платить»</w:t>
            </w:r>
          </w:p>
        </w:tc>
      </w:tr>
      <w:tr w:rsidR="00C82386" w14:paraId="462F9E5D" w14:textId="77777777" w:rsidTr="00864398">
        <w:tc>
          <w:tcPr>
            <w:tcW w:w="1953" w:type="dxa"/>
          </w:tcPr>
          <w:p w14:paraId="102274C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14E59270" w14:textId="77777777" w:rsidR="00C82386" w:rsidRPr="00864398" w:rsidRDefault="00864398" w:rsidP="00864398">
            <w:pPr>
              <w:spacing w:after="0" w:line="240" w:lineRule="auto"/>
              <w:rPr>
                <w:rFonts w:ascii="Times New Roman" w:eastAsia="Times New Roman" w:hAnsi="Times New Roman" w:cs="Times New Roman"/>
                <w:color w:val="080809"/>
                <w:sz w:val="24"/>
                <w:szCs w:val="24"/>
                <w:highlight w:val="white"/>
              </w:rPr>
            </w:pPr>
            <w:r>
              <w:rPr>
                <w:rFonts w:ascii="Times New Roman" w:eastAsia="Times New Roman" w:hAnsi="Times New Roman" w:cs="Times New Roman"/>
                <w:color w:val="000000"/>
                <w:sz w:val="24"/>
                <w:szCs w:val="24"/>
              </w:rPr>
              <w:t>Виконавчий комітет Житомирської міської ради</w:t>
            </w:r>
          </w:p>
        </w:tc>
      </w:tr>
      <w:tr w:rsidR="00C82386" w14:paraId="0BD2DBEB" w14:textId="77777777" w:rsidTr="00864398">
        <w:tc>
          <w:tcPr>
            <w:tcW w:w="1953" w:type="dxa"/>
          </w:tcPr>
          <w:p w14:paraId="2BDB412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155F808A" w14:textId="77777777" w:rsidR="00C82386" w:rsidRDefault="004341E7" w:rsidP="00D72CDF">
            <w:pPr>
              <w:spacing w:after="0" w:line="240" w:lineRule="auto"/>
              <w:jc w:val="both"/>
              <w:rPr>
                <w:rFonts w:ascii="Times New Roman" w:eastAsia="Times New Roman" w:hAnsi="Times New Roman" w:cs="Times New Roman"/>
                <w:color w:val="000000"/>
                <w:sz w:val="24"/>
                <w:szCs w:val="24"/>
              </w:rPr>
            </w:pPr>
            <w:sdt>
              <w:sdtPr>
                <w:tag w:val="goog_rdk_102"/>
                <w:id w:val="920529175"/>
              </w:sdtPr>
              <w:sdtEndPr/>
              <w:sdtContent/>
            </w:sdt>
            <w:r w:rsidR="00E66F64">
              <w:rPr>
                <w:rFonts w:ascii="Times New Roman" w:eastAsia="Times New Roman" w:hAnsi="Times New Roman" w:cs="Times New Roman"/>
                <w:color w:val="000000"/>
                <w:sz w:val="24"/>
                <w:szCs w:val="24"/>
              </w:rPr>
              <w:t xml:space="preserve">Відповідно до концепції «забруднювач платить», відповідно до законодавства України та Європейського союзу відповідальність за забруднення несуть ті, хто його </w:t>
            </w:r>
            <w:r w:rsidR="00F170D8">
              <w:rPr>
                <w:rFonts w:ascii="Times New Roman" w:eastAsia="Times New Roman" w:hAnsi="Times New Roman" w:cs="Times New Roman"/>
                <w:color w:val="000000"/>
                <w:sz w:val="24"/>
                <w:szCs w:val="24"/>
              </w:rPr>
              <w:t>спричиняє</w:t>
            </w:r>
            <w:r w:rsidR="00E66F64">
              <w:rPr>
                <w:rFonts w:ascii="Times New Roman" w:eastAsia="Times New Roman" w:hAnsi="Times New Roman" w:cs="Times New Roman"/>
                <w:color w:val="000000"/>
                <w:sz w:val="24"/>
                <w:szCs w:val="24"/>
              </w:rPr>
              <w:t xml:space="preserve">. Однак існуючі тарифи на водопостачання, водовідведення, опалення, збір, вивіз та утилізацію побутових відходів не дозволяють повною мірою реалізувати цей принцип. Це призводить до неможливості  провадження ефективної діяльності відповідних комунальних підприємств, оскільки існуючі тарифи не включають всіх пов’язаних витрат та не дають можливості впроваджувати сучасні, більш ефективні технології. </w:t>
            </w:r>
          </w:p>
        </w:tc>
      </w:tr>
      <w:tr w:rsidR="00C82386" w14:paraId="269CC4BE" w14:textId="77777777" w:rsidTr="00864398">
        <w:tc>
          <w:tcPr>
            <w:tcW w:w="1953" w:type="dxa"/>
          </w:tcPr>
          <w:p w14:paraId="334B792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71746CA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1A79B43D" w14:textId="77777777" w:rsidR="00C82386" w:rsidRPr="00864398" w:rsidRDefault="00864398" w:rsidP="00864398">
            <w:pPr>
              <w:spacing w:after="0" w:line="240" w:lineRule="auto"/>
              <w:rPr>
                <w:rFonts w:ascii="Times New Roman" w:eastAsia="Times New Roman" w:hAnsi="Times New Roman" w:cs="Times New Roman"/>
                <w:color w:val="FF0000"/>
                <w:sz w:val="24"/>
                <w:szCs w:val="24"/>
                <w:highlight w:val="cyan"/>
              </w:rPr>
            </w:pPr>
            <w:r w:rsidRPr="00864398">
              <w:rPr>
                <w:rFonts w:ascii="Times New Roman" w:eastAsia="Times New Roman" w:hAnsi="Times New Roman" w:cs="Times New Roman"/>
                <w:color w:val="000000"/>
                <w:sz w:val="24"/>
                <w:szCs w:val="24"/>
              </w:rPr>
              <w:t>2025</w:t>
            </w:r>
          </w:p>
        </w:tc>
        <w:tc>
          <w:tcPr>
            <w:tcW w:w="1852" w:type="dxa"/>
          </w:tcPr>
          <w:p w14:paraId="4A04530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22F185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1EBA6F99" w14:textId="77777777" w:rsidTr="00864398">
        <w:tc>
          <w:tcPr>
            <w:tcW w:w="1953" w:type="dxa"/>
          </w:tcPr>
          <w:p w14:paraId="67347D0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3AE0EE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277E69B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37AA7B5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224B1EC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Комунальні підприємства </w:t>
            </w:r>
          </w:p>
          <w:p w14:paraId="36E8DEDC" w14:textId="77777777" w:rsidR="00864398" w:rsidRDefault="0086439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80809"/>
                <w:sz w:val="24"/>
                <w:szCs w:val="24"/>
                <w:highlight w:val="white"/>
              </w:rPr>
              <w:t>АТ "Фонд декарбонізації України"</w:t>
            </w:r>
          </w:p>
        </w:tc>
      </w:tr>
      <w:tr w:rsidR="00C82386" w14:paraId="0F9CC44F" w14:textId="77777777" w:rsidTr="00864398">
        <w:tc>
          <w:tcPr>
            <w:tcW w:w="1953" w:type="dxa"/>
          </w:tcPr>
          <w:p w14:paraId="7157F39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562975E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Фінансування не потребує </w:t>
            </w:r>
          </w:p>
        </w:tc>
      </w:tr>
      <w:tr w:rsidR="00C82386" w14:paraId="61D05973" w14:textId="77777777" w:rsidTr="00864398">
        <w:tc>
          <w:tcPr>
            <w:tcW w:w="1953" w:type="dxa"/>
          </w:tcPr>
          <w:p w14:paraId="0C23D6A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55EF8BB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04518713" w14:textId="77777777" w:rsidTr="00864398">
        <w:tc>
          <w:tcPr>
            <w:tcW w:w="1953" w:type="dxa"/>
          </w:tcPr>
          <w:p w14:paraId="11048CC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7699C61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C82386" w14:paraId="56904881" w14:textId="77777777" w:rsidTr="00864398">
        <w:tc>
          <w:tcPr>
            <w:tcW w:w="1953" w:type="dxa"/>
          </w:tcPr>
          <w:p w14:paraId="46B79D3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Вплив на сектори</w:t>
            </w:r>
          </w:p>
        </w:tc>
        <w:tc>
          <w:tcPr>
            <w:tcW w:w="7407" w:type="dxa"/>
            <w:gridSpan w:val="4"/>
          </w:tcPr>
          <w:p w14:paraId="0D176BD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r w:rsidR="00C82386" w14:paraId="3C94B895" w14:textId="77777777" w:rsidTr="00864398">
        <w:tc>
          <w:tcPr>
            <w:tcW w:w="1953" w:type="dxa"/>
          </w:tcPr>
          <w:p w14:paraId="783A684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73C08AA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включення необхідних видатків в тарифи на комунальні послуги </w:t>
            </w:r>
          </w:p>
        </w:tc>
      </w:tr>
      <w:tr w:rsidR="00C82386" w14:paraId="0CD48EC1" w14:textId="77777777" w:rsidTr="00864398">
        <w:tc>
          <w:tcPr>
            <w:tcW w:w="1953" w:type="dxa"/>
          </w:tcPr>
          <w:p w14:paraId="307A0CB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вразливі групи населення</w:t>
            </w:r>
          </w:p>
        </w:tc>
        <w:tc>
          <w:tcPr>
            <w:tcW w:w="7407" w:type="dxa"/>
            <w:gridSpan w:val="4"/>
          </w:tcPr>
          <w:p w14:paraId="5546812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51754BB1" w14:textId="77777777" w:rsidR="00C82386" w:rsidRDefault="00C82386">
      <w:pPr>
        <w:jc w:val="both"/>
        <w:rPr>
          <w:rFonts w:ascii="Times New Roman" w:eastAsia="Times New Roman" w:hAnsi="Times New Roman" w:cs="Times New Roman"/>
          <w:sz w:val="24"/>
          <w:szCs w:val="24"/>
        </w:rPr>
      </w:pPr>
    </w:p>
    <w:tbl>
      <w:tblPr>
        <w:tblStyle w:val="affffff8"/>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0BBAAB5E" w14:textId="77777777" w:rsidTr="007F2B4D">
        <w:tc>
          <w:tcPr>
            <w:tcW w:w="2095" w:type="dxa"/>
          </w:tcPr>
          <w:p w14:paraId="1BE5AD6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5539212D"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1.2 Розробка системи компенсації збитків населення у зв’язку з пошкодженням здоров’я або майна внаслідок виникнення стихійних метеорологічних явищ (підтоплення, буревії, урагани, зливи).  </w:t>
            </w:r>
          </w:p>
        </w:tc>
      </w:tr>
      <w:tr w:rsidR="00C82386" w14:paraId="5C2C618E" w14:textId="77777777" w:rsidTr="007F2B4D">
        <w:tc>
          <w:tcPr>
            <w:tcW w:w="2095" w:type="dxa"/>
          </w:tcPr>
          <w:p w14:paraId="134CFDD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0BB28F3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tc>
      </w:tr>
      <w:tr w:rsidR="00C82386" w14:paraId="7FA8D536" w14:textId="77777777" w:rsidTr="007F2B4D">
        <w:tc>
          <w:tcPr>
            <w:tcW w:w="2095" w:type="dxa"/>
          </w:tcPr>
          <w:p w14:paraId="2DA7701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0B84AEC1" w14:textId="77777777" w:rsidR="00C82386" w:rsidRDefault="004341E7">
            <w:pPr>
              <w:tabs>
                <w:tab w:val="left" w:pos="426"/>
              </w:tabs>
              <w:spacing w:after="0" w:line="240" w:lineRule="auto"/>
              <w:jc w:val="both"/>
              <w:rPr>
                <w:rFonts w:ascii="Times New Roman" w:eastAsia="Times New Roman" w:hAnsi="Times New Roman" w:cs="Times New Roman"/>
                <w:color w:val="000000"/>
                <w:sz w:val="24"/>
                <w:szCs w:val="24"/>
              </w:rPr>
            </w:pPr>
            <w:sdt>
              <w:sdtPr>
                <w:tag w:val="goog_rdk_107"/>
                <w:id w:val="343753689"/>
              </w:sdtPr>
              <w:sdtEndPr/>
              <w:sdtContent/>
            </w:sdt>
            <w:r w:rsidR="00E66F64">
              <w:rPr>
                <w:rFonts w:ascii="Times New Roman" w:eastAsia="Times New Roman" w:hAnsi="Times New Roman" w:cs="Times New Roman"/>
                <w:color w:val="000000"/>
                <w:sz w:val="24"/>
                <w:szCs w:val="24"/>
              </w:rPr>
              <w:t>- Розробка методики обліку збитків від стихійних метеорологічних явищ інфраструктурі громади з наступним використанням отриманої інформації при прийнятті рішень.</w:t>
            </w:r>
          </w:p>
          <w:p w14:paraId="7C30C7A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Розробка дієвих алгоритмів надання такої допомоги відповідно до чинного законодавства України. </w:t>
            </w:r>
          </w:p>
          <w:p w14:paraId="76682B94"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Визначення чіткого переліку відповідальних осіб та їх контактів для звернень громадян, поширення цієї інформації через ЗМІ та соціальні мережі.</w:t>
            </w:r>
          </w:p>
          <w:p w14:paraId="155CCBC6"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Вивчення пропозицій страхових компаній зі страхування збитків від стихійних лих комунального та приватного майна.</w:t>
            </w:r>
          </w:p>
          <w:p w14:paraId="240219E9" w14:textId="77777777" w:rsidR="00C82386" w:rsidRDefault="00E66F64" w:rsidP="00B9377C">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Поширення інформації та реклами про необхідність та важливість добровільного страхування здоров’я та майна</w:t>
            </w:r>
            <w:r w:rsidR="00B9377C">
              <w:rPr>
                <w:rFonts w:ascii="Times New Roman" w:eastAsia="Times New Roman" w:hAnsi="Times New Roman" w:cs="Times New Roman"/>
                <w:color w:val="000000"/>
                <w:sz w:val="24"/>
                <w:szCs w:val="24"/>
              </w:rPr>
              <w:t xml:space="preserve"> від ризиків що можуть настати в</w:t>
            </w:r>
            <w:r>
              <w:rPr>
                <w:rFonts w:ascii="Times New Roman" w:eastAsia="Times New Roman" w:hAnsi="Times New Roman" w:cs="Times New Roman"/>
                <w:color w:val="000000"/>
                <w:sz w:val="24"/>
                <w:szCs w:val="24"/>
              </w:rPr>
              <w:t xml:space="preserve">наслідок негоди (пошкодження автомобілів, будинків, іншого майна або здоров’я людини). </w:t>
            </w:r>
          </w:p>
        </w:tc>
      </w:tr>
      <w:tr w:rsidR="00C82386" w14:paraId="407313EC" w14:textId="77777777" w:rsidTr="007F2B4D">
        <w:tc>
          <w:tcPr>
            <w:tcW w:w="2095" w:type="dxa"/>
          </w:tcPr>
          <w:p w14:paraId="0B08631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5BCE47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139B5F5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4AA536C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3F33C75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r>
      <w:tr w:rsidR="00C82386" w14:paraId="53577AB3" w14:textId="77777777" w:rsidTr="007F2B4D">
        <w:tc>
          <w:tcPr>
            <w:tcW w:w="2095" w:type="dxa"/>
          </w:tcPr>
          <w:p w14:paraId="19D00AD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5D3DC11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25254C0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22E3472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042D27A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Комунальні підприємства </w:t>
            </w:r>
          </w:p>
        </w:tc>
      </w:tr>
      <w:tr w:rsidR="00C82386" w14:paraId="2A64F20C" w14:textId="77777777" w:rsidTr="007F2B4D">
        <w:tc>
          <w:tcPr>
            <w:tcW w:w="2095" w:type="dxa"/>
          </w:tcPr>
          <w:p w14:paraId="5E0B0BF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68D765B0"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фінансування не потребує</w:t>
            </w:r>
          </w:p>
        </w:tc>
      </w:tr>
      <w:tr w:rsidR="00C82386" w14:paraId="1780AD4F" w14:textId="77777777" w:rsidTr="007F2B4D">
        <w:tc>
          <w:tcPr>
            <w:tcW w:w="2095" w:type="dxa"/>
          </w:tcPr>
          <w:p w14:paraId="7DA6796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768CED8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38E7EF4" w14:textId="77777777" w:rsidTr="007F2B4D">
        <w:tc>
          <w:tcPr>
            <w:tcW w:w="2095" w:type="dxa"/>
          </w:tcPr>
          <w:p w14:paraId="3E8566C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1EC480D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C82386" w14:paraId="1C705D2D" w14:textId="77777777" w:rsidTr="007F2B4D">
        <w:tc>
          <w:tcPr>
            <w:tcW w:w="2095" w:type="dxa"/>
          </w:tcPr>
          <w:p w14:paraId="3CA95D3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Вплив на сектори</w:t>
            </w:r>
          </w:p>
        </w:tc>
        <w:tc>
          <w:tcPr>
            <w:tcW w:w="7407" w:type="dxa"/>
            <w:gridSpan w:val="4"/>
          </w:tcPr>
          <w:p w14:paraId="4869C32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4B07D078" w14:textId="77777777" w:rsidTr="007F2B4D">
        <w:tc>
          <w:tcPr>
            <w:tcW w:w="2095" w:type="dxa"/>
          </w:tcPr>
          <w:p w14:paraId="1DB34F0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02EC9F69"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розроблена методика обліку збитків від стихійних метеорологічних явищ інфраструктурі громади;</w:t>
            </w:r>
          </w:p>
          <w:p w14:paraId="4AAC320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розроблений алгоритм надання такої допомоги відповідно до чинного законодавства України. </w:t>
            </w:r>
          </w:p>
        </w:tc>
      </w:tr>
      <w:tr w:rsidR="00C82386" w14:paraId="7411DCFC" w14:textId="77777777" w:rsidTr="007F2B4D">
        <w:tc>
          <w:tcPr>
            <w:tcW w:w="2095" w:type="dxa"/>
          </w:tcPr>
          <w:p w14:paraId="05D5769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6933676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6C57AD33" w14:textId="77777777" w:rsidR="00C82386" w:rsidRDefault="00C82386">
      <w:pPr>
        <w:pBdr>
          <w:top w:val="nil"/>
          <w:left w:val="nil"/>
          <w:bottom w:val="nil"/>
          <w:right w:val="nil"/>
          <w:between w:val="nil"/>
        </w:pBdr>
        <w:ind w:left="142"/>
        <w:jc w:val="both"/>
        <w:rPr>
          <w:rFonts w:ascii="Times New Roman" w:eastAsia="Times New Roman" w:hAnsi="Times New Roman" w:cs="Times New Roman"/>
          <w:color w:val="000000"/>
          <w:sz w:val="24"/>
          <w:szCs w:val="24"/>
        </w:rPr>
      </w:pPr>
    </w:p>
    <w:tbl>
      <w:tblPr>
        <w:tblStyle w:val="affffff9"/>
        <w:tblW w:w="934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7"/>
        <w:gridCol w:w="1859"/>
        <w:gridCol w:w="1848"/>
        <w:gridCol w:w="1852"/>
        <w:gridCol w:w="1848"/>
      </w:tblGrid>
      <w:tr w:rsidR="00C82386" w14:paraId="4E984D4B" w14:textId="77777777">
        <w:tc>
          <w:tcPr>
            <w:tcW w:w="1937" w:type="dxa"/>
          </w:tcPr>
          <w:p w14:paraId="7A9C6EE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5E571A49"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1.3.</w:t>
            </w:r>
            <w:r>
              <w:rPr>
                <w:rFonts w:ascii="Times New Roman" w:eastAsia="Times New Roman" w:hAnsi="Times New Roman" w:cs="Times New Roman"/>
                <w:b/>
                <w:color w:val="000000"/>
                <w:sz w:val="24"/>
                <w:szCs w:val="24"/>
              </w:rPr>
              <w:t xml:space="preserve"> Підтримка вразливих до зміни клімату груп населення</w:t>
            </w:r>
          </w:p>
        </w:tc>
      </w:tr>
      <w:tr w:rsidR="00C82386" w14:paraId="47811739" w14:textId="77777777">
        <w:tc>
          <w:tcPr>
            <w:tcW w:w="1937" w:type="dxa"/>
          </w:tcPr>
          <w:p w14:paraId="43DA09D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1EB9586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tc>
      </w:tr>
      <w:tr w:rsidR="00C82386" w14:paraId="74E42D92" w14:textId="77777777">
        <w:tc>
          <w:tcPr>
            <w:tcW w:w="1937" w:type="dxa"/>
          </w:tcPr>
          <w:p w14:paraId="3E64BB3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396E7708"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Проведення комплексного аналізу вразливих груп населення, з визначенням місць їхнього проживання, стану місць проживання та </w:t>
            </w:r>
            <w:r>
              <w:rPr>
                <w:rFonts w:ascii="Times New Roman" w:eastAsia="Times New Roman" w:hAnsi="Times New Roman" w:cs="Times New Roman"/>
                <w:color w:val="000000"/>
                <w:sz w:val="24"/>
                <w:szCs w:val="24"/>
              </w:rPr>
              <w:lastRenderedPageBreak/>
              <w:t>переліком загроз, яким вони можуть піддаватися чи яких вже зазнають.</w:t>
            </w:r>
          </w:p>
          <w:p w14:paraId="5DD95023"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(на основі результатів аудиту) алгоритму з надання допомоги для адаптації вразливих груп населення включно з розробкою соціальних програм підтримки, кредитування та субсидування на рівні громади.</w:t>
            </w:r>
          </w:p>
        </w:tc>
      </w:tr>
      <w:tr w:rsidR="00C82386" w14:paraId="5F7639EC" w14:textId="77777777">
        <w:tc>
          <w:tcPr>
            <w:tcW w:w="1937" w:type="dxa"/>
          </w:tcPr>
          <w:p w14:paraId="70B5389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7348F11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5056D3E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2E0C343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253AE52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r>
      <w:tr w:rsidR="00C82386" w14:paraId="2CEFC167" w14:textId="77777777">
        <w:tc>
          <w:tcPr>
            <w:tcW w:w="1937" w:type="dxa"/>
          </w:tcPr>
          <w:p w14:paraId="5598FF6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98A149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7145A5D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17F8555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C82386" w14:paraId="00A7CE5F" w14:textId="77777777">
        <w:tc>
          <w:tcPr>
            <w:tcW w:w="1937" w:type="dxa"/>
          </w:tcPr>
          <w:p w14:paraId="04DB667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6FF76342"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фінансування не потребує</w:t>
            </w:r>
          </w:p>
        </w:tc>
      </w:tr>
      <w:tr w:rsidR="00C82386" w14:paraId="17A0EC4B" w14:textId="77777777">
        <w:tc>
          <w:tcPr>
            <w:tcW w:w="1937" w:type="dxa"/>
          </w:tcPr>
          <w:p w14:paraId="40A4BB7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0AB9DEB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66F26459" w14:textId="77777777">
        <w:tc>
          <w:tcPr>
            <w:tcW w:w="1937" w:type="dxa"/>
          </w:tcPr>
          <w:p w14:paraId="1395B15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70C23ED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C82386" w14:paraId="3F8D5684" w14:textId="77777777">
        <w:tc>
          <w:tcPr>
            <w:tcW w:w="1937" w:type="dxa"/>
          </w:tcPr>
          <w:p w14:paraId="7C008FD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3C9BC97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1F1E7ED6" w14:textId="77777777">
        <w:tc>
          <w:tcPr>
            <w:tcW w:w="1937" w:type="dxa"/>
          </w:tcPr>
          <w:p w14:paraId="2C3CCFD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33FDFBF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Проведено комплексний аналіз</w:t>
            </w:r>
          </w:p>
          <w:p w14:paraId="31B8078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Розроблено алгоритм з надання допомоги для адаптації вразливих груп населення </w:t>
            </w:r>
          </w:p>
          <w:p w14:paraId="7C06775F"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Надано 100% допомоги на звернення вразливих груп населення.</w:t>
            </w:r>
          </w:p>
        </w:tc>
      </w:tr>
      <w:tr w:rsidR="00C82386" w14:paraId="1500215F" w14:textId="77777777">
        <w:tc>
          <w:tcPr>
            <w:tcW w:w="1937" w:type="dxa"/>
          </w:tcPr>
          <w:p w14:paraId="6FF48D03"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13D2B1EA" w14:textId="77777777" w:rsidR="00C82386" w:rsidRDefault="00E66F64" w:rsidP="00632C5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Внутрішньо переміщені особи, люди в скрутних життєвих обставинах, малозабезпечені особи, домогосподарства з низьким рівнем доходу, люди, що проживають в аварійному помешканні</w:t>
            </w:r>
          </w:p>
        </w:tc>
      </w:tr>
    </w:tbl>
    <w:p w14:paraId="410CF84D" w14:textId="77777777" w:rsidR="00C82386" w:rsidRDefault="00C82386">
      <w:pPr>
        <w:jc w:val="both"/>
        <w:rPr>
          <w:rFonts w:ascii="Times New Roman" w:eastAsia="Times New Roman" w:hAnsi="Times New Roman" w:cs="Times New Roman"/>
          <w:b/>
          <w:sz w:val="24"/>
          <w:szCs w:val="24"/>
        </w:rPr>
      </w:pPr>
    </w:p>
    <w:tbl>
      <w:tblPr>
        <w:tblStyle w:val="affffffa"/>
        <w:tblW w:w="9344" w:type="dxa"/>
        <w:tblInd w:w="-105"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937"/>
        <w:gridCol w:w="1859"/>
        <w:gridCol w:w="1848"/>
        <w:gridCol w:w="1852"/>
        <w:gridCol w:w="1801"/>
        <w:gridCol w:w="47"/>
      </w:tblGrid>
      <w:tr w:rsidR="00C82386" w14:paraId="571DD328" w14:textId="77777777">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299E840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14:paraId="413CDE02"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1.4. Розробка муніципального страхування для компенсації збитків від несприятливих кліматичних явищ</w:t>
            </w:r>
          </w:p>
        </w:tc>
      </w:tr>
      <w:tr w:rsidR="00C82386" w14:paraId="5B521446" w14:textId="77777777">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2E3A9CF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14:paraId="19A49E1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tc>
      </w:tr>
      <w:tr w:rsidR="00C82386" w14:paraId="0668E027" w14:textId="77777777">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76E0B08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14:paraId="24E1D30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Розробка системи страхування для мешканців громади, яка забезпечуватиме часткову компенсацію збитків, завданих стихійними лихами (буревії, підтоплення, град, зливи тощо).</w:t>
            </w:r>
            <w:r>
              <w:rPr>
                <w:rFonts w:ascii="Times New Roman" w:eastAsia="Times New Roman" w:hAnsi="Times New Roman" w:cs="Times New Roman"/>
                <w:sz w:val="24"/>
                <w:szCs w:val="24"/>
              </w:rPr>
              <w:br/>
              <w:t>Забезпечення спеціальних умов для малозабезпечених домогосподарств, домогосподарств із людьми похилого віку або особами з інвалідністю.</w:t>
            </w:r>
          </w:p>
        </w:tc>
      </w:tr>
      <w:tr w:rsidR="00C82386" w14:paraId="6F995AFB" w14:textId="77777777">
        <w:tc>
          <w:tcPr>
            <w:tcW w:w="1937" w:type="dxa"/>
            <w:tcBorders>
              <w:top w:val="single" w:sz="4" w:space="0" w:color="000000"/>
              <w:left w:val="single" w:sz="4" w:space="0" w:color="000000"/>
              <w:bottom w:val="single" w:sz="4" w:space="0" w:color="000000"/>
              <w:right w:val="single" w:sz="4" w:space="0" w:color="000000"/>
            </w:tcBorders>
          </w:tcPr>
          <w:p w14:paraId="006BE54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Borders>
              <w:top w:val="single" w:sz="4" w:space="0" w:color="000000"/>
              <w:left w:val="single" w:sz="4" w:space="0" w:color="000000"/>
              <w:bottom w:val="single" w:sz="4" w:space="0" w:color="000000"/>
              <w:right w:val="single" w:sz="4" w:space="0" w:color="000000"/>
            </w:tcBorders>
          </w:tcPr>
          <w:p w14:paraId="4647959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Borders>
              <w:top w:val="single" w:sz="4" w:space="0" w:color="000000"/>
              <w:left w:val="single" w:sz="4" w:space="0" w:color="000000"/>
              <w:bottom w:val="single" w:sz="4" w:space="0" w:color="000000"/>
              <w:right w:val="single" w:sz="4" w:space="0" w:color="000000"/>
            </w:tcBorders>
          </w:tcPr>
          <w:p w14:paraId="434339B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c>
          <w:tcPr>
            <w:tcW w:w="1852" w:type="dxa"/>
            <w:tcBorders>
              <w:top w:val="single" w:sz="4" w:space="0" w:color="000000"/>
              <w:left w:val="single" w:sz="4" w:space="0" w:color="000000"/>
              <w:bottom w:val="single" w:sz="4" w:space="0" w:color="000000"/>
              <w:right w:val="single" w:sz="4" w:space="0" w:color="000000"/>
            </w:tcBorders>
          </w:tcPr>
          <w:p w14:paraId="050A280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gridSpan w:val="2"/>
            <w:tcBorders>
              <w:top w:val="single" w:sz="4" w:space="0" w:color="000000"/>
              <w:left w:val="single" w:sz="4" w:space="0" w:color="000000"/>
              <w:bottom w:val="single" w:sz="4" w:space="0" w:color="000000"/>
              <w:right w:val="single" w:sz="4" w:space="0" w:color="000000"/>
            </w:tcBorders>
          </w:tcPr>
          <w:p w14:paraId="71AF5D4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r>
      <w:tr w:rsidR="00C82386" w14:paraId="3F721AE8" w14:textId="77777777">
        <w:tc>
          <w:tcPr>
            <w:tcW w:w="1937" w:type="dxa"/>
            <w:tcBorders>
              <w:top w:val="single" w:sz="4" w:space="0" w:color="000000"/>
              <w:left w:val="single" w:sz="4" w:space="0" w:color="000000"/>
              <w:bottom w:val="single" w:sz="4" w:space="0" w:color="000000"/>
              <w:right w:val="single" w:sz="4" w:space="0" w:color="000000"/>
            </w:tcBorders>
          </w:tcPr>
          <w:p w14:paraId="69443D6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5"/>
            <w:tcBorders>
              <w:top w:val="single" w:sz="4" w:space="0" w:color="000000"/>
              <w:left w:val="single" w:sz="4" w:space="0" w:color="000000"/>
              <w:bottom w:val="single" w:sz="4" w:space="0" w:color="000000"/>
              <w:right w:val="single" w:sz="4" w:space="0" w:color="000000"/>
            </w:tcBorders>
          </w:tcPr>
          <w:p w14:paraId="79F479B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32EF92B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2BDC59E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C82386" w14:paraId="472E8EE0" w14:textId="77777777">
        <w:tc>
          <w:tcPr>
            <w:tcW w:w="1937" w:type="dxa"/>
            <w:tcBorders>
              <w:top w:val="single" w:sz="4" w:space="0" w:color="000000"/>
              <w:left w:val="single" w:sz="4" w:space="0" w:color="000000"/>
              <w:bottom w:val="single" w:sz="4" w:space="0" w:color="000000"/>
              <w:right w:val="single" w:sz="4" w:space="0" w:color="000000"/>
            </w:tcBorders>
          </w:tcPr>
          <w:p w14:paraId="177F194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5"/>
            <w:tcBorders>
              <w:top w:val="single" w:sz="4" w:space="0" w:color="000000"/>
              <w:left w:val="single" w:sz="4" w:space="0" w:color="000000"/>
              <w:bottom w:val="single" w:sz="4" w:space="0" w:color="000000"/>
              <w:right w:val="single" w:sz="4" w:space="0" w:color="000000"/>
            </w:tcBorders>
          </w:tcPr>
          <w:p w14:paraId="01F8F729" w14:textId="77777777" w:rsidR="00C82386" w:rsidRDefault="00C82386">
            <w:pPr>
              <w:spacing w:after="0" w:line="240" w:lineRule="auto"/>
              <w:rPr>
                <w:rFonts w:ascii="Times New Roman" w:eastAsia="Times New Roman" w:hAnsi="Times New Roman" w:cs="Times New Roman"/>
                <w:sz w:val="24"/>
                <w:szCs w:val="24"/>
              </w:rPr>
            </w:pPr>
          </w:p>
        </w:tc>
      </w:tr>
      <w:tr w:rsidR="00C82386" w14:paraId="46150096" w14:textId="77777777">
        <w:tc>
          <w:tcPr>
            <w:tcW w:w="1937" w:type="dxa"/>
            <w:tcBorders>
              <w:top w:val="single" w:sz="4" w:space="0" w:color="000000"/>
              <w:left w:val="single" w:sz="4" w:space="0" w:color="000000"/>
              <w:bottom w:val="single" w:sz="4" w:space="0" w:color="000000"/>
              <w:right w:val="single" w:sz="4" w:space="0" w:color="000000"/>
            </w:tcBorders>
          </w:tcPr>
          <w:p w14:paraId="602BFCF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5"/>
            <w:tcBorders>
              <w:top w:val="single" w:sz="4" w:space="0" w:color="000000"/>
              <w:left w:val="single" w:sz="4" w:space="0" w:color="000000"/>
              <w:bottom w:val="single" w:sz="4" w:space="0" w:color="000000"/>
              <w:right w:val="single" w:sz="4" w:space="0" w:color="000000"/>
            </w:tcBorders>
          </w:tcPr>
          <w:p w14:paraId="1293AB0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557CD989" w14:textId="77777777">
        <w:tc>
          <w:tcPr>
            <w:tcW w:w="1937" w:type="dxa"/>
            <w:tcBorders>
              <w:top w:val="single" w:sz="4" w:space="0" w:color="000000"/>
              <w:left w:val="single" w:sz="4" w:space="0" w:color="000000"/>
              <w:bottom w:val="single" w:sz="4" w:space="0" w:color="000000"/>
              <w:right w:val="single" w:sz="4" w:space="0" w:color="000000"/>
            </w:tcBorders>
          </w:tcPr>
          <w:p w14:paraId="2EC45A8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5"/>
            <w:tcBorders>
              <w:top w:val="single" w:sz="4" w:space="0" w:color="000000"/>
              <w:left w:val="single" w:sz="4" w:space="0" w:color="000000"/>
              <w:bottom w:val="single" w:sz="4" w:space="0" w:color="000000"/>
              <w:right w:val="single" w:sz="4" w:space="0" w:color="000000"/>
            </w:tcBorders>
          </w:tcPr>
          <w:p w14:paraId="3DD2A7D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C82386" w14:paraId="36FA24EE" w14:textId="77777777">
        <w:tc>
          <w:tcPr>
            <w:tcW w:w="1937" w:type="dxa"/>
            <w:tcBorders>
              <w:top w:val="single" w:sz="4" w:space="0" w:color="000000"/>
              <w:left w:val="single" w:sz="4" w:space="0" w:color="000000"/>
              <w:bottom w:val="single" w:sz="4" w:space="0" w:color="000000"/>
              <w:right w:val="single" w:sz="4" w:space="0" w:color="000000"/>
            </w:tcBorders>
          </w:tcPr>
          <w:p w14:paraId="31B24A1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5"/>
            <w:tcBorders>
              <w:top w:val="single" w:sz="4" w:space="0" w:color="000000"/>
              <w:left w:val="single" w:sz="4" w:space="0" w:color="000000"/>
              <w:bottom w:val="single" w:sz="4" w:space="0" w:color="000000"/>
              <w:right w:val="single" w:sz="4" w:space="0" w:color="000000"/>
            </w:tcBorders>
          </w:tcPr>
          <w:p w14:paraId="1FD12EB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02B845A5" w14:textId="77777777">
        <w:tc>
          <w:tcPr>
            <w:tcW w:w="1937" w:type="dxa"/>
            <w:tcBorders>
              <w:top w:val="single" w:sz="4" w:space="0" w:color="000000"/>
              <w:left w:val="single" w:sz="4" w:space="0" w:color="000000"/>
              <w:bottom w:val="single" w:sz="4" w:space="0" w:color="000000"/>
              <w:right w:val="single" w:sz="4" w:space="0" w:color="000000"/>
            </w:tcBorders>
          </w:tcPr>
          <w:p w14:paraId="3567A15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5"/>
            <w:tcBorders>
              <w:top w:val="single" w:sz="4" w:space="0" w:color="000000"/>
              <w:left w:val="single" w:sz="4" w:space="0" w:color="000000"/>
              <w:bottom w:val="single" w:sz="4" w:space="0" w:color="000000"/>
              <w:right w:val="single" w:sz="4" w:space="0" w:color="000000"/>
            </w:tcBorders>
          </w:tcPr>
          <w:p w14:paraId="63A663F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Впроваджено систему страхування для населення громади</w:t>
            </w:r>
          </w:p>
          <w:p w14:paraId="0157071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Надано компенсації постраждалим від стихійних явищ у 100% застрахованих випадків </w:t>
            </w:r>
          </w:p>
        </w:tc>
      </w:tr>
      <w:tr w:rsidR="00C82386" w14:paraId="39386FA3" w14:textId="77777777">
        <w:tc>
          <w:tcPr>
            <w:tcW w:w="1937" w:type="dxa"/>
            <w:tcBorders>
              <w:top w:val="single" w:sz="4" w:space="0" w:color="000000"/>
              <w:left w:val="single" w:sz="4" w:space="0" w:color="000000"/>
              <w:bottom w:val="single" w:sz="4" w:space="0" w:color="000000"/>
              <w:right w:val="single" w:sz="4" w:space="0" w:color="000000"/>
            </w:tcBorders>
          </w:tcPr>
          <w:p w14:paraId="72546C35"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lastRenderedPageBreak/>
              <w:t>Вразливі групи населення</w:t>
            </w:r>
          </w:p>
        </w:tc>
        <w:tc>
          <w:tcPr>
            <w:tcW w:w="7407" w:type="dxa"/>
            <w:gridSpan w:val="5"/>
            <w:tcBorders>
              <w:top w:val="single" w:sz="4" w:space="0" w:color="000000"/>
              <w:left w:val="single" w:sz="4" w:space="0" w:color="000000"/>
              <w:bottom w:val="single" w:sz="4" w:space="0" w:color="000000"/>
              <w:right w:val="single" w:sz="4" w:space="0" w:color="000000"/>
            </w:tcBorders>
          </w:tcPr>
          <w:p w14:paraId="2BC82B78" w14:textId="77777777" w:rsidR="00C82386" w:rsidRDefault="00E66F64" w:rsidP="00A219F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Внутрішньо переміщені особи, люди в скрутних життєвих обставинах, малозабезпечені особи, домогосподарства з низьким рівнем доходу, люди, що проживають у зонах постійного підтоплення.</w:t>
            </w:r>
          </w:p>
        </w:tc>
      </w:tr>
    </w:tbl>
    <w:p w14:paraId="451FA046" w14:textId="77777777" w:rsidR="00C82386" w:rsidRDefault="00C82386"/>
    <w:tbl>
      <w:tblPr>
        <w:tblStyle w:val="affffffb"/>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136E2EB5" w14:textId="77777777" w:rsidTr="007F2B4D">
        <w:tc>
          <w:tcPr>
            <w:tcW w:w="2095" w:type="dxa"/>
          </w:tcPr>
          <w:p w14:paraId="6954720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67A72CC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1.5 Розробка концепції розвитку міського городництва та садівництва на базі комунального підприємства «Зеленбуд» Житомирської міської ради</w:t>
            </w:r>
          </w:p>
        </w:tc>
      </w:tr>
      <w:tr w:rsidR="00C82386" w14:paraId="6127332C" w14:textId="77777777" w:rsidTr="007F2B4D">
        <w:tc>
          <w:tcPr>
            <w:tcW w:w="2095" w:type="dxa"/>
          </w:tcPr>
          <w:p w14:paraId="050289C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4D6B8D3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3214C06F" w14:textId="77777777" w:rsidR="00C82386" w:rsidRDefault="00C82386">
            <w:pPr>
              <w:spacing w:after="0" w:line="240" w:lineRule="auto"/>
              <w:rPr>
                <w:rFonts w:ascii="Times New Roman" w:eastAsia="Times New Roman" w:hAnsi="Times New Roman" w:cs="Times New Roman"/>
                <w:strike/>
                <w:color w:val="000000"/>
                <w:sz w:val="24"/>
                <w:szCs w:val="24"/>
              </w:rPr>
            </w:pPr>
          </w:p>
        </w:tc>
      </w:tr>
      <w:tr w:rsidR="00C82386" w14:paraId="11A1F5D1" w14:textId="77777777" w:rsidTr="007F2B4D">
        <w:tc>
          <w:tcPr>
            <w:tcW w:w="2095" w:type="dxa"/>
          </w:tcPr>
          <w:p w14:paraId="37E2F87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196228F9"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Зміна клімату впливає на городництво та садівництво через підвищення температури, екстремальні погодні умови, зміну сезонності, поширення шкідників і хвороб, а також засолення ґрунтів. Це знижує врожайність, ускладнює догляд за рослинами та вимагає адаптації. </w:t>
            </w:r>
          </w:p>
          <w:p w14:paraId="65CAA01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Завдання полягає в проведенні дослідження фактичного стану існуючого міського тепличного господарства, місцевих традицій вирощування овочевих культур та зелені, їх сезонного споживання тощо. </w:t>
            </w:r>
          </w:p>
          <w:p w14:paraId="296C5EB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основі результатів дослідження має бути розроблена концепція відновлення тепличного господарства (близько 12,0 тисяч м</w:t>
            </w:r>
            <w:r>
              <w:rPr>
                <w:rFonts w:ascii="Times New Roman" w:eastAsia="Times New Roman" w:hAnsi="Times New Roman" w:cs="Times New Roman"/>
                <w:color w:val="000000"/>
                <w:sz w:val="24"/>
                <w:szCs w:val="24"/>
                <w:vertAlign w:val="superscript"/>
              </w:rPr>
              <w:t xml:space="preserve">2 </w:t>
            </w:r>
            <w:r>
              <w:rPr>
                <w:rFonts w:ascii="Times New Roman" w:eastAsia="Times New Roman" w:hAnsi="Times New Roman" w:cs="Times New Roman"/>
                <w:color w:val="000000"/>
                <w:sz w:val="24"/>
                <w:szCs w:val="24"/>
              </w:rPr>
              <w:t>теплиць), що орієнтоване на розвиток міського городництва та садівництва в Житомирській міській територіальній громаді.</w:t>
            </w:r>
          </w:p>
          <w:p w14:paraId="3D7A231D"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Така концепція має включати набір та рекомендації щодо інженерних рішень, набір стійких сортів (овочеві культури та зелень), а також концепцію навчальної програми, та набір сучасних агротехнік для вирощування культур в закритому грунті з економним водокористуванням тощо.</w:t>
            </w:r>
          </w:p>
        </w:tc>
      </w:tr>
      <w:tr w:rsidR="00C82386" w14:paraId="00956C44" w14:textId="77777777" w:rsidTr="007F2B4D">
        <w:tc>
          <w:tcPr>
            <w:tcW w:w="2095" w:type="dxa"/>
          </w:tcPr>
          <w:p w14:paraId="0D60041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3789531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початок</w:t>
            </w:r>
          </w:p>
        </w:tc>
        <w:tc>
          <w:tcPr>
            <w:tcW w:w="1848" w:type="dxa"/>
          </w:tcPr>
          <w:p w14:paraId="2A45CC2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52B51D5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0932E55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2027</w:t>
            </w:r>
          </w:p>
        </w:tc>
      </w:tr>
      <w:tr w:rsidR="00C82386" w14:paraId="4C6CEBD5" w14:textId="77777777" w:rsidTr="007F2B4D">
        <w:tc>
          <w:tcPr>
            <w:tcW w:w="2095" w:type="dxa"/>
          </w:tcPr>
          <w:p w14:paraId="7F671383"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20"/>
                <w:id w:val="1300041177"/>
              </w:sdtPr>
              <w:sdtEndPr/>
              <w:sdtContent/>
            </w:sdt>
            <w:r w:rsidR="00E66F64">
              <w:rPr>
                <w:rFonts w:ascii="Times New Roman" w:eastAsia="Times New Roman" w:hAnsi="Times New Roman" w:cs="Times New Roman"/>
                <w:b/>
                <w:color w:val="000000"/>
                <w:sz w:val="24"/>
                <w:szCs w:val="24"/>
              </w:rPr>
              <w:t>Зацікавлені та залучені сторони</w:t>
            </w:r>
          </w:p>
        </w:tc>
        <w:tc>
          <w:tcPr>
            <w:tcW w:w="7407" w:type="dxa"/>
            <w:gridSpan w:val="4"/>
          </w:tcPr>
          <w:p w14:paraId="30648C3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Комунальне підприємство «Зеленбуд» Житомирської міської ради;</w:t>
            </w:r>
          </w:p>
          <w:p w14:paraId="1C64EB1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Поліський національний університет;</w:t>
            </w:r>
          </w:p>
          <w:p w14:paraId="669B662F"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Центр професійно-технічної освіти міста Житомир;</w:t>
            </w:r>
          </w:p>
          <w:p w14:paraId="72AC05F1"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Технічний університет Дрездена та інші учасники проєкту «Україна на шляху до вуглецевої нейтральності» (U_CAN)</w:t>
            </w:r>
          </w:p>
        </w:tc>
      </w:tr>
      <w:tr w:rsidR="00C82386" w14:paraId="43477576" w14:textId="77777777" w:rsidTr="007F2B4D">
        <w:tc>
          <w:tcPr>
            <w:tcW w:w="2095" w:type="dxa"/>
          </w:tcPr>
          <w:p w14:paraId="09A018D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5DE55DAC" w14:textId="77777777" w:rsidR="00C82386" w:rsidRDefault="00E66F64">
            <w:pPr>
              <w:spacing w:after="0" w:line="240" w:lineRule="auto"/>
              <w:rPr>
                <w:rFonts w:ascii="Times New Roman" w:eastAsia="Times New Roman" w:hAnsi="Times New Roman" w:cs="Times New Roman"/>
                <w:strike/>
                <w:color w:val="000000"/>
                <w:sz w:val="24"/>
                <w:szCs w:val="24"/>
              </w:rPr>
            </w:pPr>
            <w:r>
              <w:rPr>
                <w:rFonts w:ascii="Times New Roman" w:eastAsia="Times New Roman" w:hAnsi="Times New Roman" w:cs="Times New Roman"/>
                <w:sz w:val="24"/>
                <w:szCs w:val="24"/>
              </w:rPr>
              <w:t>50 000,00 євро (грант)</w:t>
            </w:r>
          </w:p>
        </w:tc>
      </w:tr>
      <w:tr w:rsidR="00C82386" w14:paraId="3A8EE312" w14:textId="77777777" w:rsidTr="007F2B4D">
        <w:tc>
          <w:tcPr>
            <w:tcW w:w="2095" w:type="dxa"/>
          </w:tcPr>
          <w:p w14:paraId="277211E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5E24885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Європейське виконавче агентство з питань клімату, інфраструктури та навколишнього середовища</w:t>
            </w:r>
          </w:p>
        </w:tc>
      </w:tr>
      <w:tr w:rsidR="00C82386" w14:paraId="02A05A61" w14:textId="77777777" w:rsidTr="007F2B4D">
        <w:tc>
          <w:tcPr>
            <w:tcW w:w="2095" w:type="dxa"/>
          </w:tcPr>
          <w:p w14:paraId="16A9FA3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11F1C1B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град</w:t>
            </w:r>
          </w:p>
        </w:tc>
      </w:tr>
      <w:tr w:rsidR="00C82386" w14:paraId="1F6E863A" w14:textId="77777777" w:rsidTr="007F2B4D">
        <w:tc>
          <w:tcPr>
            <w:tcW w:w="2095" w:type="dxa"/>
          </w:tcPr>
          <w:p w14:paraId="5CB7DBC1"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21"/>
                <w:id w:val="-1708326363"/>
              </w:sdtPr>
              <w:sdtEndPr/>
              <w:sdtContent/>
            </w:sdt>
            <w:r w:rsidR="00E66F64">
              <w:rPr>
                <w:rFonts w:ascii="Times New Roman" w:eastAsia="Times New Roman" w:hAnsi="Times New Roman" w:cs="Times New Roman"/>
                <w:b/>
                <w:color w:val="000000"/>
                <w:sz w:val="24"/>
                <w:szCs w:val="24"/>
              </w:rPr>
              <w:t>Сектор</w:t>
            </w:r>
          </w:p>
        </w:tc>
        <w:tc>
          <w:tcPr>
            <w:tcW w:w="7407" w:type="dxa"/>
            <w:gridSpan w:val="4"/>
          </w:tcPr>
          <w:p w14:paraId="147674E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65C8676A" w14:textId="77777777" w:rsidTr="007F2B4D">
        <w:tc>
          <w:tcPr>
            <w:tcW w:w="2095" w:type="dxa"/>
          </w:tcPr>
          <w:p w14:paraId="6E20122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5F65F72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Прийняте рішення виконавчого комітету Житомирської міської ради щодо затвердження </w:t>
            </w:r>
            <w:r>
              <w:rPr>
                <w:rFonts w:ascii="Times New Roman" w:eastAsia="Times New Roman" w:hAnsi="Times New Roman" w:cs="Times New Roman"/>
                <w:color w:val="000000"/>
                <w:sz w:val="24"/>
                <w:szCs w:val="24"/>
              </w:rPr>
              <w:t>концепції розвитку міського городництва та садівництва на базі комунального підприємства «Зеленбуд» Житомирської міської ради</w:t>
            </w:r>
          </w:p>
        </w:tc>
      </w:tr>
      <w:tr w:rsidR="00C82386" w14:paraId="1F20F249" w14:textId="77777777" w:rsidTr="007F2B4D">
        <w:tc>
          <w:tcPr>
            <w:tcW w:w="2095" w:type="dxa"/>
          </w:tcPr>
          <w:p w14:paraId="54344731"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749BFC0A"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22"/>
                <w:id w:val="2002840626"/>
              </w:sdtPr>
              <w:sdtEndPr/>
              <w:sdtContent/>
            </w:sdt>
            <w:r w:rsidR="00E66F64">
              <w:rPr>
                <w:rFonts w:ascii="Times New Roman" w:eastAsia="Times New Roman" w:hAnsi="Times New Roman" w:cs="Times New Roman"/>
                <w:color w:val="000000"/>
                <w:sz w:val="24"/>
                <w:szCs w:val="24"/>
              </w:rPr>
              <w:t>Діти, молодь, внутрішньо-переміщені особи, люди з низьким рівнем доходів</w:t>
            </w:r>
          </w:p>
        </w:tc>
      </w:tr>
    </w:tbl>
    <w:p w14:paraId="4DFBAEAA" w14:textId="77777777" w:rsidR="00C82386" w:rsidRDefault="00C82386">
      <w:pPr>
        <w:jc w:val="both"/>
        <w:rPr>
          <w:rFonts w:ascii="Times New Roman" w:eastAsia="Times New Roman" w:hAnsi="Times New Roman" w:cs="Times New Roman"/>
          <w:b/>
          <w:sz w:val="24"/>
          <w:szCs w:val="24"/>
        </w:rPr>
      </w:pPr>
    </w:p>
    <w:tbl>
      <w:tblPr>
        <w:tblStyle w:val="affffffc"/>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7E2BD1FC" w14:textId="77777777" w:rsidTr="007F2B4D">
        <w:tc>
          <w:tcPr>
            <w:tcW w:w="2095" w:type="dxa"/>
          </w:tcPr>
          <w:p w14:paraId="4B6888E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0459A56C" w14:textId="77777777" w:rsidR="00C82386" w:rsidRDefault="00E66F64">
            <w:pPr>
              <w:widowControl w:val="0"/>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1.6.</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sz w:val="24"/>
                <w:szCs w:val="24"/>
              </w:rPr>
              <w:t xml:space="preserve">Стимулювання закупівлі органічних та екологічно безпечних місцевих продуктів харчування школами, дитячими садками, </w:t>
            </w:r>
            <w:r>
              <w:rPr>
                <w:rFonts w:ascii="Times New Roman" w:eastAsia="Times New Roman" w:hAnsi="Times New Roman" w:cs="Times New Roman"/>
                <w:b/>
                <w:sz w:val="24"/>
                <w:szCs w:val="24"/>
              </w:rPr>
              <w:lastRenderedPageBreak/>
              <w:t>лікарнями, іншими комунальними установами.</w:t>
            </w:r>
          </w:p>
        </w:tc>
      </w:tr>
      <w:tr w:rsidR="00C82386" w14:paraId="677F53BD" w14:textId="77777777" w:rsidTr="007F2B4D">
        <w:trPr>
          <w:trHeight w:val="978"/>
        </w:trPr>
        <w:tc>
          <w:tcPr>
            <w:tcW w:w="2095" w:type="dxa"/>
          </w:tcPr>
          <w:p w14:paraId="7223A1C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 xml:space="preserve">Відповідальний орган </w:t>
            </w:r>
          </w:p>
        </w:tc>
        <w:tc>
          <w:tcPr>
            <w:tcW w:w="7407" w:type="dxa"/>
            <w:gridSpan w:val="4"/>
          </w:tcPr>
          <w:p w14:paraId="5C01A15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4598397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p w14:paraId="7BE0508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tc>
      </w:tr>
      <w:tr w:rsidR="00C82386" w14:paraId="473C22E4" w14:textId="77777777" w:rsidTr="007F2B4D">
        <w:tc>
          <w:tcPr>
            <w:tcW w:w="2095" w:type="dxa"/>
          </w:tcPr>
          <w:p w14:paraId="1ABC791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4B7F2640"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Запровадження пріоритетів у закупівлях харчування для комунальних установ (шкіл, дитсадків, лікарень): </w:t>
            </w:r>
          </w:p>
          <w:p w14:paraId="67EB417C" w14:textId="77777777" w:rsidR="00C82386" w:rsidRDefault="004341E7">
            <w:pPr>
              <w:pBdr>
                <w:top w:val="nil"/>
                <w:left w:val="nil"/>
                <w:bottom w:val="nil"/>
                <w:right w:val="nil"/>
                <w:between w:val="nil"/>
              </w:pBdr>
              <w:spacing w:after="0" w:line="240" w:lineRule="auto"/>
              <w:jc w:val="both"/>
              <w:rPr>
                <w:rFonts w:ascii="Times New Roman" w:eastAsia="Times New Roman" w:hAnsi="Times New Roman" w:cs="Times New Roman"/>
                <w:sz w:val="24"/>
                <w:szCs w:val="24"/>
              </w:rPr>
            </w:pPr>
            <w:sdt>
              <w:sdtPr>
                <w:tag w:val="goog_rdk_123"/>
                <w:id w:val="236828610"/>
              </w:sdtPr>
              <w:sdtEndPr/>
              <w:sdtContent/>
            </w:sdt>
            <w:r w:rsidR="00E66F64">
              <w:rPr>
                <w:rFonts w:ascii="Times New Roman" w:eastAsia="Times New Roman" w:hAnsi="Times New Roman" w:cs="Times New Roman"/>
                <w:color w:val="000000"/>
                <w:sz w:val="24"/>
                <w:szCs w:val="24"/>
              </w:rPr>
              <w:t xml:space="preserve">у тендерній документації  встановлено пріоритет для органічних та екологічно безпечних продуктів місцевого виробництва. </w:t>
            </w:r>
            <w:sdt>
              <w:sdtPr>
                <w:tag w:val="goog_rdk_124"/>
                <w:id w:val="1742830730"/>
              </w:sdtPr>
              <w:sdtEndPr/>
              <w:sdtContent/>
            </w:sdt>
            <w:r w:rsidR="00E66F64">
              <w:rPr>
                <w:rFonts w:ascii="Times New Roman" w:eastAsia="Times New Roman" w:hAnsi="Times New Roman" w:cs="Times New Roman"/>
                <w:color w:val="000000"/>
                <w:sz w:val="24"/>
                <w:szCs w:val="24"/>
              </w:rPr>
              <w:t>Механізмом оформлення може бути введення додаткових балів для таких постачальників у конкурсних процедурах.</w:t>
            </w:r>
          </w:p>
        </w:tc>
      </w:tr>
      <w:tr w:rsidR="00C82386" w14:paraId="152A10D6" w14:textId="77777777" w:rsidTr="007F2B4D">
        <w:tc>
          <w:tcPr>
            <w:tcW w:w="2095" w:type="dxa"/>
          </w:tcPr>
          <w:p w14:paraId="69134D6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248E75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083FFD4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c>
          <w:tcPr>
            <w:tcW w:w="1852" w:type="dxa"/>
          </w:tcPr>
          <w:p w14:paraId="19E49E4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7299E66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r>
      <w:tr w:rsidR="00C82386" w14:paraId="12D77890" w14:textId="77777777" w:rsidTr="007F2B4D">
        <w:tc>
          <w:tcPr>
            <w:tcW w:w="2095" w:type="dxa"/>
          </w:tcPr>
          <w:p w14:paraId="09D4936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3B285A1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161620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p w14:paraId="69E860D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tc>
      </w:tr>
      <w:tr w:rsidR="00C82386" w14:paraId="4CF47CEB" w14:textId="77777777" w:rsidTr="007F2B4D">
        <w:tc>
          <w:tcPr>
            <w:tcW w:w="2095" w:type="dxa"/>
          </w:tcPr>
          <w:p w14:paraId="6F38F41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76F91701" w14:textId="77777777" w:rsidR="00C82386" w:rsidRDefault="00C82386">
            <w:pPr>
              <w:spacing w:after="0" w:line="240" w:lineRule="auto"/>
              <w:rPr>
                <w:rFonts w:ascii="Times New Roman" w:eastAsia="Times New Roman" w:hAnsi="Times New Roman" w:cs="Times New Roman"/>
                <w:sz w:val="24"/>
                <w:szCs w:val="24"/>
              </w:rPr>
            </w:pPr>
          </w:p>
        </w:tc>
      </w:tr>
      <w:tr w:rsidR="00C82386" w14:paraId="147B08C1" w14:textId="77777777" w:rsidTr="007F2B4D">
        <w:tc>
          <w:tcPr>
            <w:tcW w:w="2095" w:type="dxa"/>
          </w:tcPr>
          <w:p w14:paraId="5A69317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109A8F6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2EAE38BD" w14:textId="77777777" w:rsidTr="007F2B4D">
        <w:tc>
          <w:tcPr>
            <w:tcW w:w="2095" w:type="dxa"/>
          </w:tcPr>
          <w:p w14:paraId="4F0B946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0A49076B"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град;</w:t>
            </w:r>
          </w:p>
        </w:tc>
      </w:tr>
      <w:tr w:rsidR="00C82386" w14:paraId="5E8C10F3" w14:textId="77777777" w:rsidTr="007F2B4D">
        <w:tc>
          <w:tcPr>
            <w:tcW w:w="2095" w:type="dxa"/>
          </w:tcPr>
          <w:p w14:paraId="6CC36C3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201B9E1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17D7923A" w14:textId="77777777" w:rsidTr="007F2B4D">
        <w:tc>
          <w:tcPr>
            <w:tcW w:w="2095" w:type="dxa"/>
          </w:tcPr>
          <w:p w14:paraId="3E73102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5F3F3B6C"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100% закупівля  органічних та екологічно безпечних місцевих продуктів харчування школами, дитячими садками, лікарнями.</w:t>
            </w:r>
          </w:p>
        </w:tc>
      </w:tr>
      <w:tr w:rsidR="00C82386" w14:paraId="7DE3C2BC" w14:textId="77777777" w:rsidTr="007F2B4D">
        <w:tc>
          <w:tcPr>
            <w:tcW w:w="2095" w:type="dxa"/>
          </w:tcPr>
          <w:p w14:paraId="44117571"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6CD336A1"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Молодь, діти, люди з хронічними захворюваннями, внутрішньо переміщені особи, люди в скрутних життєвих обставинах, малозабезпечені особи, домогосподарства з низьким рівнем доходу</w:t>
            </w:r>
          </w:p>
        </w:tc>
      </w:tr>
    </w:tbl>
    <w:p w14:paraId="25B29711" w14:textId="77777777" w:rsidR="00C82386" w:rsidRDefault="00C82386">
      <w:pPr>
        <w:jc w:val="both"/>
        <w:rPr>
          <w:rFonts w:ascii="Times New Roman" w:eastAsia="Times New Roman" w:hAnsi="Times New Roman" w:cs="Times New Roman"/>
          <w:b/>
          <w:sz w:val="24"/>
          <w:szCs w:val="24"/>
        </w:rPr>
      </w:pPr>
    </w:p>
    <w:tbl>
      <w:tblPr>
        <w:tblStyle w:val="affffffd"/>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271C5C39" w14:textId="77777777" w:rsidTr="007F2B4D">
        <w:trPr>
          <w:trHeight w:val="106"/>
        </w:trPr>
        <w:tc>
          <w:tcPr>
            <w:tcW w:w="2095" w:type="dxa"/>
          </w:tcPr>
          <w:p w14:paraId="4F5A28E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50DF71C4" w14:textId="77777777" w:rsidR="00C82386" w:rsidRDefault="00E66F64">
            <w:pPr>
              <w:widowControl w:val="0"/>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1.7.</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sz w:val="24"/>
                <w:szCs w:val="24"/>
              </w:rPr>
              <w:t>Розробка та впровадження інноваційних інструментів для фінансування проєктів у сфері енергоефективності та клімату</w:t>
            </w:r>
          </w:p>
        </w:tc>
      </w:tr>
      <w:tr w:rsidR="00C82386" w14:paraId="3FC0EDD6" w14:textId="77777777" w:rsidTr="007F2B4D">
        <w:trPr>
          <w:trHeight w:val="238"/>
        </w:trPr>
        <w:tc>
          <w:tcPr>
            <w:tcW w:w="2095" w:type="dxa"/>
          </w:tcPr>
          <w:p w14:paraId="060ABF6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655D1A2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C82386" w14:paraId="5B7F429F" w14:textId="77777777" w:rsidTr="007F2B4D">
        <w:tc>
          <w:tcPr>
            <w:tcW w:w="2095" w:type="dxa"/>
          </w:tcPr>
          <w:p w14:paraId="6770EFE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72B03D7E"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Бюджет Житомирської міської територіальної громади та традиційні джерела фінансування (кредити, гранти, субвенція державного бюджету) не покривають потребу громади, комунальних підприємств, установ та організацій у фінансових ресурсах, які потрібні для реалізації проєктів у сфері енергоефективності та клімату.</w:t>
            </w:r>
          </w:p>
          <w:p w14:paraId="6E33FD09"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Завдання полягає в пошуку, адаптації та/або розробці нових інноваційних для громади інструментів фінансування проєктів у сфері енергоефективності та клімату.</w:t>
            </w:r>
          </w:p>
        </w:tc>
      </w:tr>
      <w:tr w:rsidR="00C82386" w14:paraId="22F8E31E" w14:textId="77777777" w:rsidTr="007F2B4D">
        <w:tc>
          <w:tcPr>
            <w:tcW w:w="2095" w:type="dxa"/>
          </w:tcPr>
          <w:p w14:paraId="3C2BAD7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72A9C68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початок</w:t>
            </w:r>
          </w:p>
        </w:tc>
        <w:tc>
          <w:tcPr>
            <w:tcW w:w="1848" w:type="dxa"/>
          </w:tcPr>
          <w:p w14:paraId="76321A4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7B26417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05AB982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2028</w:t>
            </w:r>
          </w:p>
        </w:tc>
      </w:tr>
      <w:tr w:rsidR="00C82386" w14:paraId="14420577" w14:textId="77777777" w:rsidTr="007F2B4D">
        <w:tc>
          <w:tcPr>
            <w:tcW w:w="2095" w:type="dxa"/>
          </w:tcPr>
          <w:p w14:paraId="412DAC4C"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26"/>
                <w:id w:val="942883763"/>
              </w:sdtPr>
              <w:sdtEndPr/>
              <w:sdtContent/>
            </w:sdt>
            <w:r w:rsidR="00E66F64">
              <w:rPr>
                <w:rFonts w:ascii="Times New Roman" w:eastAsia="Times New Roman" w:hAnsi="Times New Roman" w:cs="Times New Roman"/>
                <w:b/>
                <w:color w:val="000000"/>
                <w:sz w:val="24"/>
                <w:szCs w:val="24"/>
              </w:rPr>
              <w:t>Зацікавлені та залучені сторони</w:t>
            </w:r>
          </w:p>
        </w:tc>
        <w:tc>
          <w:tcPr>
            <w:tcW w:w="7407" w:type="dxa"/>
            <w:gridSpan w:val="4"/>
          </w:tcPr>
          <w:p w14:paraId="1037B482"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Комунальні підприємства та установи Житомирської міської ради;</w:t>
            </w:r>
          </w:p>
          <w:p w14:paraId="44148AFC"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Департамент бюджету та фінансів Житомирської міської ради;</w:t>
            </w:r>
          </w:p>
          <w:p w14:paraId="6324C262"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EnGreen s.r.l. та інші учасники проєкту «Задоволення потреб переходу на чисту енергію Готовність міст України Залучення інноваційного фінансування Приклади та заходи» (ANEW-LIFE)</w:t>
            </w:r>
          </w:p>
        </w:tc>
      </w:tr>
      <w:tr w:rsidR="00C82386" w14:paraId="49570A48" w14:textId="77777777" w:rsidTr="007F2B4D">
        <w:tc>
          <w:tcPr>
            <w:tcW w:w="2095" w:type="dxa"/>
          </w:tcPr>
          <w:p w14:paraId="43D8743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61EFD8A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55 907,50 євро (грант)</w:t>
            </w:r>
          </w:p>
        </w:tc>
      </w:tr>
      <w:tr w:rsidR="00C82386" w14:paraId="19F67274" w14:textId="77777777" w:rsidTr="007F2B4D">
        <w:tc>
          <w:tcPr>
            <w:tcW w:w="2095" w:type="dxa"/>
          </w:tcPr>
          <w:p w14:paraId="2B324BE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43972F1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Європейське виконавче агентство з питань клімату, інфраструктури та навколишнього середовища</w:t>
            </w:r>
          </w:p>
        </w:tc>
      </w:tr>
      <w:tr w:rsidR="00C82386" w14:paraId="702EABAF" w14:textId="77777777" w:rsidTr="007F2B4D">
        <w:tc>
          <w:tcPr>
            <w:tcW w:w="2095" w:type="dxa"/>
          </w:tcPr>
          <w:p w14:paraId="1E91919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Кліматичні загрози</w:t>
            </w:r>
          </w:p>
        </w:tc>
        <w:tc>
          <w:tcPr>
            <w:tcW w:w="7407" w:type="dxa"/>
            <w:gridSpan w:val="4"/>
          </w:tcPr>
          <w:p w14:paraId="518B8308"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Екстремальне тепло, екстремальний холод, екстремальні опади: злива, град</w:t>
            </w:r>
          </w:p>
        </w:tc>
      </w:tr>
      <w:tr w:rsidR="00C82386" w14:paraId="3F09DBD3" w14:textId="77777777" w:rsidTr="007F2B4D">
        <w:tc>
          <w:tcPr>
            <w:tcW w:w="2095" w:type="dxa"/>
          </w:tcPr>
          <w:p w14:paraId="497D5A5A"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27"/>
                <w:id w:val="-2060382047"/>
              </w:sdtPr>
              <w:sdtEndPr/>
              <w:sdtContent/>
            </w:sdt>
            <w:r w:rsidR="00E66F64">
              <w:rPr>
                <w:rFonts w:ascii="Times New Roman" w:eastAsia="Times New Roman" w:hAnsi="Times New Roman" w:cs="Times New Roman"/>
                <w:b/>
                <w:color w:val="000000"/>
                <w:sz w:val="24"/>
                <w:szCs w:val="24"/>
              </w:rPr>
              <w:t>Сектор</w:t>
            </w:r>
          </w:p>
        </w:tc>
        <w:tc>
          <w:tcPr>
            <w:tcW w:w="7407" w:type="dxa"/>
            <w:gridSpan w:val="4"/>
          </w:tcPr>
          <w:p w14:paraId="68FFF93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Усі </w:t>
            </w:r>
          </w:p>
        </w:tc>
      </w:tr>
      <w:tr w:rsidR="00C82386" w14:paraId="423EC645" w14:textId="77777777" w:rsidTr="007F2B4D">
        <w:tc>
          <w:tcPr>
            <w:tcW w:w="2095" w:type="dxa"/>
          </w:tcPr>
          <w:p w14:paraId="784303B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3DF384E9"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Розроблено та затверджено рішенням Житомирської міської ради та/або виконавчим комітетом Житомирської міської ради нормативно-правові акти, що регламентують функціонування на місцевому рівні не менше 2 нових інструментів для фінансування проєктів у сфері енергоефективності та клімату</w:t>
            </w:r>
          </w:p>
        </w:tc>
      </w:tr>
      <w:tr w:rsidR="00C82386" w14:paraId="5E955B68" w14:textId="77777777" w:rsidTr="007F2B4D">
        <w:tc>
          <w:tcPr>
            <w:tcW w:w="2095" w:type="dxa"/>
          </w:tcPr>
          <w:p w14:paraId="7D4926EB" w14:textId="77777777" w:rsidR="00C82386" w:rsidRDefault="004341E7">
            <w:pPr>
              <w:spacing w:after="0" w:line="240" w:lineRule="auto"/>
              <w:rPr>
                <w:rFonts w:ascii="Times New Roman" w:eastAsia="Times New Roman" w:hAnsi="Times New Roman" w:cs="Times New Roman"/>
                <w:b/>
                <w:color w:val="000000"/>
                <w:sz w:val="24"/>
                <w:szCs w:val="24"/>
                <w:highlight w:val="yellow"/>
              </w:rPr>
            </w:pPr>
            <w:sdt>
              <w:sdtPr>
                <w:tag w:val="goog_rdk_128"/>
                <w:id w:val="601236478"/>
              </w:sdtPr>
              <w:sdtEndPr/>
              <w:sdtContent/>
            </w:sdt>
            <w:r w:rsidR="00E66F64">
              <w:rPr>
                <w:rFonts w:ascii="Times New Roman" w:eastAsia="Times New Roman" w:hAnsi="Times New Roman" w:cs="Times New Roman"/>
                <w:b/>
                <w:color w:val="000000"/>
                <w:sz w:val="24"/>
                <w:szCs w:val="24"/>
              </w:rPr>
              <w:t>Вразливі групи населення</w:t>
            </w:r>
          </w:p>
        </w:tc>
        <w:tc>
          <w:tcPr>
            <w:tcW w:w="7407" w:type="dxa"/>
            <w:gridSpan w:val="4"/>
          </w:tcPr>
          <w:p w14:paraId="7A670E1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Діти, молодь, внутрішньо-переміщені особи, люди з низьким рівнем доходів</w:t>
            </w:r>
          </w:p>
        </w:tc>
      </w:tr>
    </w:tbl>
    <w:p w14:paraId="22E07BC6" w14:textId="77777777" w:rsidR="00C82386" w:rsidRDefault="00C82386">
      <w:pPr>
        <w:spacing w:after="0"/>
        <w:jc w:val="both"/>
        <w:rPr>
          <w:rFonts w:ascii="Times New Roman" w:eastAsia="Times New Roman" w:hAnsi="Times New Roman" w:cs="Times New Roman"/>
          <w:sz w:val="24"/>
          <w:szCs w:val="24"/>
        </w:rPr>
      </w:pPr>
    </w:p>
    <w:p w14:paraId="18F9305A" w14:textId="77777777" w:rsidR="00C82386" w:rsidRDefault="00C82386">
      <w:pPr>
        <w:spacing w:after="0"/>
        <w:jc w:val="both"/>
        <w:rPr>
          <w:rFonts w:ascii="Times New Roman" w:eastAsia="Times New Roman" w:hAnsi="Times New Roman" w:cs="Times New Roman"/>
          <w:sz w:val="24"/>
          <w:szCs w:val="24"/>
        </w:rPr>
      </w:pPr>
    </w:p>
    <w:p w14:paraId="2AC0A2DF" w14:textId="77777777" w:rsidR="00C82386" w:rsidRDefault="00E66F64">
      <w:pPr>
        <w:jc w:val="both"/>
        <w:rPr>
          <w:rFonts w:ascii="Times New Roman" w:eastAsia="Times New Roman" w:hAnsi="Times New Roman" w:cs="Times New Roman"/>
          <w:b/>
          <w:sz w:val="24"/>
          <w:szCs w:val="24"/>
        </w:rPr>
      </w:pPr>
      <w:r>
        <w:br w:type="page"/>
      </w:r>
    </w:p>
    <w:p w14:paraId="3B350500" w14:textId="77777777" w:rsidR="00C82386" w:rsidRDefault="00E66F64">
      <w:pPr>
        <w:keepNext/>
        <w:keepLines/>
        <w:numPr>
          <w:ilvl w:val="1"/>
          <w:numId w:val="28"/>
        </w:numPr>
        <w:pBdr>
          <w:top w:val="nil"/>
          <w:left w:val="nil"/>
          <w:bottom w:val="nil"/>
          <w:right w:val="nil"/>
          <w:between w:val="nil"/>
        </w:pBdr>
        <w:spacing w:after="0"/>
        <w:ind w:left="709" w:hanging="709"/>
        <w:rPr>
          <w:rFonts w:ascii="Times New Roman" w:eastAsia="Times New Roman" w:hAnsi="Times New Roman" w:cs="Times New Roman"/>
          <w:b/>
          <w:color w:val="000000"/>
          <w:sz w:val="24"/>
          <w:szCs w:val="24"/>
        </w:rPr>
      </w:pPr>
      <w:bookmarkStart w:id="78" w:name="_heading=h.3vac5uf" w:colFirst="0" w:colLast="0"/>
      <w:bookmarkEnd w:id="78"/>
      <w:r>
        <w:rPr>
          <w:rFonts w:ascii="Times New Roman" w:eastAsia="Times New Roman" w:hAnsi="Times New Roman" w:cs="Times New Roman"/>
          <w:b/>
          <w:color w:val="000000"/>
          <w:sz w:val="24"/>
          <w:szCs w:val="24"/>
        </w:rPr>
        <w:lastRenderedPageBreak/>
        <w:t xml:space="preserve">Навколишнє середовище </w:t>
      </w:r>
    </w:p>
    <w:p w14:paraId="7C0DAF7B" w14:textId="77777777" w:rsidR="00C82386" w:rsidRDefault="00E66F64">
      <w:pPr>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Збалансований розвиток зелених зон міста та передмістя</w:t>
      </w:r>
    </w:p>
    <w:p w14:paraId="341203C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Зелені зони можуть і виконують в місті цілий ряд функції, що дозволяють знизити ризики та адаптувати місто до декількох кліматичних ризиків. Проте для цього зелені зони мають відповідати наступним вимогам: </w:t>
      </w:r>
    </w:p>
    <w:p w14:paraId="32270FE8" w14:textId="77777777" w:rsidR="00C82386" w:rsidRDefault="00E66F64">
      <w:pPr>
        <w:numPr>
          <w:ilvl w:val="0"/>
          <w:numId w:val="64"/>
        </w:numPr>
        <w:pBdr>
          <w:top w:val="nil"/>
          <w:left w:val="nil"/>
          <w:bottom w:val="nil"/>
          <w:right w:val="nil"/>
          <w:between w:val="nil"/>
        </w:pBdr>
        <w:spacing w:after="0"/>
        <w:ind w:left="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створюють достатній рівень тіні для зниження локальної температури повітря, що знижує рівень теплового стресу населення;</w:t>
      </w:r>
    </w:p>
    <w:p w14:paraId="1F99F660" w14:textId="77777777" w:rsidR="00C82386" w:rsidRDefault="00E66F64">
      <w:pPr>
        <w:numPr>
          <w:ilvl w:val="0"/>
          <w:numId w:val="64"/>
        </w:numPr>
        <w:pBdr>
          <w:top w:val="nil"/>
          <w:left w:val="nil"/>
          <w:bottom w:val="nil"/>
          <w:right w:val="nil"/>
          <w:between w:val="nil"/>
        </w:pBdr>
        <w:spacing w:after="0"/>
        <w:ind w:left="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слугують басейнами накопичення зливових опадів для попередження затоплень і підтоплень, сприяють кращому водовідведення та акумуляції води під час сильних дощів;</w:t>
      </w:r>
    </w:p>
    <w:p w14:paraId="708D721A" w14:textId="77777777" w:rsidR="00C82386" w:rsidRDefault="00E66F64">
      <w:pPr>
        <w:numPr>
          <w:ilvl w:val="0"/>
          <w:numId w:val="64"/>
        </w:numPr>
        <w:pBdr>
          <w:top w:val="nil"/>
          <w:left w:val="nil"/>
          <w:bottom w:val="nil"/>
          <w:right w:val="nil"/>
          <w:between w:val="nil"/>
        </w:pBdr>
        <w:ind w:left="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дозволяють мешканцям переміщатися між районами міста в межах елементів зелених зон пішки або велосипедом, без необхідності використання автомобіля та без перешкод для маломобільних груп населення (особи з особливими потребами, батьки з колясками тощо). </w:t>
      </w:r>
    </w:p>
    <w:p w14:paraId="7D5F363E"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Необхідність формування такої мережі відображено також у цілях, встановлених у Концепції розвитку Житомира - 2030</w:t>
      </w:r>
      <w:r>
        <w:rPr>
          <w:rFonts w:ascii="Times New Roman" w:eastAsia="Times New Roman" w:hAnsi="Times New Roman" w:cs="Times New Roman"/>
          <w:sz w:val="24"/>
          <w:szCs w:val="24"/>
          <w:vertAlign w:val="superscript"/>
        </w:rPr>
        <w:footnoteReference w:id="28"/>
      </w:r>
      <w:r>
        <w:rPr>
          <w:rFonts w:ascii="Times New Roman" w:eastAsia="Times New Roman" w:hAnsi="Times New Roman" w:cs="Times New Roman"/>
          <w:sz w:val="24"/>
          <w:szCs w:val="24"/>
        </w:rPr>
        <w:t xml:space="preserve">.  </w:t>
      </w:r>
    </w:p>
    <w:tbl>
      <w:tblPr>
        <w:tblStyle w:val="affffffe"/>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4F0A24F9" w14:textId="77777777" w:rsidTr="007F2B4D">
        <w:tc>
          <w:tcPr>
            <w:tcW w:w="2095" w:type="dxa"/>
          </w:tcPr>
          <w:p w14:paraId="48B0F0D1" w14:textId="77777777" w:rsidR="00C82386" w:rsidRDefault="00E66F64">
            <w:pPr>
              <w:spacing w:after="0" w:line="240" w:lineRule="auto"/>
              <w:rPr>
                <w:rFonts w:ascii="Times New Roman" w:eastAsia="Times New Roman" w:hAnsi="Times New Roman" w:cs="Times New Roman"/>
                <w:b/>
                <w:color w:val="000000"/>
                <w:sz w:val="24"/>
                <w:szCs w:val="24"/>
              </w:rPr>
            </w:pPr>
            <w:bookmarkStart w:id="79" w:name="_heading=h.2afmg28" w:colFirst="0" w:colLast="0"/>
            <w:bookmarkEnd w:id="79"/>
            <w:r>
              <w:rPr>
                <w:rFonts w:ascii="Times New Roman" w:eastAsia="Times New Roman" w:hAnsi="Times New Roman" w:cs="Times New Roman"/>
                <w:b/>
                <w:color w:val="000000"/>
                <w:sz w:val="24"/>
                <w:szCs w:val="24"/>
              </w:rPr>
              <w:t>Назва заходу</w:t>
            </w:r>
          </w:p>
        </w:tc>
        <w:tc>
          <w:tcPr>
            <w:tcW w:w="7407" w:type="dxa"/>
            <w:gridSpan w:val="4"/>
          </w:tcPr>
          <w:p w14:paraId="47136B5A"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 Збалансований розвиток зелених насаджень</w:t>
            </w:r>
          </w:p>
        </w:tc>
      </w:tr>
      <w:tr w:rsidR="00C82386" w14:paraId="57FA35FF" w14:textId="77777777" w:rsidTr="007F2B4D">
        <w:tc>
          <w:tcPr>
            <w:tcW w:w="2095" w:type="dxa"/>
          </w:tcPr>
          <w:p w14:paraId="5339570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59CC509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комунального господарства Житомирської міської ради </w:t>
            </w:r>
          </w:p>
          <w:p w14:paraId="0E3D12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tc>
      </w:tr>
      <w:tr w:rsidR="00C82386" w14:paraId="76885F7C" w14:textId="77777777" w:rsidTr="007F2B4D">
        <w:tc>
          <w:tcPr>
            <w:tcW w:w="2095" w:type="dxa"/>
          </w:tcPr>
          <w:p w14:paraId="34F65E8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6A94B07D"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Впровадження інвентаризації зелених насаджень на 100% територій балансоутримувачем яких є комунальні та бюджетні заклади Житомирської громади за допомогою онлайн системи управління зеленими насадженнями, що </w:t>
            </w:r>
            <w:r>
              <w:rPr>
                <w:rFonts w:ascii="Times New Roman" w:eastAsia="Times New Roman" w:hAnsi="Times New Roman" w:cs="Times New Roman"/>
                <w:sz w:val="24"/>
                <w:szCs w:val="24"/>
              </w:rPr>
              <w:t>дозволяє</w:t>
            </w:r>
            <w:r>
              <w:rPr>
                <w:rFonts w:ascii="Times New Roman" w:eastAsia="Times New Roman" w:hAnsi="Times New Roman" w:cs="Times New Roman"/>
                <w:color w:val="000000"/>
                <w:sz w:val="24"/>
                <w:szCs w:val="24"/>
              </w:rPr>
              <w:t xml:space="preserve"> бачити реальну кількість насаджень у громаді, їх стан, потребу у догляді/лікуванні, відстежувати появу хвороб і інвазійних видів.</w:t>
            </w:r>
          </w:p>
          <w:p w14:paraId="654390A3" w14:textId="77777777" w:rsidR="00C82386" w:rsidRDefault="00E66F64">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Внесення змін до алгоритмів роботи діючих підрозділів комунальних служб, що доглядають за зеленими насадженнями</w:t>
            </w:r>
            <w:r>
              <w:rPr>
                <w:rFonts w:ascii="Times New Roman" w:eastAsia="Times New Roman" w:hAnsi="Times New Roman" w:cs="Times New Roman"/>
                <w:color w:val="000000"/>
                <w:sz w:val="24"/>
                <w:szCs w:val="24"/>
                <w:vertAlign w:val="superscript"/>
              </w:rPr>
              <w:footnoteReference w:id="29"/>
            </w:r>
            <w:r>
              <w:rPr>
                <w:rFonts w:ascii="Times New Roman" w:eastAsia="Times New Roman" w:hAnsi="Times New Roman" w:cs="Times New Roman"/>
                <w:color w:val="000000"/>
                <w:sz w:val="24"/>
                <w:szCs w:val="24"/>
              </w:rPr>
              <w:t>:</w:t>
            </w:r>
          </w:p>
          <w:p w14:paraId="6C10A643" w14:textId="77777777" w:rsidR="00C82386" w:rsidRDefault="00E66F64">
            <w:pPr>
              <w:numPr>
                <w:ilvl w:val="3"/>
                <w:numId w:val="69"/>
              </w:numPr>
              <w:pBdr>
                <w:top w:val="nil"/>
                <w:left w:val="nil"/>
                <w:bottom w:val="nil"/>
                <w:right w:val="nil"/>
                <w:between w:val="nil"/>
              </w:pBdr>
              <w:tabs>
                <w:tab w:val="left" w:pos="478"/>
              </w:tabs>
              <w:spacing w:after="0" w:line="240" w:lineRule="auto"/>
              <w:ind w:left="478"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для зелених насаджень багаторічних сортів і видів рослин, що є стійкими до періодів засухи та високих температур.</w:t>
            </w:r>
          </w:p>
          <w:p w14:paraId="55C74B81" w14:textId="77777777" w:rsidR="00C82386" w:rsidRDefault="00E66F64">
            <w:pPr>
              <w:numPr>
                <w:ilvl w:val="3"/>
                <w:numId w:val="69"/>
              </w:numPr>
              <w:pBdr>
                <w:top w:val="nil"/>
                <w:left w:val="nil"/>
                <w:bottom w:val="nil"/>
                <w:right w:val="nil"/>
                <w:between w:val="nil"/>
              </w:pBdr>
              <w:tabs>
                <w:tab w:val="left" w:pos="478"/>
              </w:tabs>
              <w:spacing w:after="0" w:line="240" w:lineRule="auto"/>
              <w:ind w:left="478"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Розширення видового складу зелених насаджень за рахунок місцевих видів, уникаючи інвазійних видів.</w:t>
            </w:r>
          </w:p>
          <w:p w14:paraId="59A874BF" w14:textId="77777777" w:rsidR="00C82386" w:rsidRDefault="00E66F64">
            <w:pPr>
              <w:numPr>
                <w:ilvl w:val="3"/>
                <w:numId w:val="69"/>
              </w:numPr>
              <w:pBdr>
                <w:top w:val="nil"/>
                <w:left w:val="nil"/>
                <w:bottom w:val="nil"/>
                <w:right w:val="nil"/>
                <w:between w:val="nil"/>
              </w:pBdr>
              <w:tabs>
                <w:tab w:val="left" w:pos="478"/>
              </w:tabs>
              <w:spacing w:after="0" w:line="240" w:lineRule="auto"/>
              <w:ind w:left="478"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медоносних сортів рослин для збереження диких бджіл та розвитку міського бджолярства.</w:t>
            </w:r>
          </w:p>
          <w:p w14:paraId="2E9397E8" w14:textId="77777777" w:rsidR="00C82386" w:rsidRDefault="00E66F64">
            <w:pPr>
              <w:numPr>
                <w:ilvl w:val="3"/>
                <w:numId w:val="69"/>
              </w:numPr>
              <w:pBdr>
                <w:top w:val="nil"/>
                <w:left w:val="nil"/>
                <w:bottom w:val="nil"/>
                <w:right w:val="nil"/>
                <w:between w:val="nil"/>
              </w:pBdr>
              <w:tabs>
                <w:tab w:val="left" w:pos="478"/>
              </w:tabs>
              <w:spacing w:after="0" w:line="240" w:lineRule="auto"/>
              <w:ind w:left="478"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Зміна підходу до </w:t>
            </w:r>
            <w:r>
              <w:rPr>
                <w:rFonts w:ascii="Times New Roman" w:eastAsia="Times New Roman" w:hAnsi="Times New Roman" w:cs="Times New Roman"/>
                <w:sz w:val="24"/>
                <w:szCs w:val="24"/>
              </w:rPr>
              <w:t>скошування</w:t>
            </w:r>
            <w:r>
              <w:rPr>
                <w:rFonts w:ascii="Times New Roman" w:eastAsia="Times New Roman" w:hAnsi="Times New Roman" w:cs="Times New Roman"/>
                <w:color w:val="000000"/>
                <w:sz w:val="24"/>
                <w:szCs w:val="24"/>
              </w:rPr>
              <w:t xml:space="preserve"> трави: заборона на викошування у спекотні періоди, косіння на заданій висоті, що забезпечує подальшу вегетацію рослин, тощо.</w:t>
            </w:r>
          </w:p>
          <w:p w14:paraId="6F3774EC" w14:textId="77777777" w:rsidR="00C82386" w:rsidRDefault="00E66F64">
            <w:pPr>
              <w:numPr>
                <w:ilvl w:val="3"/>
                <w:numId w:val="69"/>
              </w:numPr>
              <w:pBdr>
                <w:top w:val="nil"/>
                <w:left w:val="nil"/>
                <w:bottom w:val="nil"/>
                <w:right w:val="nil"/>
                <w:between w:val="nil"/>
              </w:pBdr>
              <w:tabs>
                <w:tab w:val="left" w:pos="478"/>
              </w:tabs>
              <w:spacing w:after="0" w:line="240" w:lineRule="auto"/>
              <w:ind w:left="478"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Боротьба із шкідниками та рослинами-паразитами, особливо інвазійних видів і рослин-алергенів, видалення омели та лікування</w:t>
            </w:r>
            <w:r>
              <w:rPr>
                <w:rFonts w:ascii="Times New Roman" w:eastAsia="Times New Roman" w:hAnsi="Times New Roman" w:cs="Times New Roman"/>
                <w:color w:val="000000"/>
                <w:sz w:val="24"/>
                <w:szCs w:val="24"/>
                <w:vertAlign w:val="superscript"/>
              </w:rPr>
              <w:footnoteReference w:id="30"/>
            </w:r>
            <w:r>
              <w:rPr>
                <w:rFonts w:ascii="Times New Roman" w:eastAsia="Times New Roman" w:hAnsi="Times New Roman" w:cs="Times New Roman"/>
                <w:color w:val="000000"/>
                <w:sz w:val="24"/>
                <w:szCs w:val="24"/>
              </w:rPr>
              <w:t xml:space="preserve">. наявних дерев, для запобігання падінню старих і </w:t>
            </w:r>
            <w:r>
              <w:rPr>
                <w:rFonts w:ascii="Times New Roman" w:eastAsia="Times New Roman" w:hAnsi="Times New Roman" w:cs="Times New Roman"/>
                <w:color w:val="000000"/>
                <w:sz w:val="24"/>
                <w:szCs w:val="24"/>
              </w:rPr>
              <w:lastRenderedPageBreak/>
              <w:t>пошкоджених дерев на людей чи майно під час буревіїв. Перевага має надаватися лікуванню дерев, а не видаленню.</w:t>
            </w:r>
          </w:p>
          <w:p w14:paraId="3D8D732D" w14:textId="77777777" w:rsidR="00C82386" w:rsidRDefault="00E66F64">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Облаштування систем поливу, дренажу та водовідведення зелених насаджень на об’єктах благоустрою.</w:t>
            </w:r>
          </w:p>
        </w:tc>
      </w:tr>
      <w:tr w:rsidR="00C82386" w14:paraId="3A02E329" w14:textId="77777777" w:rsidTr="007F2B4D">
        <w:tc>
          <w:tcPr>
            <w:tcW w:w="2095" w:type="dxa"/>
          </w:tcPr>
          <w:p w14:paraId="68C4059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4317614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2FB981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c>
          <w:tcPr>
            <w:tcW w:w="1852" w:type="dxa"/>
          </w:tcPr>
          <w:p w14:paraId="3906862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A55008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2050</w:t>
            </w:r>
          </w:p>
        </w:tc>
      </w:tr>
      <w:tr w:rsidR="00C82386" w14:paraId="17203B40" w14:textId="77777777" w:rsidTr="007F2B4D">
        <w:tc>
          <w:tcPr>
            <w:tcW w:w="2095" w:type="dxa"/>
          </w:tcPr>
          <w:p w14:paraId="1BD16FB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4CB8895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5E78B23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575A580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3FF0C3A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«Зеленбуд» Житомирської міської ради </w:t>
            </w:r>
          </w:p>
          <w:p w14:paraId="128F1B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«Парк» Житомирської міської ради </w:t>
            </w:r>
          </w:p>
        </w:tc>
      </w:tr>
      <w:tr w:rsidR="00C82386" w14:paraId="24B08B71" w14:textId="77777777" w:rsidTr="007F2B4D">
        <w:trPr>
          <w:trHeight w:val="240"/>
        </w:trPr>
        <w:tc>
          <w:tcPr>
            <w:tcW w:w="2095" w:type="dxa"/>
          </w:tcPr>
          <w:p w14:paraId="4A8DCFF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3D709FD5"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6C051D69" w14:textId="77777777" w:rsidTr="007F2B4D">
        <w:tc>
          <w:tcPr>
            <w:tcW w:w="2095" w:type="dxa"/>
          </w:tcPr>
          <w:p w14:paraId="23E2387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389CA22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4157DC19" w14:textId="77777777" w:rsidTr="007F2B4D">
        <w:tc>
          <w:tcPr>
            <w:tcW w:w="2095" w:type="dxa"/>
          </w:tcPr>
          <w:p w14:paraId="1B46394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70106DF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екстремальні опади: злива, град</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підвищення рівня води, посуха, низові пожежі, інфекційні захворювання та алергічні прояви </w:t>
            </w:r>
          </w:p>
        </w:tc>
      </w:tr>
      <w:tr w:rsidR="00C82386" w14:paraId="5553F2FB" w14:textId="77777777" w:rsidTr="007F2B4D">
        <w:tc>
          <w:tcPr>
            <w:tcW w:w="2095" w:type="dxa"/>
          </w:tcPr>
          <w:p w14:paraId="62A3819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35B0A91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та біорізноманіття</w:t>
            </w:r>
          </w:p>
        </w:tc>
      </w:tr>
      <w:tr w:rsidR="00C82386" w14:paraId="0596EE05" w14:textId="77777777" w:rsidTr="007F2B4D">
        <w:tc>
          <w:tcPr>
            <w:tcW w:w="2095" w:type="dxa"/>
          </w:tcPr>
          <w:p w14:paraId="109D6B4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0229C323"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80" w:name="_heading=h.pkwqa1" w:colFirst="0" w:colLast="0"/>
            <w:bookmarkEnd w:id="80"/>
            <w:r>
              <w:rPr>
                <w:rFonts w:ascii="Times New Roman" w:eastAsia="Times New Roman" w:hAnsi="Times New Roman" w:cs="Times New Roman"/>
                <w:color w:val="000000"/>
                <w:sz w:val="24"/>
                <w:szCs w:val="24"/>
              </w:rPr>
              <w:t>Проведена інвентаризація зелених насаджень на 100% територій балансоутримувачем яких є комунальні та бюджетні заклади Житомирської громади.</w:t>
            </w:r>
          </w:p>
          <w:p w14:paraId="172FD39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Сформований реєстр зелених насаджень з урахуванням Правил утримання зелених насаджень у населених пунктах України та впроваджено автоматизований процес їх обліку </w:t>
            </w:r>
          </w:p>
          <w:p w14:paraId="20D5BC80"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Забезпечено належний контроль за обслуговуванням об’єктів благоустрою зеленого господарства; </w:t>
            </w:r>
          </w:p>
          <w:p w14:paraId="42AD4727"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Створено інтерактивну карту з поширення шкідливих видів рослин; </w:t>
            </w:r>
          </w:p>
          <w:p w14:paraId="0C8F760B"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Облаштована система поливу, дренажу та водовідведення на 100% територій балансоутримувачем яких є комунальні та бюджетні заклади Житомирської громади.</w:t>
            </w:r>
          </w:p>
          <w:p w14:paraId="76B0336C"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Створено більше 50 га зелених насаджень спеціального призначення у санітарно-захисних зонах та охоронних зонах.</w:t>
            </w:r>
          </w:p>
          <w:p w14:paraId="60B1B59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зелених насаджень на 1 мешканця Житомира перевищує норматив (мінімум 16 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w:t>
            </w:r>
          </w:p>
          <w:p w14:paraId="1C9119C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80% насаджень загального користування мають належний стан благоустрою. </w:t>
            </w:r>
          </w:p>
        </w:tc>
      </w:tr>
      <w:tr w:rsidR="00C82386" w14:paraId="37973AB9" w14:textId="77777777" w:rsidTr="007F2B4D">
        <w:tc>
          <w:tcPr>
            <w:tcW w:w="2095" w:type="dxa"/>
          </w:tcPr>
          <w:p w14:paraId="0A35D99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4EE80F1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3FB4977C" w14:textId="77777777" w:rsidR="00C82386" w:rsidRDefault="00C82386">
      <w:pPr>
        <w:ind w:firstLine="709"/>
        <w:jc w:val="both"/>
        <w:rPr>
          <w:rFonts w:ascii="Times New Roman" w:eastAsia="Times New Roman" w:hAnsi="Times New Roman" w:cs="Times New Roman"/>
          <w:sz w:val="24"/>
          <w:szCs w:val="24"/>
        </w:rPr>
      </w:pPr>
    </w:p>
    <w:tbl>
      <w:tblPr>
        <w:tblStyle w:val="afffffff"/>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79952021" w14:textId="77777777" w:rsidTr="007F2B4D">
        <w:tc>
          <w:tcPr>
            <w:tcW w:w="2095" w:type="dxa"/>
          </w:tcPr>
          <w:p w14:paraId="0E24467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20AF2117" w14:textId="77777777" w:rsidR="00C82386" w:rsidRDefault="004341E7" w:rsidP="00942683">
            <w:pPr>
              <w:spacing w:after="0" w:line="240" w:lineRule="auto"/>
              <w:jc w:val="both"/>
              <w:rPr>
                <w:rFonts w:ascii="Times New Roman" w:eastAsia="Times New Roman" w:hAnsi="Times New Roman" w:cs="Times New Roman"/>
                <w:b/>
                <w:color w:val="000000"/>
                <w:sz w:val="24"/>
                <w:szCs w:val="24"/>
              </w:rPr>
            </w:pPr>
            <w:sdt>
              <w:sdtPr>
                <w:rPr>
                  <w:rFonts w:ascii="Times New Roman" w:eastAsia="Times New Roman" w:hAnsi="Times New Roman" w:cs="Times New Roman"/>
                  <w:b/>
                  <w:color w:val="000000"/>
                  <w:sz w:val="24"/>
                  <w:szCs w:val="24"/>
                </w:rPr>
                <w:tag w:val="goog_rdk_129"/>
                <w:id w:val="-870834007"/>
                <w:showingPlcHdr/>
              </w:sdtPr>
              <w:sdtEndPr/>
              <w:sdtContent>
                <w:r w:rsidR="00942683" w:rsidRPr="00AB3BE8">
                  <w:rPr>
                    <w:rFonts w:ascii="Times New Roman" w:eastAsia="Times New Roman" w:hAnsi="Times New Roman" w:cs="Times New Roman"/>
                    <w:b/>
                    <w:color w:val="000000"/>
                    <w:sz w:val="24"/>
                    <w:szCs w:val="24"/>
                  </w:rPr>
                  <w:t xml:space="preserve">     </w:t>
                </w:r>
              </w:sdtContent>
            </w:sdt>
            <w:r w:rsidR="00E66F64">
              <w:rPr>
                <w:rFonts w:ascii="Times New Roman" w:eastAsia="Times New Roman" w:hAnsi="Times New Roman" w:cs="Times New Roman"/>
                <w:b/>
                <w:color w:val="000000"/>
                <w:sz w:val="24"/>
                <w:szCs w:val="24"/>
              </w:rPr>
              <w:t xml:space="preserve">2.1 </w:t>
            </w:r>
            <w:r w:rsidR="00942683" w:rsidRPr="00AB3BE8">
              <w:rPr>
                <w:rFonts w:ascii="Times New Roman" w:eastAsia="Times New Roman" w:hAnsi="Times New Roman" w:cs="Times New Roman"/>
                <w:b/>
                <w:color w:val="000000"/>
                <w:sz w:val="24"/>
                <w:szCs w:val="24"/>
              </w:rPr>
              <w:t>Збільшення кількості</w:t>
            </w:r>
            <w:r w:rsidR="00E66F64" w:rsidRPr="00AB3BE8">
              <w:rPr>
                <w:rFonts w:ascii="Times New Roman" w:eastAsia="Times New Roman" w:hAnsi="Times New Roman" w:cs="Times New Roman"/>
                <w:b/>
                <w:color w:val="000000"/>
                <w:sz w:val="24"/>
                <w:szCs w:val="24"/>
              </w:rPr>
              <w:t xml:space="preserve"> </w:t>
            </w:r>
            <w:r w:rsidR="00E66F64" w:rsidRPr="00942683">
              <w:rPr>
                <w:rFonts w:ascii="Times New Roman" w:eastAsia="Times New Roman" w:hAnsi="Times New Roman" w:cs="Times New Roman"/>
                <w:b/>
                <w:color w:val="000000"/>
                <w:sz w:val="24"/>
                <w:szCs w:val="24"/>
              </w:rPr>
              <w:t>медоносних</w:t>
            </w:r>
            <w:r w:rsidR="00E66F64" w:rsidRPr="00AB3BE8">
              <w:rPr>
                <w:rFonts w:ascii="Times New Roman" w:eastAsia="Times New Roman" w:hAnsi="Times New Roman" w:cs="Times New Roman"/>
                <w:b/>
                <w:color w:val="000000"/>
                <w:sz w:val="24"/>
                <w:szCs w:val="24"/>
              </w:rPr>
              <w:t xml:space="preserve"> рослин у зелених зонах</w:t>
            </w:r>
          </w:p>
        </w:tc>
      </w:tr>
      <w:tr w:rsidR="00C82386" w14:paraId="7426CA33" w14:textId="77777777" w:rsidTr="007F2B4D">
        <w:tc>
          <w:tcPr>
            <w:tcW w:w="2095" w:type="dxa"/>
          </w:tcPr>
          <w:p w14:paraId="68FE9BB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0AA8433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tc>
      </w:tr>
      <w:tr w:rsidR="00C82386" w14:paraId="4AB30818" w14:textId="77777777" w:rsidTr="007F2B4D">
        <w:tc>
          <w:tcPr>
            <w:tcW w:w="2095" w:type="dxa"/>
          </w:tcPr>
          <w:p w14:paraId="0F27FC1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0BFED80C" w14:textId="77777777" w:rsidR="00C82386" w:rsidRDefault="00E66F64">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програм озеленення із використанням медоносних рослин для підтримки популяції комах-запилювачів та підвищення біорізноманіття.</w:t>
            </w:r>
          </w:p>
        </w:tc>
      </w:tr>
      <w:tr w:rsidR="00C82386" w14:paraId="7F6FFDA8" w14:textId="77777777" w:rsidTr="007F2B4D">
        <w:tc>
          <w:tcPr>
            <w:tcW w:w="2095" w:type="dxa"/>
          </w:tcPr>
          <w:p w14:paraId="514A625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2DABE42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365D3EC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323E4D7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1B2F44D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2040</w:t>
            </w:r>
          </w:p>
        </w:tc>
      </w:tr>
      <w:tr w:rsidR="00C82386" w14:paraId="505E5741" w14:textId="77777777" w:rsidTr="007F2B4D">
        <w:tc>
          <w:tcPr>
            <w:tcW w:w="2095" w:type="dxa"/>
          </w:tcPr>
          <w:p w14:paraId="0663204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Стейкхолдери та залучені сторони</w:t>
            </w:r>
          </w:p>
        </w:tc>
        <w:tc>
          <w:tcPr>
            <w:tcW w:w="7407" w:type="dxa"/>
            <w:gridSpan w:val="4"/>
          </w:tcPr>
          <w:p w14:paraId="23D9FC3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7CAD9B3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ЖМР</w:t>
            </w:r>
          </w:p>
          <w:p w14:paraId="2B27EFD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«Зеленбуд» Житомирської міської ради </w:t>
            </w:r>
          </w:p>
          <w:p w14:paraId="3628A56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«Парк» Житомирської міської ради </w:t>
            </w:r>
          </w:p>
        </w:tc>
      </w:tr>
      <w:tr w:rsidR="00C82386" w14:paraId="1E4B2D5D" w14:textId="77777777" w:rsidTr="007F2B4D">
        <w:trPr>
          <w:trHeight w:val="240"/>
        </w:trPr>
        <w:tc>
          <w:tcPr>
            <w:tcW w:w="2095" w:type="dxa"/>
          </w:tcPr>
          <w:p w14:paraId="4E46359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76831861"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6F4B3E5B" w14:textId="77777777" w:rsidTr="007F2B4D">
        <w:tc>
          <w:tcPr>
            <w:tcW w:w="2095" w:type="dxa"/>
          </w:tcPr>
          <w:p w14:paraId="4518007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44D660C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40BA55CB" w14:textId="77777777" w:rsidTr="007F2B4D">
        <w:tc>
          <w:tcPr>
            <w:tcW w:w="2095" w:type="dxa"/>
          </w:tcPr>
          <w:p w14:paraId="34A40C4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1477531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екстремальна спека, посуха </w:t>
            </w:r>
          </w:p>
        </w:tc>
      </w:tr>
      <w:tr w:rsidR="00C82386" w14:paraId="4396373D" w14:textId="77777777" w:rsidTr="007F2B4D">
        <w:tc>
          <w:tcPr>
            <w:tcW w:w="2095" w:type="dxa"/>
          </w:tcPr>
          <w:p w14:paraId="477A237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33AE5F9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та біорізноманіття</w:t>
            </w:r>
          </w:p>
        </w:tc>
      </w:tr>
      <w:tr w:rsidR="00C82386" w14:paraId="2CF4DBE1" w14:textId="77777777" w:rsidTr="007F2B4D">
        <w:tc>
          <w:tcPr>
            <w:tcW w:w="2095" w:type="dxa"/>
          </w:tcPr>
          <w:p w14:paraId="74D2040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37F0D3A9" w14:textId="77777777" w:rsidR="00C82386" w:rsidRDefault="004341E7">
            <w:pPr>
              <w:spacing w:after="0" w:line="240" w:lineRule="auto"/>
              <w:jc w:val="both"/>
              <w:rPr>
                <w:rFonts w:ascii="Times New Roman" w:eastAsia="Times New Roman" w:hAnsi="Times New Roman" w:cs="Times New Roman"/>
                <w:color w:val="000000"/>
                <w:sz w:val="24"/>
                <w:szCs w:val="24"/>
              </w:rPr>
            </w:pPr>
            <w:sdt>
              <w:sdtPr>
                <w:tag w:val="goog_rdk_130"/>
                <w:id w:val="-1812321378"/>
              </w:sdtPr>
              <w:sdtEndPr/>
              <w:sdtContent/>
            </w:sdt>
            <w:r w:rsidR="00E66F64">
              <w:rPr>
                <w:rFonts w:ascii="Times New Roman" w:eastAsia="Times New Roman" w:hAnsi="Times New Roman" w:cs="Times New Roman"/>
                <w:color w:val="000000"/>
                <w:sz w:val="24"/>
                <w:szCs w:val="24"/>
              </w:rPr>
              <w:t>Висаджено не менше 500 дерев і кущів медоносних видів щорічно</w:t>
            </w:r>
          </w:p>
        </w:tc>
      </w:tr>
      <w:tr w:rsidR="00C82386" w14:paraId="0AA03575" w14:textId="77777777" w:rsidTr="007F2B4D">
        <w:tc>
          <w:tcPr>
            <w:tcW w:w="2095" w:type="dxa"/>
          </w:tcPr>
          <w:p w14:paraId="48A4064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5791ACD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3F2F8752" w14:textId="77777777" w:rsidR="00C82386" w:rsidRDefault="00C82386">
      <w:pPr>
        <w:ind w:firstLine="709"/>
        <w:jc w:val="both"/>
        <w:rPr>
          <w:rFonts w:ascii="Times New Roman" w:eastAsia="Times New Roman" w:hAnsi="Times New Roman" w:cs="Times New Roman"/>
          <w:sz w:val="24"/>
          <w:szCs w:val="24"/>
        </w:rPr>
      </w:pPr>
    </w:p>
    <w:tbl>
      <w:tblPr>
        <w:tblStyle w:val="afffffff0"/>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1"/>
        <w:gridCol w:w="1848"/>
      </w:tblGrid>
      <w:tr w:rsidR="00C82386" w14:paraId="39C3007C" w14:textId="77777777" w:rsidTr="007F2B4D">
        <w:tc>
          <w:tcPr>
            <w:tcW w:w="1953" w:type="dxa"/>
          </w:tcPr>
          <w:p w14:paraId="1D672903" w14:textId="77777777" w:rsidR="00C82386" w:rsidRDefault="00E66F64">
            <w:pPr>
              <w:spacing w:after="0" w:line="240" w:lineRule="auto"/>
              <w:rPr>
                <w:rFonts w:ascii="Times New Roman" w:eastAsia="Times New Roman" w:hAnsi="Times New Roman" w:cs="Times New Roman"/>
                <w:b/>
                <w:color w:val="000000"/>
                <w:sz w:val="24"/>
                <w:szCs w:val="24"/>
              </w:rPr>
            </w:pPr>
            <w:bookmarkStart w:id="81" w:name="_heading=h.39kk8xu" w:colFirst="0" w:colLast="0"/>
            <w:bookmarkEnd w:id="81"/>
            <w:r>
              <w:rPr>
                <w:rFonts w:ascii="Times New Roman" w:eastAsia="Times New Roman" w:hAnsi="Times New Roman" w:cs="Times New Roman"/>
                <w:b/>
                <w:color w:val="000000"/>
                <w:sz w:val="24"/>
                <w:szCs w:val="24"/>
              </w:rPr>
              <w:t>Назва заходу</w:t>
            </w:r>
          </w:p>
        </w:tc>
        <w:tc>
          <w:tcPr>
            <w:tcW w:w="7406" w:type="dxa"/>
            <w:gridSpan w:val="4"/>
          </w:tcPr>
          <w:p w14:paraId="199D11DD"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2.2 Зменшення площі штучних водонепроникних поверхонь</w:t>
            </w:r>
          </w:p>
        </w:tc>
      </w:tr>
      <w:tr w:rsidR="00C82386" w14:paraId="36B5E640" w14:textId="77777777" w:rsidTr="007F2B4D">
        <w:tc>
          <w:tcPr>
            <w:tcW w:w="1953" w:type="dxa"/>
          </w:tcPr>
          <w:p w14:paraId="08F66D8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6" w:type="dxa"/>
            <w:gridSpan w:val="4"/>
          </w:tcPr>
          <w:p w14:paraId="70D50E7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 Управління комунального господарства Житомирської міської ради</w:t>
            </w:r>
          </w:p>
          <w:p w14:paraId="3898C21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575A1A7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tc>
      </w:tr>
      <w:tr w:rsidR="00C82386" w14:paraId="4EEAA11D" w14:textId="77777777" w:rsidTr="007F2B4D">
        <w:tc>
          <w:tcPr>
            <w:tcW w:w="1953" w:type="dxa"/>
          </w:tcPr>
          <w:p w14:paraId="7B4F06B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6" w:type="dxa"/>
            <w:gridSpan w:val="4"/>
          </w:tcPr>
          <w:p w14:paraId="21C219D7" w14:textId="77777777" w:rsidR="00C82386" w:rsidRDefault="00E66F64">
            <w:pPr>
              <w:numPr>
                <w:ilvl w:val="0"/>
                <w:numId w:val="64"/>
              </w:numPr>
              <w:pBdr>
                <w:top w:val="nil"/>
                <w:left w:val="nil"/>
                <w:bottom w:val="nil"/>
                <w:right w:val="nil"/>
                <w:between w:val="nil"/>
              </w:pBdr>
              <w:tabs>
                <w:tab w:val="left" w:pos="360"/>
              </w:tabs>
              <w:spacing w:after="0" w:line="240" w:lineRule="auto"/>
              <w:ind w:left="360"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Облаштування газонів за принципом «міських луків», а не традиційних низькорослих зелених газонів, що зменшить температуру вкритої високою зеленню ділянки, відведення й акумуляція дощової води, сприятиме зростанню біорізноманіття у населених пунктах.</w:t>
            </w:r>
          </w:p>
          <w:p w14:paraId="2E6601C8" w14:textId="77777777" w:rsidR="00C82386" w:rsidRDefault="00E66F64">
            <w:pPr>
              <w:numPr>
                <w:ilvl w:val="0"/>
                <w:numId w:val="64"/>
              </w:numPr>
              <w:pBdr>
                <w:top w:val="nil"/>
                <w:left w:val="nil"/>
                <w:bottom w:val="nil"/>
                <w:right w:val="nil"/>
                <w:between w:val="nil"/>
              </w:pBdr>
              <w:tabs>
                <w:tab w:val="left" w:pos="360"/>
              </w:tabs>
              <w:spacing w:after="0" w:line="240" w:lineRule="auto"/>
              <w:ind w:left="360"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Облаштування дренажної системи вздовж тротуарів і стежок («дощові кана</w:t>
            </w:r>
            <w:r>
              <w:rPr>
                <w:rFonts w:ascii="Times New Roman" w:eastAsia="Times New Roman" w:hAnsi="Times New Roman" w:cs="Times New Roman"/>
                <w:sz w:val="24"/>
                <w:szCs w:val="24"/>
              </w:rPr>
              <w:t>л</w:t>
            </w:r>
            <w:r>
              <w:rPr>
                <w:rFonts w:ascii="Times New Roman" w:eastAsia="Times New Roman" w:hAnsi="Times New Roman" w:cs="Times New Roman"/>
                <w:color w:val="000000"/>
                <w:sz w:val="24"/>
                <w:szCs w:val="24"/>
              </w:rPr>
              <w:t xml:space="preserve">и»), з насадженням видів рослин, що витримають умови конкретного місця зростання рослинності для забезпечення фільтрації води </w:t>
            </w:r>
            <w:r w:rsidR="00F9476C">
              <w:rPr>
                <w:rFonts w:ascii="Times New Roman" w:eastAsia="Times New Roman" w:hAnsi="Times New Roman" w:cs="Times New Roman"/>
                <w:sz w:val="24"/>
                <w:szCs w:val="24"/>
              </w:rPr>
              <w:t>ґ</w:t>
            </w:r>
            <w:r w:rsidR="00F9476C">
              <w:rPr>
                <w:rFonts w:ascii="Times New Roman" w:eastAsia="Times New Roman" w:hAnsi="Times New Roman" w:cs="Times New Roman"/>
                <w:color w:val="000000"/>
                <w:sz w:val="24"/>
                <w:szCs w:val="24"/>
              </w:rPr>
              <w:t>рунтом</w:t>
            </w:r>
            <w:r>
              <w:rPr>
                <w:rFonts w:ascii="Times New Roman" w:eastAsia="Times New Roman" w:hAnsi="Times New Roman" w:cs="Times New Roman"/>
                <w:color w:val="000000"/>
                <w:sz w:val="24"/>
                <w:szCs w:val="24"/>
              </w:rPr>
              <w:t>. Це сприятиме відводу дощової води й акумуляції вологи, яка буде доступна для зелених насаджень у періоди спеки та малої кількості опадів.</w:t>
            </w:r>
          </w:p>
          <w:p w14:paraId="1A5F23BC" w14:textId="77777777" w:rsidR="00C82386" w:rsidRDefault="00E66F64">
            <w:pPr>
              <w:numPr>
                <w:ilvl w:val="0"/>
                <w:numId w:val="64"/>
              </w:numPr>
              <w:pBdr>
                <w:top w:val="nil"/>
                <w:left w:val="nil"/>
                <w:bottom w:val="nil"/>
                <w:right w:val="nil"/>
                <w:between w:val="nil"/>
              </w:pBdr>
              <w:tabs>
                <w:tab w:val="left" w:pos="360"/>
              </w:tabs>
              <w:spacing w:after="0" w:line="240" w:lineRule="auto"/>
              <w:ind w:left="360"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Облаштування місць для паркування з покриттям, що дозволяє фільтрацію дощової води в ґрунт. Збереження під місцями для паркування трав’яного покрову та накриття його різноманітними газонними решітками.</w:t>
            </w:r>
          </w:p>
        </w:tc>
      </w:tr>
      <w:tr w:rsidR="00C82386" w14:paraId="714D16C4" w14:textId="77777777" w:rsidTr="007F2B4D">
        <w:tc>
          <w:tcPr>
            <w:tcW w:w="1953" w:type="dxa"/>
          </w:tcPr>
          <w:p w14:paraId="1A33A9C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4B04313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AE2197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1" w:type="dxa"/>
          </w:tcPr>
          <w:p w14:paraId="4EF7294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7AF703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31884C1C" w14:textId="77777777" w:rsidTr="007F2B4D">
        <w:tc>
          <w:tcPr>
            <w:tcW w:w="1953" w:type="dxa"/>
          </w:tcPr>
          <w:p w14:paraId="356F46E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1859" w:type="dxa"/>
          </w:tcPr>
          <w:p w14:paraId="0900D75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c>
          <w:tcPr>
            <w:tcW w:w="1848" w:type="dxa"/>
          </w:tcPr>
          <w:p w14:paraId="00517435" w14:textId="77777777" w:rsidR="00C82386" w:rsidRDefault="00C82386">
            <w:pPr>
              <w:spacing w:after="0" w:line="240" w:lineRule="auto"/>
              <w:rPr>
                <w:rFonts w:ascii="Times New Roman" w:eastAsia="Times New Roman" w:hAnsi="Times New Roman" w:cs="Times New Roman"/>
                <w:color w:val="000000"/>
                <w:sz w:val="24"/>
                <w:szCs w:val="24"/>
              </w:rPr>
            </w:pPr>
          </w:p>
        </w:tc>
        <w:tc>
          <w:tcPr>
            <w:tcW w:w="1851" w:type="dxa"/>
          </w:tcPr>
          <w:p w14:paraId="4FE3BBB1" w14:textId="77777777" w:rsidR="00C82386" w:rsidRDefault="00C82386">
            <w:pPr>
              <w:spacing w:after="0" w:line="240" w:lineRule="auto"/>
              <w:rPr>
                <w:rFonts w:ascii="Times New Roman" w:eastAsia="Times New Roman" w:hAnsi="Times New Roman" w:cs="Times New Roman"/>
                <w:color w:val="000000"/>
                <w:sz w:val="24"/>
                <w:szCs w:val="24"/>
              </w:rPr>
            </w:pPr>
          </w:p>
        </w:tc>
        <w:tc>
          <w:tcPr>
            <w:tcW w:w="1848" w:type="dxa"/>
          </w:tcPr>
          <w:p w14:paraId="6EA4561B" w14:textId="77777777" w:rsidR="00C82386" w:rsidRDefault="00C82386">
            <w:pPr>
              <w:spacing w:after="0" w:line="240" w:lineRule="auto"/>
              <w:rPr>
                <w:rFonts w:ascii="Times New Roman" w:eastAsia="Times New Roman" w:hAnsi="Times New Roman" w:cs="Times New Roman"/>
                <w:color w:val="000000"/>
                <w:sz w:val="24"/>
                <w:szCs w:val="24"/>
              </w:rPr>
            </w:pPr>
          </w:p>
        </w:tc>
      </w:tr>
      <w:tr w:rsidR="00C82386" w14:paraId="100C07B8" w14:textId="77777777" w:rsidTr="007F2B4D">
        <w:tc>
          <w:tcPr>
            <w:tcW w:w="1953" w:type="dxa"/>
          </w:tcPr>
          <w:p w14:paraId="54DCA33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6" w:type="dxa"/>
            <w:gridSpan w:val="4"/>
          </w:tcPr>
          <w:p w14:paraId="2F6E550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36C1353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2D23CEA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51BCD68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547EF9C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2640D6A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p w14:paraId="2077A79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“Зеленбуд” Житомирської міської ради,</w:t>
            </w:r>
          </w:p>
          <w:p w14:paraId="2964834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3B32CB09" w14:textId="77777777" w:rsidTr="007F2B4D">
        <w:tc>
          <w:tcPr>
            <w:tcW w:w="1953" w:type="dxa"/>
          </w:tcPr>
          <w:p w14:paraId="3890CCA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6" w:type="dxa"/>
            <w:gridSpan w:val="4"/>
          </w:tcPr>
          <w:p w14:paraId="2608D07B"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241DC1B9" w14:textId="77777777" w:rsidTr="007F2B4D">
        <w:tc>
          <w:tcPr>
            <w:tcW w:w="1953" w:type="dxa"/>
          </w:tcPr>
          <w:p w14:paraId="26A3F5A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Джерело надходження коштів</w:t>
            </w:r>
          </w:p>
        </w:tc>
        <w:tc>
          <w:tcPr>
            <w:tcW w:w="7406" w:type="dxa"/>
            <w:gridSpan w:val="4"/>
          </w:tcPr>
          <w:p w14:paraId="7B1307C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57E7B43D" w14:textId="77777777" w:rsidTr="007F2B4D">
        <w:tc>
          <w:tcPr>
            <w:tcW w:w="1953" w:type="dxa"/>
          </w:tcPr>
          <w:p w14:paraId="249D8FA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6" w:type="dxa"/>
            <w:gridSpan w:val="4"/>
          </w:tcPr>
          <w:p w14:paraId="4B9DC5E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екстремальні опади: злива, підвищення рівня води, посуха, низові пожежі, інфекційні захворювання та алергічні прояви</w:t>
            </w:r>
          </w:p>
          <w:p w14:paraId="7EBDF187" w14:textId="77777777" w:rsidR="00C82386" w:rsidRDefault="00C82386">
            <w:pPr>
              <w:spacing w:after="0" w:line="240" w:lineRule="auto"/>
              <w:rPr>
                <w:rFonts w:ascii="Times New Roman" w:eastAsia="Times New Roman" w:hAnsi="Times New Roman" w:cs="Times New Roman"/>
                <w:color w:val="000000"/>
                <w:sz w:val="24"/>
                <w:szCs w:val="24"/>
                <w:highlight w:val="yellow"/>
              </w:rPr>
            </w:pPr>
          </w:p>
        </w:tc>
      </w:tr>
      <w:tr w:rsidR="00C82386" w14:paraId="317AB6D8" w14:textId="77777777" w:rsidTr="007F2B4D">
        <w:tc>
          <w:tcPr>
            <w:tcW w:w="1953" w:type="dxa"/>
          </w:tcPr>
          <w:p w14:paraId="6EFA6D1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6" w:type="dxa"/>
            <w:gridSpan w:val="4"/>
          </w:tcPr>
          <w:p w14:paraId="1837D88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та біорізноманіття</w:t>
            </w:r>
          </w:p>
        </w:tc>
      </w:tr>
      <w:tr w:rsidR="00C82386" w14:paraId="2E94B5EA" w14:textId="77777777" w:rsidTr="007F2B4D">
        <w:tc>
          <w:tcPr>
            <w:tcW w:w="1953" w:type="dxa"/>
          </w:tcPr>
          <w:p w14:paraId="4BC5435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6" w:type="dxa"/>
            <w:gridSpan w:val="4"/>
          </w:tcPr>
          <w:p w14:paraId="69B5A717" w14:textId="77777777" w:rsidR="00C82386" w:rsidRDefault="004341E7">
            <w:pPr>
              <w:tabs>
                <w:tab w:val="left" w:pos="360"/>
              </w:tabs>
              <w:spacing w:after="0" w:line="240" w:lineRule="auto"/>
              <w:jc w:val="both"/>
              <w:rPr>
                <w:rFonts w:ascii="Times New Roman" w:eastAsia="Times New Roman" w:hAnsi="Times New Roman" w:cs="Times New Roman"/>
                <w:color w:val="000000"/>
                <w:sz w:val="24"/>
                <w:szCs w:val="24"/>
              </w:rPr>
            </w:pPr>
            <w:sdt>
              <w:sdtPr>
                <w:tag w:val="goog_rdk_131"/>
                <w:id w:val="-1658604476"/>
              </w:sdtPr>
              <w:sdtEndPr/>
              <w:sdtContent/>
            </w:sdt>
            <w:r w:rsidR="00E66F64">
              <w:rPr>
                <w:rFonts w:ascii="Times New Roman" w:eastAsia="Times New Roman" w:hAnsi="Times New Roman" w:cs="Times New Roman"/>
                <w:color w:val="000000"/>
                <w:sz w:val="24"/>
                <w:szCs w:val="24"/>
              </w:rPr>
              <w:t>Розроблена програма з розгерметизації простору.</w:t>
            </w:r>
          </w:p>
          <w:p w14:paraId="78D7FD8F" w14:textId="77777777" w:rsidR="00C82386" w:rsidRDefault="00E66F64">
            <w:pPr>
              <w:tabs>
                <w:tab w:val="left" w:pos="360"/>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Розроблені вимоги мінімізації герметизованого простору до нових інфраструктурних проектів громади. </w:t>
            </w:r>
          </w:p>
          <w:bookmarkStart w:id="82" w:name="_heading=h.1opuj5n" w:colFirst="0" w:colLast="0"/>
          <w:bookmarkEnd w:id="82"/>
          <w:p w14:paraId="11275FD9" w14:textId="77777777" w:rsidR="00C82386" w:rsidRDefault="004341E7">
            <w:pPr>
              <w:tabs>
                <w:tab w:val="left" w:pos="360"/>
              </w:tabs>
              <w:spacing w:after="0" w:line="240" w:lineRule="auto"/>
              <w:jc w:val="both"/>
            </w:pPr>
            <w:sdt>
              <w:sdtPr>
                <w:tag w:val="goog_rdk_132"/>
                <w:id w:val="-1894655889"/>
              </w:sdtPr>
              <w:sdtEndPr/>
              <w:sdtContent/>
            </w:sdt>
            <w:r w:rsidR="00E66F64">
              <w:rPr>
                <w:rFonts w:ascii="Times New Roman" w:eastAsia="Times New Roman" w:hAnsi="Times New Roman" w:cs="Times New Roman"/>
                <w:color w:val="000000"/>
                <w:sz w:val="24"/>
                <w:szCs w:val="24"/>
              </w:rPr>
              <w:t>20% зменшена площа асфальтованих та бетонних п</w:t>
            </w:r>
            <w:sdt>
              <w:sdtPr>
                <w:tag w:val="goog_rdk_133"/>
                <w:id w:val="-1012911130"/>
              </w:sdtPr>
              <w:sdtEndPr/>
              <w:sdtContent/>
            </w:sdt>
            <w:r w:rsidR="00E66F64">
              <w:rPr>
                <w:rFonts w:ascii="Times New Roman" w:eastAsia="Times New Roman" w:hAnsi="Times New Roman" w:cs="Times New Roman"/>
                <w:color w:val="000000"/>
                <w:sz w:val="24"/>
                <w:szCs w:val="24"/>
              </w:rPr>
              <w:t>окриттів</w:t>
            </w:r>
          </w:p>
        </w:tc>
      </w:tr>
      <w:tr w:rsidR="00C82386" w14:paraId="1A110D8C" w14:textId="77777777" w:rsidTr="007F2B4D">
        <w:tc>
          <w:tcPr>
            <w:tcW w:w="1953" w:type="dxa"/>
          </w:tcPr>
          <w:p w14:paraId="1A13A0A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6" w:type="dxa"/>
            <w:gridSpan w:val="4"/>
          </w:tcPr>
          <w:p w14:paraId="7E0828C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1B4170A1" w14:textId="77777777" w:rsidR="00C82386" w:rsidRDefault="00C82386">
      <w:pPr>
        <w:jc w:val="both"/>
        <w:rPr>
          <w:rFonts w:ascii="Times New Roman" w:eastAsia="Times New Roman" w:hAnsi="Times New Roman" w:cs="Times New Roman"/>
          <w:b/>
          <w:sz w:val="24"/>
          <w:szCs w:val="24"/>
        </w:rPr>
      </w:pPr>
    </w:p>
    <w:p w14:paraId="388A8FE1"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Стала міська мобільність та зелений простір</w:t>
      </w:r>
    </w:p>
    <w:tbl>
      <w:tblPr>
        <w:tblStyle w:val="afffffff1"/>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0CF597AB" w14:textId="77777777" w:rsidTr="007F2B4D">
        <w:tc>
          <w:tcPr>
            <w:tcW w:w="2095" w:type="dxa"/>
          </w:tcPr>
          <w:p w14:paraId="36BE77D7" w14:textId="77777777" w:rsidR="00C82386" w:rsidRDefault="00E66F64">
            <w:pPr>
              <w:spacing w:after="0"/>
              <w:rPr>
                <w:rFonts w:ascii="Times New Roman" w:eastAsia="Times New Roman" w:hAnsi="Times New Roman" w:cs="Times New Roman"/>
                <w:b/>
                <w:color w:val="000000"/>
                <w:sz w:val="24"/>
                <w:szCs w:val="24"/>
              </w:rPr>
            </w:pPr>
            <w:bookmarkStart w:id="83" w:name="_heading=h.48pi1tg" w:colFirst="0" w:colLast="0"/>
            <w:bookmarkEnd w:id="83"/>
            <w:r>
              <w:rPr>
                <w:rFonts w:ascii="Times New Roman" w:eastAsia="Times New Roman" w:hAnsi="Times New Roman" w:cs="Times New Roman"/>
                <w:b/>
                <w:color w:val="000000"/>
                <w:sz w:val="24"/>
                <w:szCs w:val="24"/>
              </w:rPr>
              <w:t>Назва заходу</w:t>
            </w:r>
          </w:p>
        </w:tc>
        <w:tc>
          <w:tcPr>
            <w:tcW w:w="7407" w:type="dxa"/>
            <w:gridSpan w:val="4"/>
          </w:tcPr>
          <w:p w14:paraId="4408496C" w14:textId="77777777" w:rsidR="00C82386" w:rsidRDefault="00E66F64">
            <w:pPr>
              <w:spacing w:after="0"/>
              <w:jc w:val="both"/>
              <w:rPr>
                <w:rFonts w:ascii="Times New Roman" w:eastAsia="Times New Roman" w:hAnsi="Times New Roman" w:cs="Times New Roman"/>
                <w:b/>
                <w:color w:val="000000"/>
                <w:sz w:val="24"/>
                <w:szCs w:val="24"/>
              </w:rPr>
            </w:pPr>
            <w:bookmarkStart w:id="84" w:name="_heading=h.2nusc19" w:colFirst="0" w:colLast="0"/>
            <w:bookmarkEnd w:id="84"/>
            <w:r>
              <w:rPr>
                <w:rFonts w:ascii="Times New Roman" w:eastAsia="Times New Roman" w:hAnsi="Times New Roman" w:cs="Times New Roman"/>
                <w:b/>
                <w:color w:val="000000"/>
                <w:sz w:val="24"/>
                <w:szCs w:val="24"/>
              </w:rPr>
              <w:t>2.3 Ревіталізація та озеленення територій громади з підвищенням привабливості для пішоходів та велосипедистів</w:t>
            </w:r>
          </w:p>
        </w:tc>
      </w:tr>
      <w:tr w:rsidR="00C82386" w14:paraId="4811E49E" w14:textId="77777777" w:rsidTr="007F2B4D">
        <w:tc>
          <w:tcPr>
            <w:tcW w:w="2095" w:type="dxa"/>
          </w:tcPr>
          <w:p w14:paraId="44C83005"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4EE712CC"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11C8F3EE"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6542A070"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tc>
      </w:tr>
      <w:tr w:rsidR="00C82386" w14:paraId="75FFE4E7" w14:textId="77777777" w:rsidTr="007F2B4D">
        <w:tc>
          <w:tcPr>
            <w:tcW w:w="2095" w:type="dxa"/>
          </w:tcPr>
          <w:p w14:paraId="717C6BDE"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4D43281F"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Розроблення плану велосипедних і пішохідних маршрутів із залученням фахівців зі сталої мобільності, з окремою дорожньою інфраструктурою й інфраструктурою паркування та зберігання засобів пересування (велосипедів, самокатів тощо), що </w:t>
            </w:r>
            <w:r>
              <w:rPr>
                <w:rFonts w:ascii="Times New Roman" w:eastAsia="Times New Roman" w:hAnsi="Times New Roman" w:cs="Times New Roman"/>
                <w:sz w:val="24"/>
                <w:szCs w:val="24"/>
              </w:rPr>
              <w:t>поєднувати</w:t>
            </w:r>
            <w:r>
              <w:rPr>
                <w:rFonts w:ascii="Times New Roman" w:eastAsia="Times New Roman" w:hAnsi="Times New Roman" w:cs="Times New Roman"/>
                <w:color w:val="000000"/>
                <w:sz w:val="24"/>
                <w:szCs w:val="24"/>
              </w:rPr>
              <w:t xml:space="preserve"> усі мікрорайони з центром та між собою. </w:t>
            </w:r>
          </w:p>
          <w:p w14:paraId="24670C7F"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Облаштування велосипедних маршрутів, відповідно до розробленого плану.</w:t>
            </w:r>
          </w:p>
          <w:p w14:paraId="205738CF"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та реалізації поетапного плану озеленення трамвайних колій. </w:t>
            </w:r>
          </w:p>
          <w:p w14:paraId="4D2B1A6A"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Формування публічних зелених просторів в центрі кожного мікрорайону та на території об’єктів, що розташовані в центрі міста (центральна вулиця, Соборний майдан та майдан Перемоги, території навколо центрального ринку (Житній ринок/Хлібний ринок/ринок Рада), промислових територій («Електровимірювач», Хмелефабрика та ін.).</w:t>
            </w:r>
          </w:p>
          <w:p w14:paraId="09A13DB6"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інформаційної кампанії серед населення з популяризації використання велосипедного транспорту.</w:t>
            </w:r>
          </w:p>
          <w:p w14:paraId="09C9237F"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Залучення бізнесу у просуванні велотранспорту (облаштування парковок, душів, корпоративні заохочення використання велотранспорту).</w:t>
            </w:r>
          </w:p>
          <w:p w14:paraId="04637158" w14:textId="77777777" w:rsidR="00C82386" w:rsidRDefault="00E66F64">
            <w:pPr>
              <w:pBdr>
                <w:top w:val="nil"/>
                <w:left w:val="nil"/>
                <w:bottom w:val="nil"/>
                <w:right w:val="nil"/>
                <w:between w:val="nil"/>
              </w:pBdr>
              <w:tabs>
                <w:tab w:val="left" w:pos="218"/>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Включення заходів зі створення маршрутів до звичних ремонтних і опоряджувальних робіт комунальних служб громади. </w:t>
            </w:r>
          </w:p>
        </w:tc>
      </w:tr>
      <w:tr w:rsidR="00C82386" w14:paraId="6138DBCB" w14:textId="77777777" w:rsidTr="007F2B4D">
        <w:tc>
          <w:tcPr>
            <w:tcW w:w="2095" w:type="dxa"/>
          </w:tcPr>
          <w:p w14:paraId="74FD6B00"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38FECD38"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2213BEAE"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c>
          <w:tcPr>
            <w:tcW w:w="1852" w:type="dxa"/>
          </w:tcPr>
          <w:p w14:paraId="6A86CAD0"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501F70D8"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06B49DE0" w14:textId="77777777" w:rsidTr="007F2B4D">
        <w:tc>
          <w:tcPr>
            <w:tcW w:w="2095" w:type="dxa"/>
          </w:tcPr>
          <w:p w14:paraId="5D54E5F8"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Стейкхолдери та залучені сторони</w:t>
            </w:r>
          </w:p>
        </w:tc>
        <w:tc>
          <w:tcPr>
            <w:tcW w:w="7407" w:type="dxa"/>
            <w:gridSpan w:val="4"/>
          </w:tcPr>
          <w:p w14:paraId="1D07322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381C2B48"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2BB54193"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p w14:paraId="63A164C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41A38E2B"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3A91CEBB"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23D187C9" w14:textId="77777777" w:rsidTr="007F2B4D">
        <w:tc>
          <w:tcPr>
            <w:tcW w:w="2095" w:type="dxa"/>
          </w:tcPr>
          <w:p w14:paraId="5A1947DB"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16E6803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міських цільових програм</w:t>
            </w:r>
          </w:p>
        </w:tc>
      </w:tr>
      <w:tr w:rsidR="00C82386" w14:paraId="002C3750" w14:textId="77777777" w:rsidTr="007F2B4D">
        <w:tc>
          <w:tcPr>
            <w:tcW w:w="2095" w:type="dxa"/>
          </w:tcPr>
          <w:p w14:paraId="385300A3"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634C462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4B66E916" w14:textId="77777777" w:rsidTr="007F2B4D">
        <w:tc>
          <w:tcPr>
            <w:tcW w:w="2095" w:type="dxa"/>
          </w:tcPr>
          <w:p w14:paraId="3B52B62E"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6F23CC70"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екстремальні опади: злива, снігопади; посуха, низові пожежі, інфекційні захворювання та алергічні прояви</w:t>
            </w:r>
          </w:p>
        </w:tc>
      </w:tr>
      <w:tr w:rsidR="00C82386" w14:paraId="30E5C94D" w14:textId="77777777" w:rsidTr="007F2B4D">
        <w:tc>
          <w:tcPr>
            <w:tcW w:w="2095" w:type="dxa"/>
          </w:tcPr>
          <w:p w14:paraId="4608C955"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5A20A1A3"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та біорізноманіття</w:t>
            </w:r>
          </w:p>
        </w:tc>
      </w:tr>
      <w:tr w:rsidR="00C82386" w14:paraId="6641B7AE" w14:textId="77777777" w:rsidTr="007F2B4D">
        <w:tc>
          <w:tcPr>
            <w:tcW w:w="2095" w:type="dxa"/>
          </w:tcPr>
          <w:p w14:paraId="7A6855B4"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0FACC63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програми із включенням заходів зі створення маршрутів до звичних ремонтних і опоряджувальних робіт комунальних служб громади.</w:t>
            </w:r>
          </w:p>
          <w:p w14:paraId="723CEE2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план велосипедних і пішохідних маршрутів.</w:t>
            </w:r>
          </w:p>
          <w:p w14:paraId="2688C3D4" w14:textId="77777777" w:rsidR="00C82386" w:rsidRDefault="00E66F64">
            <w:pPr>
              <w:spacing w:after="0"/>
              <w:rPr>
                <w:rFonts w:ascii="Times New Roman" w:eastAsia="Times New Roman" w:hAnsi="Times New Roman" w:cs="Times New Roman"/>
                <w:color w:val="000000"/>
                <w:sz w:val="24"/>
                <w:szCs w:val="24"/>
              </w:rPr>
            </w:pPr>
            <w:bookmarkStart w:id="85" w:name="_heading=h.1302m92" w:colFirst="0" w:colLast="0"/>
            <w:bookmarkEnd w:id="85"/>
            <w:r>
              <w:rPr>
                <w:rFonts w:ascii="Times New Roman" w:eastAsia="Times New Roman" w:hAnsi="Times New Roman" w:cs="Times New Roman"/>
                <w:color w:val="000000"/>
                <w:sz w:val="24"/>
                <w:szCs w:val="24"/>
              </w:rPr>
              <w:t xml:space="preserve">Створено </w:t>
            </w:r>
            <w:r w:rsidR="00154D47">
              <w:rPr>
                <w:rFonts w:ascii="Times New Roman" w:eastAsia="Times New Roman" w:hAnsi="Times New Roman" w:cs="Times New Roman"/>
                <w:color w:val="000000"/>
                <w:sz w:val="24"/>
                <w:szCs w:val="24"/>
              </w:rPr>
              <w:t>35</w:t>
            </w:r>
            <w:r>
              <w:rPr>
                <w:rFonts w:ascii="Times New Roman" w:eastAsia="Times New Roman" w:hAnsi="Times New Roman" w:cs="Times New Roman"/>
                <w:color w:val="000000"/>
                <w:sz w:val="24"/>
                <w:szCs w:val="24"/>
              </w:rPr>
              <w:t xml:space="preserve"> км велосипедної мережі</w:t>
            </w:r>
          </w:p>
          <w:p w14:paraId="67CD737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Облаштовано 15 міських веломаршрутів. </w:t>
            </w:r>
          </w:p>
          <w:p w14:paraId="4FD3285E"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Створено 1500 велосипедних парковок.</w:t>
            </w:r>
          </w:p>
          <w:p w14:paraId="72C08852"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Створено 28 питних фонтанчиків.</w:t>
            </w:r>
          </w:p>
          <w:p w14:paraId="5F3A9A63"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Створено 46 велосипедних паркінгів.</w:t>
            </w:r>
          </w:p>
        </w:tc>
      </w:tr>
      <w:tr w:rsidR="00C82386" w14:paraId="63B3CFD5" w14:textId="77777777" w:rsidTr="007F2B4D">
        <w:tc>
          <w:tcPr>
            <w:tcW w:w="2095" w:type="dxa"/>
          </w:tcPr>
          <w:p w14:paraId="023087C0" w14:textId="77777777" w:rsidR="00C82386" w:rsidRDefault="00E66F64">
            <w:pPr>
              <w:spacing w:after="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1AD475B1"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043908A2" w14:textId="77777777" w:rsidR="00C82386" w:rsidRDefault="00C82386">
      <w:pPr>
        <w:jc w:val="both"/>
        <w:rPr>
          <w:rFonts w:ascii="Times New Roman" w:eastAsia="Times New Roman" w:hAnsi="Times New Roman" w:cs="Times New Roman"/>
          <w:sz w:val="24"/>
          <w:szCs w:val="24"/>
        </w:rPr>
      </w:pPr>
    </w:p>
    <w:tbl>
      <w:tblPr>
        <w:tblStyle w:val="afffffff2"/>
        <w:tblW w:w="935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1220"/>
        <w:gridCol w:w="1552"/>
        <w:gridCol w:w="1542"/>
        <w:gridCol w:w="1546"/>
        <w:gridCol w:w="1542"/>
      </w:tblGrid>
      <w:tr w:rsidR="00C82386" w14:paraId="75A67119" w14:textId="77777777">
        <w:tc>
          <w:tcPr>
            <w:tcW w:w="1951" w:type="dxa"/>
          </w:tcPr>
          <w:p w14:paraId="1B0CD1B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2" w:type="dxa"/>
            <w:gridSpan w:val="5"/>
          </w:tcPr>
          <w:p w14:paraId="55D55EE6" w14:textId="77777777" w:rsidR="00C82386" w:rsidRDefault="00E66F64" w:rsidP="00942683">
            <w:pPr>
              <w:spacing w:after="0" w:line="240" w:lineRule="auto"/>
              <w:jc w:val="both"/>
              <w:rPr>
                <w:rFonts w:ascii="Times New Roman" w:eastAsia="Times New Roman" w:hAnsi="Times New Roman" w:cs="Times New Roman"/>
                <w:b/>
                <w:color w:val="000000"/>
                <w:sz w:val="24"/>
                <w:szCs w:val="24"/>
              </w:rPr>
            </w:pPr>
            <w:bookmarkStart w:id="86" w:name="_heading=h.3mzq4wv" w:colFirst="0" w:colLast="0"/>
            <w:bookmarkEnd w:id="86"/>
            <w:r>
              <w:rPr>
                <w:rFonts w:ascii="Times New Roman" w:eastAsia="Times New Roman" w:hAnsi="Times New Roman" w:cs="Times New Roman"/>
                <w:b/>
                <w:color w:val="000000"/>
                <w:sz w:val="24"/>
                <w:szCs w:val="24"/>
              </w:rPr>
              <w:t xml:space="preserve">2.4 </w:t>
            </w:r>
            <w:sdt>
              <w:sdtPr>
                <w:tag w:val="goog_rdk_134"/>
                <w:id w:val="3415290"/>
                <w:showingPlcHdr/>
              </w:sdtPr>
              <w:sdtEndPr/>
              <w:sdtContent>
                <w:r w:rsidR="00942683">
                  <w:t xml:space="preserve">     </w:t>
                </w:r>
              </w:sdtContent>
            </w:sdt>
            <w:r w:rsidR="00942683">
              <w:rPr>
                <w:rFonts w:ascii="Times New Roman" w:eastAsia="Times New Roman" w:hAnsi="Times New Roman" w:cs="Times New Roman"/>
                <w:b/>
                <w:color w:val="000000"/>
                <w:sz w:val="24"/>
                <w:szCs w:val="24"/>
              </w:rPr>
              <w:t>Розвиток та модернізація г</w:t>
            </w:r>
            <w:r>
              <w:rPr>
                <w:rFonts w:ascii="Times New Roman" w:eastAsia="Times New Roman" w:hAnsi="Times New Roman" w:cs="Times New Roman"/>
                <w:b/>
                <w:color w:val="000000"/>
                <w:sz w:val="24"/>
                <w:szCs w:val="24"/>
              </w:rPr>
              <w:t>ромадськ</w:t>
            </w:r>
            <w:r w:rsidR="00942683">
              <w:rPr>
                <w:rFonts w:ascii="Times New Roman" w:eastAsia="Times New Roman" w:hAnsi="Times New Roman" w:cs="Times New Roman"/>
                <w:b/>
                <w:color w:val="000000"/>
                <w:sz w:val="24"/>
                <w:szCs w:val="24"/>
              </w:rPr>
              <w:t>ого</w:t>
            </w:r>
            <w:r>
              <w:rPr>
                <w:rFonts w:ascii="Times New Roman" w:eastAsia="Times New Roman" w:hAnsi="Times New Roman" w:cs="Times New Roman"/>
                <w:b/>
                <w:color w:val="000000"/>
                <w:sz w:val="24"/>
                <w:szCs w:val="24"/>
              </w:rPr>
              <w:t xml:space="preserve"> транспорт</w:t>
            </w:r>
            <w:r w:rsidR="00942683">
              <w:rPr>
                <w:rFonts w:ascii="Times New Roman" w:eastAsia="Times New Roman" w:hAnsi="Times New Roman" w:cs="Times New Roman"/>
                <w:b/>
                <w:color w:val="000000"/>
                <w:sz w:val="24"/>
                <w:szCs w:val="24"/>
              </w:rPr>
              <w:t>у</w:t>
            </w:r>
            <w:r>
              <w:rPr>
                <w:rFonts w:ascii="Times New Roman" w:eastAsia="Times New Roman" w:hAnsi="Times New Roman" w:cs="Times New Roman"/>
                <w:b/>
                <w:color w:val="000000"/>
                <w:sz w:val="24"/>
                <w:szCs w:val="24"/>
              </w:rPr>
              <w:t xml:space="preserve"> </w:t>
            </w:r>
          </w:p>
        </w:tc>
      </w:tr>
      <w:tr w:rsidR="00C82386" w14:paraId="18DD1584" w14:textId="77777777">
        <w:tc>
          <w:tcPr>
            <w:tcW w:w="1951" w:type="dxa"/>
          </w:tcPr>
          <w:p w14:paraId="0D4DBA3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2" w:type="dxa"/>
            <w:gridSpan w:val="5"/>
          </w:tcPr>
          <w:p w14:paraId="79EE1D8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p w14:paraId="3EEEE74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“Житомирське трамвайно-тролейбусне управління” Житомирської міської ради</w:t>
            </w:r>
          </w:p>
          <w:p w14:paraId="6E2B941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“Житомиртранспорт” Житомирської міської ради</w:t>
            </w:r>
          </w:p>
        </w:tc>
      </w:tr>
      <w:tr w:rsidR="00C82386" w14:paraId="356C1F53" w14:textId="77777777">
        <w:tc>
          <w:tcPr>
            <w:tcW w:w="1951" w:type="dxa"/>
          </w:tcPr>
          <w:p w14:paraId="748F36C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2" w:type="dxa"/>
            <w:gridSpan w:val="5"/>
          </w:tcPr>
          <w:p w14:paraId="35364C1C"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Технічні завдання пов’язані з розвитком транспортної інфраструктури  обов’язково включають вимогу враховувати заходи з адаптації до зміни клімату. </w:t>
            </w:r>
          </w:p>
          <w:p w14:paraId="7F12AEE7"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рекомендацій щодо адаптованого до зміни клімату облаштування зупинок громадського транспорту.</w:t>
            </w:r>
          </w:p>
          <w:p w14:paraId="0ACCC0DE"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bookmarkStart w:id="87" w:name="_heading=h.2250f4o" w:colFirst="0" w:colLast="0"/>
            <w:bookmarkEnd w:id="87"/>
            <w:r>
              <w:rPr>
                <w:rFonts w:ascii="Times New Roman" w:eastAsia="Times New Roman" w:hAnsi="Times New Roman" w:cs="Times New Roman"/>
                <w:color w:val="000000"/>
                <w:sz w:val="24"/>
                <w:szCs w:val="24"/>
              </w:rPr>
              <w:t>Ремонт і модернізація зупинок громадського транспорту із затіненням та з накриттям від дощу та місцями для сидіння, урнами, освітленням.</w:t>
            </w:r>
          </w:p>
          <w:p w14:paraId="6C0FBC51"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маршрутів переміщення громадським транспортом у разі затоплення вулиць чи утворенні інших перешкод (повалені дерева, руйнування).</w:t>
            </w:r>
          </w:p>
          <w:p w14:paraId="32B86E0E"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Включення пріоритетності електро- та гібридного транспорту за модернізації громадського транспорту.</w:t>
            </w:r>
          </w:p>
          <w:p w14:paraId="6862E806"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Поетапне встановлення систем кондиціонування повітря у громадському транспорті та контроль за її використанням під час спеки.</w:t>
            </w:r>
          </w:p>
        </w:tc>
      </w:tr>
      <w:tr w:rsidR="00C82386" w14:paraId="11D173E7" w14:textId="77777777">
        <w:tc>
          <w:tcPr>
            <w:tcW w:w="1951" w:type="dxa"/>
          </w:tcPr>
          <w:p w14:paraId="0FFA714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220" w:type="dxa"/>
          </w:tcPr>
          <w:p w14:paraId="15D82DC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552" w:type="dxa"/>
          </w:tcPr>
          <w:p w14:paraId="2161BAC3" w14:textId="77777777" w:rsidR="00C82386" w:rsidRDefault="00C82386">
            <w:pPr>
              <w:spacing w:after="0" w:line="240" w:lineRule="auto"/>
              <w:rPr>
                <w:rFonts w:ascii="Times New Roman" w:eastAsia="Times New Roman" w:hAnsi="Times New Roman" w:cs="Times New Roman"/>
                <w:color w:val="000000"/>
                <w:sz w:val="24"/>
                <w:szCs w:val="24"/>
              </w:rPr>
            </w:pPr>
          </w:p>
        </w:tc>
        <w:tc>
          <w:tcPr>
            <w:tcW w:w="1542" w:type="dxa"/>
          </w:tcPr>
          <w:p w14:paraId="3D4681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c>
          <w:tcPr>
            <w:tcW w:w="1546" w:type="dxa"/>
          </w:tcPr>
          <w:p w14:paraId="54E4558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542" w:type="dxa"/>
          </w:tcPr>
          <w:p w14:paraId="56B250C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5ED594BE" w14:textId="77777777">
        <w:tc>
          <w:tcPr>
            <w:tcW w:w="1951" w:type="dxa"/>
          </w:tcPr>
          <w:p w14:paraId="2B5832B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Стейкхолдери та залучені сторони</w:t>
            </w:r>
          </w:p>
        </w:tc>
        <w:tc>
          <w:tcPr>
            <w:tcW w:w="7402" w:type="dxa"/>
            <w:gridSpan w:val="5"/>
          </w:tcPr>
          <w:p w14:paraId="719D9EF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46E874C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C82386" w14:paraId="652BF052" w14:textId="77777777">
        <w:tc>
          <w:tcPr>
            <w:tcW w:w="1951" w:type="dxa"/>
          </w:tcPr>
          <w:p w14:paraId="42B826A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2" w:type="dxa"/>
            <w:gridSpan w:val="5"/>
          </w:tcPr>
          <w:p w14:paraId="2DB072AC"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 Житомирської громади</w:t>
            </w:r>
          </w:p>
        </w:tc>
      </w:tr>
      <w:tr w:rsidR="00C82386" w14:paraId="261290DD" w14:textId="77777777">
        <w:tc>
          <w:tcPr>
            <w:tcW w:w="1951" w:type="dxa"/>
          </w:tcPr>
          <w:p w14:paraId="61AF70B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2" w:type="dxa"/>
            <w:gridSpan w:val="5"/>
          </w:tcPr>
          <w:p w14:paraId="228366F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018204C2" w14:textId="77777777">
        <w:tc>
          <w:tcPr>
            <w:tcW w:w="1951" w:type="dxa"/>
          </w:tcPr>
          <w:p w14:paraId="314C346B"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Кліматичні загрози</w:t>
            </w:r>
          </w:p>
        </w:tc>
        <w:tc>
          <w:tcPr>
            <w:tcW w:w="7402" w:type="dxa"/>
            <w:gridSpan w:val="5"/>
          </w:tcPr>
          <w:p w14:paraId="5383C74F"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екстремальна спека, екстремальний холод, екстремальні опади: злива, снігопади, град; підвищення рівня води</w:t>
            </w:r>
          </w:p>
        </w:tc>
      </w:tr>
      <w:tr w:rsidR="00C82386" w14:paraId="4AA389C6" w14:textId="77777777">
        <w:tc>
          <w:tcPr>
            <w:tcW w:w="1951" w:type="dxa"/>
          </w:tcPr>
          <w:p w14:paraId="73FD3EE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2" w:type="dxa"/>
            <w:gridSpan w:val="5"/>
          </w:tcPr>
          <w:p w14:paraId="5562CEC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транспорт </w:t>
            </w:r>
          </w:p>
        </w:tc>
      </w:tr>
      <w:tr w:rsidR="00C82386" w14:paraId="60622CB9" w14:textId="77777777">
        <w:tc>
          <w:tcPr>
            <w:tcW w:w="1951" w:type="dxa"/>
          </w:tcPr>
          <w:p w14:paraId="7EE956D4"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Індикатор досягнутого результату</w:t>
            </w:r>
          </w:p>
        </w:tc>
        <w:tc>
          <w:tcPr>
            <w:tcW w:w="7402" w:type="dxa"/>
            <w:gridSpan w:val="5"/>
          </w:tcPr>
          <w:p w14:paraId="58B5046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Розроблені рекомендації щодо облаштування зупинок громадського транспорту.</w:t>
            </w:r>
          </w:p>
          <w:p w14:paraId="33774B06"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88" w:name="_heading=h.haapch" w:colFirst="0" w:colLast="0"/>
            <w:bookmarkEnd w:id="88"/>
            <w:r>
              <w:rPr>
                <w:rFonts w:ascii="Times New Roman" w:eastAsia="Times New Roman" w:hAnsi="Times New Roman" w:cs="Times New Roman"/>
                <w:color w:val="000000"/>
                <w:sz w:val="24"/>
                <w:szCs w:val="24"/>
              </w:rPr>
              <w:t xml:space="preserve">Облаштовано 30% зупинок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рахуванням рекомендацій.</w:t>
            </w:r>
          </w:p>
          <w:p w14:paraId="0285E9F8" w14:textId="77777777" w:rsidR="00C82386" w:rsidRDefault="00E66F64">
            <w:pPr>
              <w:spacing w:after="0" w:line="240" w:lineRule="auto"/>
              <w:jc w:val="both"/>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 xml:space="preserve">Розроблено основні маршрути переміщення громадським транспортом у разі затоплення вулиць чи утворенні інших перешкод (повалені дерева, руйнування). Їх наявність доведена до населення. </w:t>
            </w:r>
          </w:p>
          <w:p w14:paraId="666D78D4"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Розроблена поетапна програма оснащення (оновлення) громадського транспорту з системами </w:t>
            </w:r>
            <w:r>
              <w:rPr>
                <w:rFonts w:ascii="Times New Roman" w:eastAsia="Times New Roman" w:hAnsi="Times New Roman" w:cs="Times New Roman"/>
                <w:sz w:val="24"/>
                <w:szCs w:val="24"/>
              </w:rPr>
              <w:t>кондиціонування</w:t>
            </w:r>
            <w:r>
              <w:rPr>
                <w:rFonts w:ascii="Times New Roman" w:eastAsia="Times New Roman" w:hAnsi="Times New Roman" w:cs="Times New Roman"/>
                <w:color w:val="000000"/>
                <w:sz w:val="24"/>
                <w:szCs w:val="24"/>
              </w:rPr>
              <w:t>.</w:t>
            </w:r>
          </w:p>
          <w:p w14:paraId="10C13D87"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89" w:name="_heading=h.319y80a" w:colFirst="0" w:colLast="0"/>
            <w:bookmarkEnd w:id="89"/>
            <w:r>
              <w:rPr>
                <w:rFonts w:ascii="Times New Roman" w:eastAsia="Times New Roman" w:hAnsi="Times New Roman" w:cs="Times New Roman"/>
                <w:color w:val="000000"/>
                <w:sz w:val="24"/>
                <w:szCs w:val="24"/>
              </w:rPr>
              <w:t xml:space="preserve">100% одиниць комунального громадського транспорту облаштованих системами </w:t>
            </w:r>
            <w:r>
              <w:rPr>
                <w:rFonts w:ascii="Times New Roman" w:eastAsia="Times New Roman" w:hAnsi="Times New Roman" w:cs="Times New Roman"/>
                <w:sz w:val="24"/>
                <w:szCs w:val="24"/>
              </w:rPr>
              <w:t>кондиціонування</w:t>
            </w:r>
            <w:r>
              <w:rPr>
                <w:rFonts w:ascii="Times New Roman" w:eastAsia="Times New Roman" w:hAnsi="Times New Roman" w:cs="Times New Roman"/>
                <w:color w:val="000000"/>
                <w:sz w:val="24"/>
                <w:szCs w:val="24"/>
              </w:rPr>
              <w:t xml:space="preserve">. </w:t>
            </w:r>
          </w:p>
        </w:tc>
      </w:tr>
      <w:tr w:rsidR="00C82386" w14:paraId="1E734295" w14:textId="77777777">
        <w:tc>
          <w:tcPr>
            <w:tcW w:w="1951" w:type="dxa"/>
          </w:tcPr>
          <w:p w14:paraId="315A966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2" w:type="dxa"/>
            <w:gridSpan w:val="5"/>
          </w:tcPr>
          <w:p w14:paraId="7B48445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маломобільні групи населення</w:t>
            </w:r>
          </w:p>
        </w:tc>
      </w:tr>
    </w:tbl>
    <w:p w14:paraId="46CE1AC8" w14:textId="77777777" w:rsidR="00C82386" w:rsidRDefault="00C82386">
      <w:pPr>
        <w:jc w:val="both"/>
        <w:rPr>
          <w:rFonts w:ascii="Times New Roman" w:eastAsia="Times New Roman" w:hAnsi="Times New Roman" w:cs="Times New Roman"/>
          <w:sz w:val="24"/>
          <w:szCs w:val="24"/>
        </w:rPr>
      </w:pPr>
    </w:p>
    <w:tbl>
      <w:tblPr>
        <w:tblStyle w:val="afffffff3"/>
        <w:tblW w:w="935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1418"/>
        <w:gridCol w:w="1354"/>
        <w:gridCol w:w="1542"/>
        <w:gridCol w:w="1546"/>
        <w:gridCol w:w="1542"/>
      </w:tblGrid>
      <w:tr w:rsidR="00C82386" w14:paraId="145E9FD6" w14:textId="77777777">
        <w:tc>
          <w:tcPr>
            <w:tcW w:w="1951" w:type="dxa"/>
          </w:tcPr>
          <w:p w14:paraId="6BE63D8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2" w:type="dxa"/>
            <w:gridSpan w:val="5"/>
          </w:tcPr>
          <w:p w14:paraId="7AD339D5"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2.5 Розробка плану електрифікації міського транспорту</w:t>
            </w:r>
          </w:p>
        </w:tc>
      </w:tr>
      <w:tr w:rsidR="00C82386" w14:paraId="6A5541DA" w14:textId="77777777">
        <w:tc>
          <w:tcPr>
            <w:tcW w:w="1951" w:type="dxa"/>
          </w:tcPr>
          <w:p w14:paraId="0D26872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2" w:type="dxa"/>
            <w:gridSpan w:val="5"/>
          </w:tcPr>
          <w:p w14:paraId="1A1C5FD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w:t>
            </w:r>
          </w:p>
          <w:p w14:paraId="4D950E5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“Житомирське трамвайно-тролейбусне управління” Житомирської міської ради</w:t>
            </w:r>
          </w:p>
        </w:tc>
      </w:tr>
      <w:tr w:rsidR="00C82386" w14:paraId="6D39538D" w14:textId="77777777">
        <w:tc>
          <w:tcPr>
            <w:tcW w:w="1951" w:type="dxa"/>
          </w:tcPr>
          <w:p w14:paraId="63CC454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2" w:type="dxa"/>
            <w:gridSpan w:val="5"/>
          </w:tcPr>
          <w:p w14:paraId="2E898829"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програми поступової заміни громадського транспорту на електро- або гібридні моделі. Пріоритет для маршрутів через густонаселені райони. Це дозволить знизити викиди CO₂ та забезпечити комфорт для пасажирів.</w:t>
            </w:r>
          </w:p>
        </w:tc>
      </w:tr>
      <w:tr w:rsidR="00C82386" w14:paraId="0333E46A" w14:textId="77777777">
        <w:tc>
          <w:tcPr>
            <w:tcW w:w="1951" w:type="dxa"/>
          </w:tcPr>
          <w:p w14:paraId="4B472D1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418" w:type="dxa"/>
          </w:tcPr>
          <w:p w14:paraId="04991EA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354" w:type="dxa"/>
          </w:tcPr>
          <w:p w14:paraId="0138A91C" w14:textId="77777777" w:rsidR="00C82386" w:rsidRDefault="00C82386">
            <w:pPr>
              <w:spacing w:after="0" w:line="240" w:lineRule="auto"/>
              <w:rPr>
                <w:rFonts w:ascii="Times New Roman" w:eastAsia="Times New Roman" w:hAnsi="Times New Roman" w:cs="Times New Roman"/>
                <w:color w:val="000000"/>
                <w:sz w:val="24"/>
                <w:szCs w:val="24"/>
              </w:rPr>
            </w:pPr>
          </w:p>
        </w:tc>
        <w:tc>
          <w:tcPr>
            <w:tcW w:w="1542" w:type="dxa"/>
          </w:tcPr>
          <w:p w14:paraId="75BC477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546" w:type="dxa"/>
          </w:tcPr>
          <w:p w14:paraId="530FD96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542" w:type="dxa"/>
          </w:tcPr>
          <w:p w14:paraId="2214635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2040</w:t>
            </w:r>
          </w:p>
        </w:tc>
      </w:tr>
      <w:tr w:rsidR="00C82386" w14:paraId="1E1D116D" w14:textId="77777777">
        <w:tc>
          <w:tcPr>
            <w:tcW w:w="1951" w:type="dxa"/>
          </w:tcPr>
          <w:p w14:paraId="78CE67E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2" w:type="dxa"/>
            <w:gridSpan w:val="5"/>
          </w:tcPr>
          <w:p w14:paraId="21743DD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037551E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46D2C00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“Житомиртранспорт” Житомирської міської ради</w:t>
            </w:r>
          </w:p>
        </w:tc>
      </w:tr>
      <w:tr w:rsidR="00C82386" w14:paraId="34E5386A" w14:textId="77777777">
        <w:tc>
          <w:tcPr>
            <w:tcW w:w="1951" w:type="dxa"/>
          </w:tcPr>
          <w:p w14:paraId="5C32505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2" w:type="dxa"/>
            <w:gridSpan w:val="5"/>
          </w:tcPr>
          <w:p w14:paraId="11423B2F"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 Житомирської громади</w:t>
            </w:r>
          </w:p>
        </w:tc>
      </w:tr>
      <w:tr w:rsidR="00C82386" w14:paraId="6FADB4C1" w14:textId="77777777">
        <w:tc>
          <w:tcPr>
            <w:tcW w:w="1951" w:type="dxa"/>
          </w:tcPr>
          <w:p w14:paraId="58B2192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2" w:type="dxa"/>
            <w:gridSpan w:val="5"/>
          </w:tcPr>
          <w:p w14:paraId="437B63B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4838E17C" w14:textId="77777777">
        <w:tc>
          <w:tcPr>
            <w:tcW w:w="1951" w:type="dxa"/>
          </w:tcPr>
          <w:p w14:paraId="75FC3650"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Кліматичні загрози</w:t>
            </w:r>
          </w:p>
        </w:tc>
        <w:tc>
          <w:tcPr>
            <w:tcW w:w="7402" w:type="dxa"/>
            <w:gridSpan w:val="5"/>
          </w:tcPr>
          <w:p w14:paraId="67BC91F9"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екстремальна спека, екстремальний холод</w:t>
            </w:r>
          </w:p>
        </w:tc>
      </w:tr>
      <w:tr w:rsidR="00C82386" w14:paraId="6BAB6BA9" w14:textId="77777777">
        <w:tc>
          <w:tcPr>
            <w:tcW w:w="1951" w:type="dxa"/>
          </w:tcPr>
          <w:p w14:paraId="492F3EB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2" w:type="dxa"/>
            <w:gridSpan w:val="5"/>
          </w:tcPr>
          <w:p w14:paraId="3484F4A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транспорт </w:t>
            </w:r>
          </w:p>
        </w:tc>
      </w:tr>
      <w:tr w:rsidR="00C82386" w14:paraId="71A49212" w14:textId="77777777">
        <w:tc>
          <w:tcPr>
            <w:tcW w:w="1951" w:type="dxa"/>
          </w:tcPr>
          <w:p w14:paraId="2A4E11EE"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Індикатор досягнутого результату</w:t>
            </w:r>
          </w:p>
        </w:tc>
        <w:tc>
          <w:tcPr>
            <w:tcW w:w="7402" w:type="dxa"/>
            <w:gridSpan w:val="5"/>
          </w:tcPr>
          <w:p w14:paraId="1012A1B8"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частки електротранспорту до 100% від усього міського транспорту до 2040 року.</w:t>
            </w:r>
          </w:p>
          <w:p w14:paraId="35D2C38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Зниження викидів CO₂ від транспорту на 60%</w:t>
            </w:r>
          </w:p>
        </w:tc>
      </w:tr>
      <w:tr w:rsidR="00C82386" w14:paraId="351E48C0" w14:textId="77777777">
        <w:tc>
          <w:tcPr>
            <w:tcW w:w="1951" w:type="dxa"/>
          </w:tcPr>
          <w:p w14:paraId="5184AFE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2" w:type="dxa"/>
            <w:gridSpan w:val="5"/>
          </w:tcPr>
          <w:p w14:paraId="6A5E0CC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65D9C8A3" w14:textId="77777777" w:rsidR="00C82386" w:rsidRDefault="00C82386">
      <w:pPr>
        <w:jc w:val="both"/>
        <w:rPr>
          <w:rFonts w:ascii="Times New Roman" w:eastAsia="Times New Roman" w:hAnsi="Times New Roman" w:cs="Times New Roman"/>
          <w:sz w:val="24"/>
          <w:szCs w:val="24"/>
        </w:rPr>
      </w:pPr>
    </w:p>
    <w:p w14:paraId="6EF2FBB7" w14:textId="77777777" w:rsidR="00C82386" w:rsidRDefault="00E66F64">
      <w:pPr>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 xml:space="preserve">Розвиток сучасної системи </w:t>
      </w:r>
      <w:r w:rsidR="00C94B12">
        <w:rPr>
          <w:rFonts w:ascii="Times New Roman" w:eastAsia="Times New Roman" w:hAnsi="Times New Roman" w:cs="Times New Roman"/>
          <w:b/>
          <w:sz w:val="24"/>
          <w:szCs w:val="24"/>
          <w:u w:val="single"/>
        </w:rPr>
        <w:t>управління</w:t>
      </w:r>
      <w:r>
        <w:rPr>
          <w:rFonts w:ascii="Times New Roman" w:eastAsia="Times New Roman" w:hAnsi="Times New Roman" w:cs="Times New Roman"/>
          <w:b/>
          <w:sz w:val="24"/>
          <w:szCs w:val="24"/>
          <w:u w:val="single"/>
        </w:rPr>
        <w:t xml:space="preserve"> відходами</w:t>
      </w:r>
    </w:p>
    <w:tbl>
      <w:tblPr>
        <w:tblStyle w:val="afffffff4"/>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7A0F923F" w14:textId="77777777" w:rsidTr="00D72CDF">
        <w:tc>
          <w:tcPr>
            <w:tcW w:w="1953" w:type="dxa"/>
          </w:tcPr>
          <w:p w14:paraId="7AAF87E6" w14:textId="77777777" w:rsidR="00C82386" w:rsidRDefault="00E66F64">
            <w:pPr>
              <w:spacing w:after="0" w:line="240" w:lineRule="auto"/>
              <w:rPr>
                <w:rFonts w:ascii="Times New Roman" w:eastAsia="Times New Roman" w:hAnsi="Times New Roman" w:cs="Times New Roman"/>
                <w:b/>
                <w:color w:val="000000"/>
                <w:sz w:val="24"/>
                <w:szCs w:val="24"/>
                <w:highlight w:val="green"/>
              </w:rPr>
            </w:pPr>
            <w:bookmarkStart w:id="90" w:name="_heading=h.1gf8i83" w:colFirst="0" w:colLast="0"/>
            <w:bookmarkEnd w:id="90"/>
            <w:r>
              <w:rPr>
                <w:rFonts w:ascii="Times New Roman" w:eastAsia="Times New Roman" w:hAnsi="Times New Roman" w:cs="Times New Roman"/>
                <w:b/>
                <w:color w:val="000000"/>
                <w:sz w:val="24"/>
                <w:szCs w:val="24"/>
              </w:rPr>
              <w:t>Назва заходу</w:t>
            </w:r>
          </w:p>
        </w:tc>
        <w:tc>
          <w:tcPr>
            <w:tcW w:w="7407" w:type="dxa"/>
            <w:gridSpan w:val="4"/>
          </w:tcPr>
          <w:p w14:paraId="3AFD7C77" w14:textId="77777777" w:rsidR="00C82386" w:rsidRPr="00B83CFC" w:rsidRDefault="004341E7">
            <w:pPr>
              <w:spacing w:after="0" w:line="240" w:lineRule="auto"/>
              <w:jc w:val="both"/>
              <w:rPr>
                <w:rFonts w:ascii="Times New Roman" w:eastAsia="Times New Roman" w:hAnsi="Times New Roman" w:cs="Times New Roman"/>
                <w:color w:val="000000"/>
                <w:sz w:val="24"/>
                <w:szCs w:val="24"/>
              </w:rPr>
            </w:pPr>
            <w:sdt>
              <w:sdtPr>
                <w:tag w:val="goog_rdk_135"/>
                <w:id w:val="-1127235429"/>
              </w:sdtPr>
              <w:sdtEndPr/>
              <w:sdtContent/>
            </w:sdt>
            <w:r w:rsidR="00E66F64" w:rsidRPr="00B83CFC">
              <w:rPr>
                <w:rFonts w:ascii="Times New Roman" w:eastAsia="Times New Roman" w:hAnsi="Times New Roman" w:cs="Times New Roman"/>
                <w:color w:val="000000"/>
                <w:sz w:val="24"/>
                <w:szCs w:val="24"/>
              </w:rPr>
              <w:t>2.5 Розвиток сучасної системи управління  відходами</w:t>
            </w:r>
          </w:p>
          <w:p w14:paraId="299CA917" w14:textId="77777777" w:rsidR="00C82386" w:rsidRDefault="00E66F64">
            <w:pPr>
              <w:spacing w:after="0" w:line="240" w:lineRule="auto"/>
              <w:jc w:val="both"/>
              <w:rPr>
                <w:rFonts w:ascii="Times New Roman" w:eastAsia="Times New Roman" w:hAnsi="Times New Roman" w:cs="Times New Roman"/>
                <w:color w:val="000000"/>
                <w:sz w:val="24"/>
                <w:szCs w:val="24"/>
                <w:highlight w:val="green"/>
              </w:rPr>
            </w:pPr>
            <w:r>
              <w:rPr>
                <w:rFonts w:ascii="Times New Roman" w:eastAsia="Times New Roman" w:hAnsi="Times New Roman" w:cs="Times New Roman"/>
                <w:sz w:val="24"/>
                <w:szCs w:val="24"/>
              </w:rPr>
              <w:t xml:space="preserve">Розвиток системи </w:t>
            </w:r>
            <w:r>
              <w:rPr>
                <w:rFonts w:ascii="Times New Roman" w:eastAsia="Times New Roman" w:hAnsi="Times New Roman" w:cs="Times New Roman"/>
                <w:color w:val="000000"/>
                <w:sz w:val="24"/>
                <w:szCs w:val="24"/>
              </w:rPr>
              <w:t>управління</w:t>
            </w:r>
            <w:r>
              <w:rPr>
                <w:rFonts w:ascii="Times New Roman" w:eastAsia="Times New Roman" w:hAnsi="Times New Roman" w:cs="Times New Roman"/>
                <w:sz w:val="24"/>
                <w:szCs w:val="24"/>
              </w:rPr>
              <w:t xml:space="preserve"> з відходами належної якості, що відповідає вимогам державних стандартів, гармонізованих зі стандартами Євросоюзу, відзначена у стратегічні цілі «Формування та підтримка екологічно безпечного середовища», встановленій у Концепції інтегрованого розвитку Житомира - 2030</w:t>
            </w:r>
            <w:r>
              <w:rPr>
                <w:rFonts w:ascii="Times New Roman" w:eastAsia="Times New Roman" w:hAnsi="Times New Roman" w:cs="Times New Roman"/>
                <w:sz w:val="24"/>
                <w:szCs w:val="24"/>
                <w:vertAlign w:val="superscript"/>
              </w:rPr>
              <w:footnoteReference w:id="31"/>
            </w:r>
            <w:r>
              <w:rPr>
                <w:rFonts w:ascii="Times New Roman" w:eastAsia="Times New Roman" w:hAnsi="Times New Roman" w:cs="Times New Roman"/>
                <w:sz w:val="24"/>
                <w:szCs w:val="24"/>
              </w:rPr>
              <w:t>.</w:t>
            </w:r>
          </w:p>
        </w:tc>
      </w:tr>
      <w:tr w:rsidR="00C82386" w14:paraId="3474CDB5" w14:textId="77777777" w:rsidTr="00D72CDF">
        <w:tc>
          <w:tcPr>
            <w:tcW w:w="1953" w:type="dxa"/>
          </w:tcPr>
          <w:p w14:paraId="426A723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08ADC25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житлового господарства Житомирської міської ради</w:t>
            </w:r>
          </w:p>
          <w:p w14:paraId="0D063DB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437A0D04" w14:textId="77777777" w:rsidR="00C82386" w:rsidRDefault="00D72CDF">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w:t>
            </w:r>
            <w:r w:rsidR="00E66F64">
              <w:rPr>
                <w:rFonts w:ascii="Times New Roman" w:eastAsia="Times New Roman" w:hAnsi="Times New Roman" w:cs="Times New Roman"/>
                <w:color w:val="000000"/>
                <w:sz w:val="24"/>
                <w:szCs w:val="24"/>
              </w:rPr>
              <w:t>Автотранспортне підприємство 0628</w:t>
            </w:r>
            <w:r>
              <w:rPr>
                <w:rFonts w:ascii="Times New Roman" w:eastAsia="Times New Roman" w:hAnsi="Times New Roman" w:cs="Times New Roman"/>
                <w:color w:val="000000"/>
                <w:sz w:val="24"/>
                <w:szCs w:val="24"/>
              </w:rPr>
              <w:t>»</w:t>
            </w:r>
            <w:r w:rsidR="00E66F64">
              <w:rPr>
                <w:rFonts w:ascii="Times New Roman" w:eastAsia="Times New Roman" w:hAnsi="Times New Roman" w:cs="Times New Roman"/>
                <w:color w:val="000000"/>
                <w:sz w:val="24"/>
                <w:szCs w:val="24"/>
              </w:rPr>
              <w:t xml:space="preserve"> Житомирської міської ради</w:t>
            </w:r>
          </w:p>
          <w:p w14:paraId="3C52182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по зв’язкам з громадськістю Житомирської міської ради</w:t>
            </w:r>
          </w:p>
        </w:tc>
      </w:tr>
      <w:tr w:rsidR="00C82386" w14:paraId="21810195" w14:textId="77777777" w:rsidTr="00D72CDF">
        <w:tc>
          <w:tcPr>
            <w:tcW w:w="1953" w:type="dxa"/>
          </w:tcPr>
          <w:p w14:paraId="00046E2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45036A85"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 2024 року у м Житомирі функціонує сміттєпереробний завод за адресою: м. Житомир, проїзд Складський, 20, експлуатація якого дозволить суттєво зменшити навантаження на міський полігон захоронення твердих побутових відходів, що в подальшому дасть можливість здійснити його закриття та проведення рекультивації. Планується модернізація ліній обладнання та збільшення потужності заводу.</w:t>
            </w:r>
          </w:p>
          <w:p w14:paraId="2F1A56AC"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системи роздільного збору твердих побутових відходів з подальшим сортуванням з метою зменшення об’ємів збирання, перевезення та захоронення відходів. В тому  числі – впровадження механізованого сортування побутових відходів з вилученням  ресурсоцінних компонентів.</w:t>
            </w:r>
          </w:p>
          <w:p w14:paraId="207BCA78"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Організація процесу компостування харчових, відходів зеленого господарства відходів.</w:t>
            </w:r>
          </w:p>
          <w:p w14:paraId="48132A18"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Проведення інформаційної та освітньої роботи із популяризації важливості сортування відходів серед населення громади. </w:t>
            </w:r>
          </w:p>
          <w:p w14:paraId="2242C605"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Максимальне охоплення територією громади з приватною житловою забудовою послугами із збирання та перевезення побутових відходів.</w:t>
            </w:r>
          </w:p>
          <w:p w14:paraId="76B3657C"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Оновлення технічного оснащення: сміттєзбиральних контейнерів, сміттєзбірних майданчиків, іншого обладнання спеціального призначення на територіях загального користування та малолітражних ко</w:t>
            </w:r>
            <w:r>
              <w:rPr>
                <w:rFonts w:ascii="Times New Roman" w:eastAsia="Times New Roman" w:hAnsi="Times New Roman" w:cs="Times New Roman"/>
                <w:sz w:val="24"/>
                <w:szCs w:val="24"/>
              </w:rPr>
              <w:t>н</w:t>
            </w:r>
            <w:r>
              <w:rPr>
                <w:rFonts w:ascii="Times New Roman" w:eastAsia="Times New Roman" w:hAnsi="Times New Roman" w:cs="Times New Roman"/>
                <w:color w:val="000000"/>
                <w:sz w:val="24"/>
                <w:szCs w:val="24"/>
              </w:rPr>
              <w:t xml:space="preserve">тейнерів на територіях приватного сектору. </w:t>
            </w:r>
          </w:p>
          <w:p w14:paraId="5B4944AD"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Оновлення спеціалізованої техніки, сміттєвозів, механізмів, обладнання, устаткування та іншої техніки на підприємствах для надання послуг з вивезення та захоронення твердих побутових відходів. </w:t>
            </w:r>
          </w:p>
          <w:p w14:paraId="24DC79CA"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Встановлення громадських вбиралень для зменшення несанкціонованого надходження в навколишнє середовище рідких побутових відходів в громадських місцях.</w:t>
            </w:r>
          </w:p>
          <w:p w14:paraId="39390529"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Залучення «зелених» </w:t>
            </w:r>
            <w:r w:rsidR="00B83CFC">
              <w:rPr>
                <w:rFonts w:ascii="Times New Roman" w:eastAsia="Times New Roman" w:hAnsi="Times New Roman" w:cs="Times New Roman"/>
                <w:color w:val="000000"/>
                <w:sz w:val="24"/>
                <w:szCs w:val="24"/>
              </w:rPr>
              <w:t>інвестицій</w:t>
            </w:r>
            <w:r>
              <w:rPr>
                <w:rFonts w:ascii="Times New Roman" w:eastAsia="Times New Roman" w:hAnsi="Times New Roman" w:cs="Times New Roman"/>
                <w:color w:val="000000"/>
                <w:sz w:val="24"/>
                <w:szCs w:val="24"/>
              </w:rPr>
              <w:t xml:space="preserve"> у сферу управління побутовими відходами.</w:t>
            </w:r>
          </w:p>
          <w:p w14:paraId="5B87DA5F"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системи пожежогасіння на єдиному міському полігоні по захороненню твердих побутових відходів, який знаходиться по вул.</w:t>
            </w:r>
            <w:r w:rsidR="00942683">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Андріївській, 29.</w:t>
            </w:r>
          </w:p>
          <w:p w14:paraId="05D15E9C"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Придбання та встановлення приладів, обладнання для здійснення контролю за якістю атмосферного повітря на території.</w:t>
            </w:r>
          </w:p>
          <w:p w14:paraId="4C272FF5"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Забезпечення екологічно безпечного збирання, видалення, знешкодження і захоронення безхазяйних відходів зі стихійних сміттєзвалищ. </w:t>
            </w:r>
          </w:p>
          <w:p w14:paraId="1667A711" w14:textId="77777777" w:rsidR="00C82386" w:rsidRDefault="00E66F64" w:rsidP="00942683">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міського полігону твер</w:t>
            </w:r>
            <w:r w:rsidR="00942683">
              <w:rPr>
                <w:rFonts w:ascii="Times New Roman" w:eastAsia="Times New Roman" w:hAnsi="Times New Roman" w:cs="Times New Roman"/>
                <w:color w:val="000000"/>
                <w:sz w:val="24"/>
                <w:szCs w:val="24"/>
              </w:rPr>
              <w:t>дих побутових відходів у місті Жит</w:t>
            </w:r>
            <w:r>
              <w:rPr>
                <w:rFonts w:ascii="Times New Roman" w:eastAsia="Times New Roman" w:hAnsi="Times New Roman" w:cs="Times New Roman"/>
                <w:color w:val="000000"/>
                <w:sz w:val="24"/>
                <w:szCs w:val="24"/>
              </w:rPr>
              <w:t>о</w:t>
            </w:r>
            <w:r w:rsidR="00942683">
              <w:rPr>
                <w:rFonts w:ascii="Times New Roman" w:eastAsia="Times New Roman" w:hAnsi="Times New Roman" w:cs="Times New Roman"/>
                <w:color w:val="000000"/>
                <w:sz w:val="24"/>
                <w:szCs w:val="24"/>
              </w:rPr>
              <w:t>м</w:t>
            </w:r>
            <w:r>
              <w:rPr>
                <w:rFonts w:ascii="Times New Roman" w:eastAsia="Times New Roman" w:hAnsi="Times New Roman" w:cs="Times New Roman"/>
                <w:color w:val="000000"/>
                <w:sz w:val="24"/>
                <w:szCs w:val="24"/>
              </w:rPr>
              <w:t>ир</w:t>
            </w:r>
            <w:r w:rsidR="00942683">
              <w:rPr>
                <w:rFonts w:ascii="Times New Roman" w:eastAsia="Times New Roman" w:hAnsi="Times New Roman" w:cs="Times New Roman"/>
                <w:color w:val="000000"/>
                <w:sz w:val="24"/>
                <w:szCs w:val="24"/>
              </w:rPr>
              <w:t>і</w:t>
            </w:r>
            <w:r>
              <w:rPr>
                <w:rFonts w:ascii="Times New Roman" w:eastAsia="Times New Roman" w:hAnsi="Times New Roman" w:cs="Times New Roman"/>
                <w:color w:val="000000"/>
                <w:sz w:val="24"/>
                <w:szCs w:val="24"/>
              </w:rPr>
              <w:t xml:space="preserve"> із влаштуванням контейнерної установки очищення фільтрату за адресою: вул. Андріївська, 29 та подальшою частковою рекультивацією полігону.</w:t>
            </w:r>
          </w:p>
        </w:tc>
      </w:tr>
      <w:tr w:rsidR="00C82386" w14:paraId="3D350BE9" w14:textId="77777777" w:rsidTr="00D72CDF">
        <w:tc>
          <w:tcPr>
            <w:tcW w:w="1953" w:type="dxa"/>
          </w:tcPr>
          <w:p w14:paraId="6D2672C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770DA78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61E126F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2019</w:t>
            </w:r>
          </w:p>
        </w:tc>
        <w:tc>
          <w:tcPr>
            <w:tcW w:w="1852" w:type="dxa"/>
          </w:tcPr>
          <w:p w14:paraId="15A160E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6B0F18B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04E6391D" w14:textId="77777777" w:rsidTr="00D72CDF">
        <w:tc>
          <w:tcPr>
            <w:tcW w:w="1953" w:type="dxa"/>
          </w:tcPr>
          <w:p w14:paraId="3716D03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013EE7B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житлового господарства Житомирської міської ради</w:t>
            </w:r>
          </w:p>
          <w:p w14:paraId="654CE6A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52392F7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“Автотранспортне підприємство 0628” Житомирської міської ради</w:t>
            </w:r>
          </w:p>
          <w:p w14:paraId="76DFDB1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по зв’язкам з громадськістю Житомирської міської ради</w:t>
            </w:r>
          </w:p>
        </w:tc>
      </w:tr>
      <w:tr w:rsidR="00C82386" w14:paraId="54801063" w14:textId="77777777" w:rsidTr="00D72CDF">
        <w:tc>
          <w:tcPr>
            <w:tcW w:w="1953" w:type="dxa"/>
          </w:tcPr>
          <w:p w14:paraId="0F29C2F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50291E66" w14:textId="77777777" w:rsidR="00C82386" w:rsidRDefault="00C82386">
            <w:pPr>
              <w:spacing w:after="0" w:line="240" w:lineRule="auto"/>
              <w:rPr>
                <w:rFonts w:ascii="Times New Roman" w:eastAsia="Times New Roman" w:hAnsi="Times New Roman" w:cs="Times New Roman"/>
                <w:sz w:val="24"/>
                <w:szCs w:val="24"/>
              </w:rPr>
            </w:pPr>
          </w:p>
        </w:tc>
      </w:tr>
      <w:tr w:rsidR="00C82386" w14:paraId="5E2EA459" w14:textId="77777777" w:rsidTr="00D72CDF">
        <w:tc>
          <w:tcPr>
            <w:tcW w:w="1953" w:type="dxa"/>
          </w:tcPr>
          <w:p w14:paraId="50017DE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6448F6B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22A2060F" w14:textId="77777777" w:rsidTr="00D72CDF">
        <w:tc>
          <w:tcPr>
            <w:tcW w:w="1953" w:type="dxa"/>
          </w:tcPr>
          <w:p w14:paraId="3E63D58E"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17047FA8"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екстремальна спека, низові пожежі, інфекційні захворювання та алергічні прояви</w:t>
            </w:r>
          </w:p>
        </w:tc>
      </w:tr>
      <w:tr w:rsidR="00C82386" w14:paraId="025D840A" w14:textId="77777777" w:rsidTr="00D72CDF">
        <w:tc>
          <w:tcPr>
            <w:tcW w:w="1953" w:type="dxa"/>
          </w:tcPr>
          <w:p w14:paraId="3CCF1F8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70F8583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відходи</w:t>
            </w:r>
          </w:p>
        </w:tc>
      </w:tr>
      <w:tr w:rsidR="00C82386" w14:paraId="6FC1CEAA" w14:textId="77777777" w:rsidTr="00D72CDF">
        <w:tc>
          <w:tcPr>
            <w:tcW w:w="1953" w:type="dxa"/>
          </w:tcPr>
          <w:p w14:paraId="589F1486"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bookmarkStart w:id="91" w:name="_heading=h.40ew0vw" w:colFirst="0" w:colLast="0"/>
            <w:bookmarkEnd w:id="91"/>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69E34EEB" w14:textId="77777777" w:rsidR="00C82386" w:rsidRDefault="00C94B12">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w:t>
            </w:r>
            <w:r w:rsidR="00E66F64">
              <w:rPr>
                <w:rFonts w:ascii="Times New Roman" w:eastAsia="Times New Roman" w:hAnsi="Times New Roman" w:cs="Times New Roman"/>
                <w:color w:val="000000"/>
                <w:sz w:val="24"/>
                <w:szCs w:val="24"/>
              </w:rPr>
              <w:t>истемою роздільного збору сміття охоплено 50% населення громади</w:t>
            </w:r>
            <w:r>
              <w:rPr>
                <w:rFonts w:ascii="Times New Roman" w:eastAsia="Times New Roman" w:hAnsi="Times New Roman" w:cs="Times New Roman"/>
                <w:color w:val="000000"/>
                <w:sz w:val="24"/>
                <w:szCs w:val="24"/>
              </w:rPr>
              <w:t>.</w:t>
            </w:r>
          </w:p>
          <w:p w14:paraId="50576FFA" w14:textId="77777777" w:rsidR="00C82386" w:rsidRDefault="00C94B12">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w:t>
            </w:r>
            <w:r w:rsidR="00E66F64">
              <w:rPr>
                <w:rFonts w:ascii="Times New Roman" w:eastAsia="Times New Roman" w:hAnsi="Times New Roman" w:cs="Times New Roman"/>
                <w:color w:val="000000"/>
                <w:sz w:val="24"/>
                <w:szCs w:val="24"/>
              </w:rPr>
              <w:t>новлено 70% рухомого складу техніки</w:t>
            </w:r>
            <w:r>
              <w:rPr>
                <w:rFonts w:ascii="Times New Roman" w:eastAsia="Times New Roman" w:hAnsi="Times New Roman" w:cs="Times New Roman"/>
                <w:color w:val="000000"/>
                <w:sz w:val="24"/>
                <w:szCs w:val="24"/>
              </w:rPr>
              <w:t>.</w:t>
            </w:r>
          </w:p>
          <w:p w14:paraId="456FA52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Сміттєпереробний завод введено в експлуатацією із першою чергою готовності до перероблення побутових відходів глибиною переробки 80%. </w:t>
            </w:r>
          </w:p>
          <w:p w14:paraId="671FD97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Проведено модернізацію ліній обладнання та запуск другої черги перероблення для збільшення глибини переробки відходів та збільшення потужності заводу.</w:t>
            </w:r>
          </w:p>
          <w:p w14:paraId="4BE7176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Доля відходів, що підлягають захороненню на полігоні – не менше 70%.</w:t>
            </w:r>
          </w:p>
          <w:p w14:paraId="7B78B9F4"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Впроваджена система пожежогасіння на єдиному міському полігоні по захороненню твердих побутових відходів, який знаходиться по вул. Андріївській, 29.</w:t>
            </w:r>
          </w:p>
          <w:p w14:paraId="6182BE0C"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Розроблений місцевий план управління відходами.</w:t>
            </w:r>
          </w:p>
        </w:tc>
      </w:tr>
      <w:tr w:rsidR="00C82386" w14:paraId="12AC4DB0" w14:textId="77777777" w:rsidTr="00D72CDF">
        <w:tc>
          <w:tcPr>
            <w:tcW w:w="1953" w:type="dxa"/>
          </w:tcPr>
          <w:p w14:paraId="792236B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3099ADC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всі</w:t>
            </w:r>
          </w:p>
        </w:tc>
      </w:tr>
    </w:tbl>
    <w:p w14:paraId="772D1AB9" w14:textId="77777777" w:rsidR="00C82386" w:rsidRDefault="00C82386">
      <w:pPr>
        <w:pBdr>
          <w:top w:val="nil"/>
          <w:left w:val="nil"/>
          <w:bottom w:val="nil"/>
          <w:right w:val="nil"/>
          <w:between w:val="nil"/>
        </w:pBdr>
        <w:ind w:left="284"/>
        <w:jc w:val="both"/>
        <w:rPr>
          <w:rFonts w:ascii="Times New Roman" w:eastAsia="Times New Roman" w:hAnsi="Times New Roman" w:cs="Times New Roman"/>
          <w:sz w:val="24"/>
          <w:szCs w:val="24"/>
        </w:rPr>
      </w:pPr>
    </w:p>
    <w:p w14:paraId="1867177B" w14:textId="77777777" w:rsidR="00C82386" w:rsidRDefault="00E66F64">
      <w:pP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Забезпечення доступу споживачів до чистої питної води</w:t>
      </w:r>
    </w:p>
    <w:tbl>
      <w:tblPr>
        <w:tblStyle w:val="afffffff5"/>
        <w:tblW w:w="963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2129"/>
        <w:gridCol w:w="1850"/>
        <w:gridCol w:w="1853"/>
        <w:gridCol w:w="1850"/>
      </w:tblGrid>
      <w:tr w:rsidR="00C82386" w14:paraId="1EA1309C" w14:textId="77777777" w:rsidTr="007F2B4D">
        <w:tc>
          <w:tcPr>
            <w:tcW w:w="1953" w:type="dxa"/>
          </w:tcPr>
          <w:p w14:paraId="45FC8F4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682" w:type="dxa"/>
            <w:gridSpan w:val="4"/>
          </w:tcPr>
          <w:p w14:paraId="05120046" w14:textId="77777777" w:rsidR="00C82386" w:rsidRDefault="00E66F64">
            <w:pPr>
              <w:spacing w:after="0" w:line="240" w:lineRule="auto"/>
              <w:jc w:val="both"/>
              <w:rPr>
                <w:rFonts w:ascii="Times New Roman" w:eastAsia="Times New Roman" w:hAnsi="Times New Roman" w:cs="Times New Roman"/>
                <w:b/>
                <w:color w:val="000000"/>
                <w:sz w:val="24"/>
                <w:szCs w:val="24"/>
              </w:rPr>
            </w:pPr>
            <w:bookmarkStart w:id="92" w:name="_heading=h.2fk6b3p" w:colFirst="0" w:colLast="0"/>
            <w:bookmarkEnd w:id="92"/>
            <w:r>
              <w:rPr>
                <w:rFonts w:ascii="Times New Roman" w:eastAsia="Times New Roman" w:hAnsi="Times New Roman" w:cs="Times New Roman"/>
                <w:b/>
                <w:color w:val="000000"/>
                <w:sz w:val="24"/>
                <w:szCs w:val="24"/>
              </w:rPr>
              <w:t>2.6 Відновлення гідрологічного режиму та поліпшення санітарного стану річок та водних об’єктів на території Житомирської міської громади</w:t>
            </w:r>
          </w:p>
        </w:tc>
      </w:tr>
      <w:tr w:rsidR="00C82386" w14:paraId="6D2EFF6A" w14:textId="77777777" w:rsidTr="007F2B4D">
        <w:tc>
          <w:tcPr>
            <w:tcW w:w="1953" w:type="dxa"/>
          </w:tcPr>
          <w:p w14:paraId="28D2867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682" w:type="dxa"/>
            <w:gridSpan w:val="4"/>
          </w:tcPr>
          <w:p w14:paraId="2F7D93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7F8F2F5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331736A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1C97903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p w14:paraId="7D852E2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p w14:paraId="79487EA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71A7AB02" w14:textId="77777777" w:rsidTr="007F2B4D">
        <w:tc>
          <w:tcPr>
            <w:tcW w:w="1953" w:type="dxa"/>
          </w:tcPr>
          <w:p w14:paraId="3F097B5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Опис</w:t>
            </w:r>
          </w:p>
        </w:tc>
        <w:tc>
          <w:tcPr>
            <w:tcW w:w="7682" w:type="dxa"/>
            <w:gridSpan w:val="4"/>
          </w:tcPr>
          <w:p w14:paraId="69CEBAB5" w14:textId="77777777" w:rsidR="00C82386" w:rsidRPr="00942683"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Проведення регулярних перевірок водних об’єктів з метою </w:t>
            </w:r>
            <w:r w:rsidRPr="00942683">
              <w:rPr>
                <w:rFonts w:ascii="Times New Roman" w:eastAsia="Times New Roman" w:hAnsi="Times New Roman" w:cs="Times New Roman"/>
                <w:sz w:val="24"/>
                <w:szCs w:val="24"/>
              </w:rPr>
              <w:t>встановлення</w:t>
            </w:r>
            <w:r w:rsidRPr="00942683">
              <w:rPr>
                <w:rFonts w:ascii="Times New Roman" w:eastAsia="Times New Roman" w:hAnsi="Times New Roman" w:cs="Times New Roman"/>
                <w:color w:val="000000"/>
                <w:sz w:val="24"/>
                <w:szCs w:val="24"/>
              </w:rPr>
              <w:t xml:space="preserve"> фактів несанкціонованих скидів,  недопущення випадків потрапляння до водних об’єктів неочищених або недостатньо очищених стічних вод.</w:t>
            </w:r>
          </w:p>
          <w:p w14:paraId="3ADDB1BB" w14:textId="77777777" w:rsidR="00C82386" w:rsidRPr="00942683"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942683">
              <w:rPr>
                <w:rFonts w:ascii="Times New Roman" w:eastAsia="Times New Roman" w:hAnsi="Times New Roman" w:cs="Times New Roman"/>
                <w:color w:val="333333"/>
                <w:sz w:val="24"/>
                <w:szCs w:val="24"/>
              </w:rPr>
              <w:t>Затвердження місцевих правил приймання поверхневих стічних вод до системи водовідведення поверхневих стічних вод населеного пункту;</w:t>
            </w:r>
            <w:r w:rsidRPr="00942683">
              <w:rPr>
                <w:rFonts w:ascii="Times New Roman" w:eastAsia="Times New Roman" w:hAnsi="Times New Roman" w:cs="Times New Roman"/>
                <w:color w:val="000000"/>
                <w:sz w:val="28"/>
                <w:szCs w:val="28"/>
              </w:rPr>
              <w:t xml:space="preserve"> </w:t>
            </w:r>
          </w:p>
          <w:p w14:paraId="65F83610" w14:textId="77777777" w:rsidR="00C82386" w:rsidRPr="00942683"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Формування цілісної системи </w:t>
            </w:r>
            <w:r w:rsidRPr="00942683">
              <w:rPr>
                <w:rFonts w:ascii="Times New Roman" w:eastAsia="Times New Roman" w:hAnsi="Times New Roman" w:cs="Times New Roman"/>
                <w:sz w:val="24"/>
                <w:szCs w:val="24"/>
              </w:rPr>
              <w:t>уловлювання</w:t>
            </w:r>
            <w:r w:rsidRPr="00942683">
              <w:rPr>
                <w:rFonts w:ascii="Times New Roman" w:eastAsia="Times New Roman" w:hAnsi="Times New Roman" w:cs="Times New Roman"/>
                <w:color w:val="000000"/>
                <w:sz w:val="24"/>
                <w:szCs w:val="24"/>
              </w:rPr>
              <w:t xml:space="preserve">, збору та відведення зливових стоків на окремі міські або локальні очисні споруди з </w:t>
            </w:r>
            <w:r w:rsidRPr="00942683">
              <w:rPr>
                <w:rFonts w:ascii="Times New Roman" w:eastAsia="Times New Roman" w:hAnsi="Times New Roman" w:cs="Times New Roman"/>
                <w:sz w:val="24"/>
                <w:szCs w:val="24"/>
              </w:rPr>
              <w:t>у</w:t>
            </w:r>
            <w:r w:rsidRPr="00942683">
              <w:rPr>
                <w:rFonts w:ascii="Times New Roman" w:eastAsia="Times New Roman" w:hAnsi="Times New Roman" w:cs="Times New Roman"/>
                <w:color w:val="000000"/>
                <w:sz w:val="24"/>
                <w:szCs w:val="24"/>
              </w:rPr>
              <w:t>рахуванням сучасних екологічних рішень.</w:t>
            </w:r>
          </w:p>
          <w:p w14:paraId="7E3EE990" w14:textId="77777777" w:rsidR="00C82386" w:rsidRPr="00942683"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942683">
              <w:rPr>
                <w:rFonts w:ascii="Times New Roman" w:eastAsia="Times New Roman" w:hAnsi="Times New Roman" w:cs="Times New Roman"/>
                <w:color w:val="333333"/>
                <w:sz w:val="24"/>
                <w:szCs w:val="24"/>
              </w:rPr>
              <w:t>Затвердження місцевих правил збирання, транспортування та очищення стічних вод у населеному пункті від об’єктів, які не приєднані до систем централізованого водовідведення;</w:t>
            </w:r>
            <w:r w:rsidRPr="00942683">
              <w:rPr>
                <w:rFonts w:ascii="Times New Roman" w:eastAsia="Times New Roman" w:hAnsi="Times New Roman" w:cs="Times New Roman"/>
                <w:color w:val="000000"/>
                <w:sz w:val="28"/>
                <w:szCs w:val="28"/>
              </w:rPr>
              <w:t xml:space="preserve"> </w:t>
            </w:r>
          </w:p>
          <w:p w14:paraId="4E932CC7" w14:textId="77777777" w:rsidR="00C82386" w:rsidRPr="00942683"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Облаштування автоматизованих зливових станцій; </w:t>
            </w:r>
          </w:p>
          <w:p w14:paraId="7F29A4AF"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Впровадити заходи щодо відновлення та підтримання сприятливого гідрологічного режиму, санітарного стану</w:t>
            </w:r>
            <w:r>
              <w:rPr>
                <w:rFonts w:ascii="Times New Roman" w:eastAsia="Times New Roman" w:hAnsi="Times New Roman" w:cs="Times New Roman"/>
                <w:color w:val="000000"/>
                <w:sz w:val="24"/>
                <w:szCs w:val="24"/>
              </w:rPr>
              <w:t>, відновлення живих водних ресурсів, упорядкування прибережно-захисних смуг та очищення русел  малих річок міста та річки Тетерів.</w:t>
            </w:r>
            <w:r>
              <w:rPr>
                <w:rFonts w:ascii="Times New Roman" w:eastAsia="Times New Roman" w:hAnsi="Times New Roman" w:cs="Times New Roman"/>
                <w:color w:val="000000"/>
                <w:sz w:val="24"/>
                <w:szCs w:val="24"/>
                <w:vertAlign w:val="superscript"/>
              </w:rPr>
              <w:footnoteReference w:id="32"/>
            </w:r>
          </w:p>
          <w:p w14:paraId="7B9FB7F8"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Проведення робіт із </w:t>
            </w:r>
            <w:r>
              <w:rPr>
                <w:rFonts w:ascii="Times New Roman" w:eastAsia="Times New Roman" w:hAnsi="Times New Roman" w:cs="Times New Roman"/>
                <w:sz w:val="24"/>
                <w:szCs w:val="24"/>
              </w:rPr>
              <w:t>впорядкування</w:t>
            </w:r>
            <w:r>
              <w:rPr>
                <w:rFonts w:ascii="Times New Roman" w:eastAsia="Times New Roman" w:hAnsi="Times New Roman" w:cs="Times New Roman"/>
                <w:color w:val="000000"/>
                <w:sz w:val="24"/>
                <w:szCs w:val="24"/>
              </w:rPr>
              <w:t xml:space="preserve"> прибережних захисних смуг та заходів спрямованих на запобігання знищенню чи пошкодженню та утримання в належному стані геологічних памʼяток природи місцевого значення скель «Чотири брати», «Голова Чацького»</w:t>
            </w:r>
            <w:r>
              <w:rPr>
                <w:rFonts w:ascii="Times New Roman" w:eastAsia="Times New Roman" w:hAnsi="Times New Roman" w:cs="Times New Roman"/>
                <w:color w:val="000000"/>
                <w:sz w:val="24"/>
                <w:szCs w:val="24"/>
                <w:vertAlign w:val="superscript"/>
              </w:rPr>
              <w:footnoteReference w:id="33"/>
            </w:r>
            <w:r>
              <w:rPr>
                <w:rFonts w:ascii="Times New Roman" w:eastAsia="Times New Roman" w:hAnsi="Times New Roman" w:cs="Times New Roman"/>
                <w:color w:val="000000"/>
                <w:sz w:val="24"/>
                <w:szCs w:val="24"/>
              </w:rPr>
              <w:t>.</w:t>
            </w:r>
          </w:p>
          <w:p w14:paraId="3961A299"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Проведення реконструкції території «Гідропарку» із максимальним збереженням якісного та кількісного складу зелених насаджень. </w:t>
            </w:r>
          </w:p>
        </w:tc>
      </w:tr>
      <w:tr w:rsidR="00C82386" w14:paraId="7D174E4C" w14:textId="77777777" w:rsidTr="007F2B4D">
        <w:tc>
          <w:tcPr>
            <w:tcW w:w="1953" w:type="dxa"/>
          </w:tcPr>
          <w:p w14:paraId="48586D5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2129" w:type="dxa"/>
          </w:tcPr>
          <w:p w14:paraId="0367F8D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50" w:type="dxa"/>
          </w:tcPr>
          <w:p w14:paraId="46C19C6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3" w:type="dxa"/>
          </w:tcPr>
          <w:p w14:paraId="0C9A0EE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50" w:type="dxa"/>
          </w:tcPr>
          <w:p w14:paraId="0D39CA6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406B3799" w14:textId="77777777" w:rsidTr="007F2B4D">
        <w:tc>
          <w:tcPr>
            <w:tcW w:w="1953" w:type="dxa"/>
          </w:tcPr>
          <w:p w14:paraId="0223BB3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682" w:type="dxa"/>
            <w:gridSpan w:val="4"/>
          </w:tcPr>
          <w:p w14:paraId="2FD2CFE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457F9CD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4BB13B4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693CC63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p w14:paraId="5B8D5CF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p w14:paraId="5934248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5E7E84C2" w14:textId="77777777" w:rsidTr="007F2B4D">
        <w:tc>
          <w:tcPr>
            <w:tcW w:w="1953" w:type="dxa"/>
          </w:tcPr>
          <w:p w14:paraId="6C40C48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682" w:type="dxa"/>
            <w:gridSpan w:val="4"/>
          </w:tcPr>
          <w:p w14:paraId="0BBFF74A"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міських цільових програм</w:t>
            </w:r>
          </w:p>
        </w:tc>
      </w:tr>
      <w:tr w:rsidR="00C82386" w14:paraId="274734C7" w14:textId="77777777" w:rsidTr="007F2B4D">
        <w:tc>
          <w:tcPr>
            <w:tcW w:w="1953" w:type="dxa"/>
          </w:tcPr>
          <w:p w14:paraId="36B7ED2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682" w:type="dxa"/>
            <w:gridSpan w:val="4"/>
          </w:tcPr>
          <w:p w14:paraId="4910DEF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2AECD24" w14:textId="77777777" w:rsidTr="007F2B4D">
        <w:tc>
          <w:tcPr>
            <w:tcW w:w="1953" w:type="dxa"/>
          </w:tcPr>
          <w:p w14:paraId="71C077D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682" w:type="dxa"/>
            <w:gridSpan w:val="4"/>
          </w:tcPr>
          <w:p w14:paraId="7FC2E3E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екстремальні опади: злива, снігопади, град; підвищення рівня води, посуха</w:t>
            </w:r>
          </w:p>
        </w:tc>
      </w:tr>
      <w:tr w:rsidR="00C82386" w14:paraId="030B98F7" w14:textId="77777777" w:rsidTr="007F2B4D">
        <w:tc>
          <w:tcPr>
            <w:tcW w:w="1953" w:type="dxa"/>
          </w:tcPr>
          <w:p w14:paraId="3700DA6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682" w:type="dxa"/>
            <w:gridSpan w:val="4"/>
          </w:tcPr>
          <w:p w14:paraId="36C6C8A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3637A7CA" w14:textId="77777777" w:rsidTr="007F2B4D">
        <w:tc>
          <w:tcPr>
            <w:tcW w:w="1953" w:type="dxa"/>
          </w:tcPr>
          <w:p w14:paraId="6EF7F25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682" w:type="dxa"/>
            <w:gridSpan w:val="4"/>
          </w:tcPr>
          <w:p w14:paraId="3919507F" w14:textId="77777777" w:rsidR="00C82386" w:rsidRDefault="00E66F64">
            <w:pPr>
              <w:numPr>
                <w:ilvl w:val="0"/>
                <w:numId w:val="70"/>
              </w:numPr>
              <w:pBdr>
                <w:top w:val="nil"/>
                <w:left w:val="nil"/>
                <w:bottom w:val="nil"/>
                <w:right w:val="nil"/>
                <w:between w:val="nil"/>
              </w:pBdr>
              <w:spacing w:after="0" w:line="240" w:lineRule="auto"/>
              <w:ind w:left="284"/>
              <w:jc w:val="both"/>
              <w:rPr>
                <w:rFonts w:ascii="Times New Roman" w:eastAsia="Times New Roman" w:hAnsi="Times New Roman" w:cs="Times New Roman"/>
                <w:color w:val="000000"/>
                <w:sz w:val="28"/>
                <w:szCs w:val="28"/>
              </w:rPr>
            </w:pPr>
            <w:bookmarkStart w:id="93" w:name="_heading=h.upglbi" w:colFirst="0" w:colLast="0"/>
            <w:bookmarkEnd w:id="93"/>
            <w:r>
              <w:rPr>
                <w:rFonts w:ascii="Times New Roman" w:eastAsia="Times New Roman" w:hAnsi="Times New Roman" w:cs="Times New Roman"/>
                <w:color w:val="333333"/>
                <w:sz w:val="24"/>
                <w:szCs w:val="24"/>
                <w:highlight w:val="white"/>
              </w:rPr>
              <w:t>Затверджені місцеві  правила збирання, транспортування та очищення стічних вод у населеному пункті від об’єктів, які не приєднані до систем централізованого водовідведення;</w:t>
            </w:r>
            <w:r>
              <w:rPr>
                <w:rFonts w:ascii="Times New Roman" w:eastAsia="Times New Roman" w:hAnsi="Times New Roman" w:cs="Times New Roman"/>
                <w:color w:val="000000"/>
                <w:sz w:val="28"/>
                <w:szCs w:val="28"/>
              </w:rPr>
              <w:t xml:space="preserve"> </w:t>
            </w:r>
          </w:p>
          <w:p w14:paraId="1B31F4FA" w14:textId="77777777" w:rsidR="00C82386" w:rsidRDefault="00E66F64">
            <w:pPr>
              <w:numPr>
                <w:ilvl w:val="0"/>
                <w:numId w:val="70"/>
              </w:numPr>
              <w:pBdr>
                <w:top w:val="nil"/>
                <w:left w:val="nil"/>
                <w:bottom w:val="nil"/>
                <w:right w:val="nil"/>
                <w:between w:val="nil"/>
              </w:pBdr>
              <w:spacing w:after="0" w:line="240" w:lineRule="auto"/>
              <w:ind w:left="284"/>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333333"/>
                <w:sz w:val="24"/>
                <w:szCs w:val="24"/>
                <w:highlight w:val="white"/>
              </w:rPr>
              <w:t>затверджені місцеві правила приймання поверхневих стічних вод до системи водовідведення поверхневих стічних вод населеного пункту;</w:t>
            </w:r>
          </w:p>
          <w:p w14:paraId="668FD051"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Протяжність зливової мережі в м. Житомир – більше 200 км.</w:t>
            </w:r>
          </w:p>
        </w:tc>
      </w:tr>
      <w:tr w:rsidR="00C82386" w14:paraId="7A3305B4" w14:textId="77777777" w:rsidTr="007F2B4D">
        <w:tc>
          <w:tcPr>
            <w:tcW w:w="1953" w:type="dxa"/>
          </w:tcPr>
          <w:p w14:paraId="102CCD9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вразливі групи населення</w:t>
            </w:r>
          </w:p>
        </w:tc>
        <w:tc>
          <w:tcPr>
            <w:tcW w:w="7682" w:type="dxa"/>
            <w:gridSpan w:val="4"/>
          </w:tcPr>
          <w:p w14:paraId="21D8189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діти, особи поважного віку, люди з хронічними захворюваннями, люди з особливими потребами,</w:t>
            </w:r>
          </w:p>
        </w:tc>
      </w:tr>
    </w:tbl>
    <w:p w14:paraId="126ECFD7" w14:textId="77777777" w:rsidR="00C82386" w:rsidRDefault="00C82386">
      <w:pPr>
        <w:jc w:val="both"/>
        <w:rPr>
          <w:rFonts w:ascii="Times New Roman" w:eastAsia="Times New Roman" w:hAnsi="Times New Roman" w:cs="Times New Roman"/>
          <w:sz w:val="24"/>
          <w:szCs w:val="24"/>
          <w:u w:val="single"/>
        </w:rPr>
      </w:pPr>
    </w:p>
    <w:tbl>
      <w:tblPr>
        <w:tblStyle w:val="afffffff6"/>
        <w:tblW w:w="96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2242"/>
        <w:gridCol w:w="1850"/>
        <w:gridCol w:w="1853"/>
        <w:gridCol w:w="1710"/>
      </w:tblGrid>
      <w:tr w:rsidR="00C82386" w14:paraId="310A48A8" w14:textId="77777777" w:rsidTr="007F2B4D">
        <w:tc>
          <w:tcPr>
            <w:tcW w:w="1953" w:type="dxa"/>
          </w:tcPr>
          <w:p w14:paraId="402831E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655" w:type="dxa"/>
            <w:gridSpan w:val="4"/>
          </w:tcPr>
          <w:p w14:paraId="610FAA6F" w14:textId="77777777" w:rsidR="00C82386" w:rsidRDefault="00E66F64">
            <w:pPr>
              <w:spacing w:after="0" w:line="240" w:lineRule="auto"/>
              <w:jc w:val="both"/>
              <w:rPr>
                <w:rFonts w:ascii="Times New Roman" w:eastAsia="Times New Roman" w:hAnsi="Times New Roman" w:cs="Times New Roman"/>
                <w:b/>
                <w:color w:val="000000"/>
                <w:sz w:val="24"/>
                <w:szCs w:val="24"/>
              </w:rPr>
            </w:pPr>
            <w:bookmarkStart w:id="94" w:name="_heading=h.3ep43zb" w:colFirst="0" w:colLast="0"/>
            <w:bookmarkEnd w:id="94"/>
            <w:r>
              <w:rPr>
                <w:rFonts w:ascii="Times New Roman" w:eastAsia="Times New Roman" w:hAnsi="Times New Roman" w:cs="Times New Roman"/>
                <w:b/>
                <w:color w:val="000000"/>
                <w:sz w:val="24"/>
                <w:szCs w:val="24"/>
              </w:rPr>
              <w:t>2.7 Інвентаризація водних об’єктів громади</w:t>
            </w:r>
          </w:p>
        </w:tc>
      </w:tr>
      <w:tr w:rsidR="00C82386" w14:paraId="6B29A574" w14:textId="77777777" w:rsidTr="007F2B4D">
        <w:tc>
          <w:tcPr>
            <w:tcW w:w="1953" w:type="dxa"/>
          </w:tcPr>
          <w:p w14:paraId="729210D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655" w:type="dxa"/>
            <w:gridSpan w:val="4"/>
          </w:tcPr>
          <w:p w14:paraId="689C468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4E4B1EE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32EC9C8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3A3D5AA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p w14:paraId="5ECCA02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23C6321A" w14:textId="77777777" w:rsidTr="007F2B4D">
        <w:tc>
          <w:tcPr>
            <w:tcW w:w="1953" w:type="dxa"/>
          </w:tcPr>
          <w:p w14:paraId="37BD3B7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655" w:type="dxa"/>
            <w:gridSpan w:val="4"/>
          </w:tcPr>
          <w:p w14:paraId="719E31E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паспортизації всіх водних об’єктів громади.</w:t>
            </w:r>
          </w:p>
          <w:p w14:paraId="5CED01D8"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проєктів усіх прибережно-захисних смуг, водоохоронних зон громади та винесення їх у натуру.</w:t>
            </w:r>
          </w:p>
          <w:p w14:paraId="0B6CABC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Визначення відповідального управління за усіма водними об’єктами громади.</w:t>
            </w:r>
          </w:p>
          <w:p w14:paraId="6307229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Впровадження/удосконалення моніторингу рівня ґрунтових вод у межах громади.</w:t>
            </w:r>
          </w:p>
        </w:tc>
      </w:tr>
      <w:tr w:rsidR="00C82386" w14:paraId="41A39E75" w14:textId="77777777" w:rsidTr="007F2B4D">
        <w:tc>
          <w:tcPr>
            <w:tcW w:w="1953" w:type="dxa"/>
          </w:tcPr>
          <w:p w14:paraId="057CDAF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2242" w:type="dxa"/>
          </w:tcPr>
          <w:p w14:paraId="21E95FE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50" w:type="dxa"/>
          </w:tcPr>
          <w:p w14:paraId="11109B1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3" w:type="dxa"/>
          </w:tcPr>
          <w:p w14:paraId="4519FB4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710" w:type="dxa"/>
          </w:tcPr>
          <w:p w14:paraId="10CA72D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0A809FF4" w14:textId="77777777" w:rsidTr="007F2B4D">
        <w:tc>
          <w:tcPr>
            <w:tcW w:w="1953" w:type="dxa"/>
          </w:tcPr>
          <w:p w14:paraId="3D02C2E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655" w:type="dxa"/>
            <w:gridSpan w:val="4"/>
          </w:tcPr>
          <w:p w14:paraId="2DFAD31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5B892471" w14:textId="77777777" w:rsidTr="007F2B4D">
        <w:tc>
          <w:tcPr>
            <w:tcW w:w="1953" w:type="dxa"/>
          </w:tcPr>
          <w:p w14:paraId="0385068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655" w:type="dxa"/>
            <w:gridSpan w:val="4"/>
          </w:tcPr>
          <w:p w14:paraId="2157DC9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42B6FA4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00AD4D9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1385753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p w14:paraId="01EF7C8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53EB5A02" w14:textId="77777777" w:rsidTr="007F2B4D">
        <w:tc>
          <w:tcPr>
            <w:tcW w:w="1953" w:type="dxa"/>
          </w:tcPr>
          <w:p w14:paraId="3747D9A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655" w:type="dxa"/>
            <w:gridSpan w:val="4"/>
          </w:tcPr>
          <w:p w14:paraId="5A74F517"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міських цільових програм</w:t>
            </w:r>
          </w:p>
        </w:tc>
      </w:tr>
      <w:tr w:rsidR="00C82386" w14:paraId="7A44603F" w14:textId="77777777" w:rsidTr="007F2B4D">
        <w:tc>
          <w:tcPr>
            <w:tcW w:w="1953" w:type="dxa"/>
          </w:tcPr>
          <w:p w14:paraId="06E8D2B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655" w:type="dxa"/>
            <w:gridSpan w:val="4"/>
          </w:tcPr>
          <w:p w14:paraId="2CE8CE7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36624C48" w14:textId="77777777" w:rsidTr="007F2B4D">
        <w:tc>
          <w:tcPr>
            <w:tcW w:w="1953" w:type="dxa"/>
          </w:tcPr>
          <w:p w14:paraId="2C2D4E9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655" w:type="dxa"/>
            <w:gridSpan w:val="4"/>
          </w:tcPr>
          <w:p w14:paraId="612DD57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екстремальні опади: злива, снігопади, град; підвищення рівня води</w:t>
            </w:r>
          </w:p>
        </w:tc>
      </w:tr>
      <w:tr w:rsidR="00C82386" w14:paraId="3791FA20" w14:textId="77777777" w:rsidTr="007F2B4D">
        <w:tc>
          <w:tcPr>
            <w:tcW w:w="1953" w:type="dxa"/>
          </w:tcPr>
          <w:p w14:paraId="7415462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655" w:type="dxa"/>
            <w:gridSpan w:val="4"/>
          </w:tcPr>
          <w:p w14:paraId="6F30A0B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295814D6" w14:textId="77777777" w:rsidTr="007F2B4D">
        <w:tc>
          <w:tcPr>
            <w:tcW w:w="1953" w:type="dxa"/>
          </w:tcPr>
          <w:p w14:paraId="7635644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655" w:type="dxa"/>
            <w:gridSpan w:val="4"/>
          </w:tcPr>
          <w:p w14:paraId="79550302"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95" w:name="_heading=h.1tuee74" w:colFirst="0" w:colLast="0"/>
            <w:bookmarkEnd w:id="95"/>
            <w:r>
              <w:rPr>
                <w:rFonts w:ascii="Times New Roman" w:eastAsia="Times New Roman" w:hAnsi="Times New Roman" w:cs="Times New Roman"/>
                <w:color w:val="000000"/>
                <w:sz w:val="24"/>
                <w:szCs w:val="24"/>
              </w:rPr>
              <w:t>Паспортизовано 70% водних об’єктів громади.</w:t>
            </w:r>
          </w:p>
          <w:p w14:paraId="4D61507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проєкти 100% водоохоронних зон громади та винесення їх у натуру.</w:t>
            </w:r>
          </w:p>
        </w:tc>
      </w:tr>
      <w:tr w:rsidR="00C82386" w14:paraId="08BD3A45" w14:textId="77777777" w:rsidTr="007F2B4D">
        <w:tc>
          <w:tcPr>
            <w:tcW w:w="1953" w:type="dxa"/>
          </w:tcPr>
          <w:p w14:paraId="33240D0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655" w:type="dxa"/>
            <w:gridSpan w:val="4"/>
          </w:tcPr>
          <w:p w14:paraId="0915146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діти, особи поважного віку, люди з хронічними захворюваннями, люди з особливими потребами, </w:t>
            </w:r>
          </w:p>
        </w:tc>
      </w:tr>
    </w:tbl>
    <w:p w14:paraId="5E712409" w14:textId="77777777" w:rsidR="00C82386" w:rsidRDefault="00C82386">
      <w:pPr>
        <w:jc w:val="both"/>
        <w:rPr>
          <w:rFonts w:ascii="Times New Roman" w:eastAsia="Times New Roman" w:hAnsi="Times New Roman" w:cs="Times New Roman"/>
          <w:sz w:val="24"/>
          <w:szCs w:val="24"/>
          <w:u w:val="single"/>
        </w:rPr>
      </w:pPr>
    </w:p>
    <w:tbl>
      <w:tblPr>
        <w:tblStyle w:val="afffffff7"/>
        <w:tblW w:w="93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2242"/>
        <w:gridCol w:w="1850"/>
        <w:gridCol w:w="1853"/>
        <w:gridCol w:w="1850"/>
      </w:tblGrid>
      <w:tr w:rsidR="00C82386" w14:paraId="610FB697" w14:textId="77777777">
        <w:tc>
          <w:tcPr>
            <w:tcW w:w="1555" w:type="dxa"/>
          </w:tcPr>
          <w:p w14:paraId="3580453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795" w:type="dxa"/>
            <w:gridSpan w:val="4"/>
          </w:tcPr>
          <w:p w14:paraId="14ECF214"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2.7 Розробка концепції плавучої сонячної електростанції на річці Тетерів в місті Житомирі</w:t>
            </w:r>
          </w:p>
        </w:tc>
      </w:tr>
      <w:tr w:rsidR="00C82386" w14:paraId="7861D143" w14:textId="77777777">
        <w:tc>
          <w:tcPr>
            <w:tcW w:w="1555" w:type="dxa"/>
          </w:tcPr>
          <w:p w14:paraId="32DCAA1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795" w:type="dxa"/>
            <w:gridSpan w:val="4"/>
          </w:tcPr>
          <w:p w14:paraId="5675985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tc>
      </w:tr>
      <w:tr w:rsidR="00C82386" w14:paraId="1DFD1694" w14:textId="77777777">
        <w:tc>
          <w:tcPr>
            <w:tcW w:w="1555" w:type="dxa"/>
          </w:tcPr>
          <w:p w14:paraId="5BA5F61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795" w:type="dxa"/>
            <w:gridSpan w:val="4"/>
          </w:tcPr>
          <w:p w14:paraId="08DFC3A1"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температури має негативний вплив на екологію річки Тетерів – змінює фізичні, хімічні та біологічні умови, негативно впливає на місцеву водну екосистему, що серед іншого має такі ефекти:</w:t>
            </w:r>
          </w:p>
          <w:p w14:paraId="0B60AC17" w14:textId="77777777" w:rsidR="00C82386" w:rsidRDefault="00E66F64">
            <w:pPr>
              <w:numPr>
                <w:ilvl w:val="0"/>
                <w:numId w:val="7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зниження рівня води через збільшення випаровування;</w:t>
            </w:r>
          </w:p>
          <w:p w14:paraId="16B6B577" w14:textId="77777777" w:rsidR="00C82386" w:rsidRDefault="00E66F64">
            <w:pPr>
              <w:numPr>
                <w:ilvl w:val="0"/>
                <w:numId w:val="7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посилення цвітіння води (розмноження синьо-зелених) водоростей через підвищення температури води;</w:t>
            </w:r>
          </w:p>
          <w:p w14:paraId="7A5C582A" w14:textId="77777777" w:rsidR="00C82386" w:rsidRDefault="00E66F64">
            <w:pPr>
              <w:numPr>
                <w:ilvl w:val="0"/>
                <w:numId w:val="7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вмісту аміаку, нітратів та інших токсичних сполук через прискорене розкладання органічних сполук в теплій воді;</w:t>
            </w:r>
          </w:p>
          <w:p w14:paraId="43AF3D77" w14:textId="77777777" w:rsidR="00C82386" w:rsidRDefault="00E66F64">
            <w:pPr>
              <w:numPr>
                <w:ilvl w:val="0"/>
                <w:numId w:val="7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втрата біорізноманіття та інші негативні ефекти через підвищення температури води.</w:t>
            </w:r>
          </w:p>
          <w:p w14:paraId="34D5E1F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Завдання полягає в розробці інженерного рішення (плавучої платформи), яке з одного боку дозволять зменшити/захистити верхній шар води річки Тетерів від перегрівання сонячним промінням, а з іншого дозволить розмістити на такій плавучій платформі сонячну електростанцію.</w:t>
            </w:r>
          </w:p>
          <w:p w14:paraId="0C4A6B2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Складність завдання полягає в тому, що потрібно знайти рішення, яке забезпечить надійну і безпечну роботу плавучої сонячної електростанції в умовах зміни рівня води упродовж року, замерзання води взимку та весняного льодоходу (кригоплаву).</w:t>
            </w:r>
          </w:p>
        </w:tc>
      </w:tr>
      <w:tr w:rsidR="00C82386" w14:paraId="4F8C28D7" w14:textId="77777777">
        <w:tc>
          <w:tcPr>
            <w:tcW w:w="1555" w:type="dxa"/>
          </w:tcPr>
          <w:p w14:paraId="1157DEB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2242" w:type="dxa"/>
          </w:tcPr>
          <w:p w14:paraId="7308001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початок</w:t>
            </w:r>
          </w:p>
        </w:tc>
        <w:tc>
          <w:tcPr>
            <w:tcW w:w="1850" w:type="dxa"/>
          </w:tcPr>
          <w:p w14:paraId="14F8B55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3" w:type="dxa"/>
          </w:tcPr>
          <w:p w14:paraId="2450D68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50" w:type="dxa"/>
          </w:tcPr>
          <w:p w14:paraId="4C435E7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2027</w:t>
            </w:r>
          </w:p>
        </w:tc>
      </w:tr>
      <w:tr w:rsidR="00C82386" w14:paraId="7F7AB7A4" w14:textId="77777777">
        <w:tc>
          <w:tcPr>
            <w:tcW w:w="1555" w:type="dxa"/>
          </w:tcPr>
          <w:p w14:paraId="4F0794A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795" w:type="dxa"/>
            <w:gridSpan w:val="4"/>
          </w:tcPr>
          <w:p w14:paraId="70DD93C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34854707" w14:textId="77777777">
        <w:tc>
          <w:tcPr>
            <w:tcW w:w="1555" w:type="dxa"/>
          </w:tcPr>
          <w:p w14:paraId="21E40F15" w14:textId="77777777" w:rsidR="00C82386" w:rsidRDefault="004341E7">
            <w:pPr>
              <w:spacing w:after="0" w:line="240" w:lineRule="auto"/>
              <w:rPr>
                <w:rFonts w:ascii="Times New Roman" w:eastAsia="Times New Roman" w:hAnsi="Times New Roman" w:cs="Times New Roman"/>
                <w:b/>
                <w:color w:val="000000"/>
                <w:sz w:val="24"/>
                <w:szCs w:val="24"/>
              </w:rPr>
            </w:pPr>
            <w:sdt>
              <w:sdtPr>
                <w:tag w:val="goog_rdk_136"/>
                <w:id w:val="911117520"/>
              </w:sdtPr>
              <w:sdtEndPr/>
              <w:sdtContent/>
            </w:sdt>
            <w:r w:rsidR="00E66F64">
              <w:rPr>
                <w:rFonts w:ascii="Times New Roman" w:eastAsia="Times New Roman" w:hAnsi="Times New Roman" w:cs="Times New Roman"/>
                <w:b/>
                <w:color w:val="000000"/>
                <w:sz w:val="24"/>
                <w:szCs w:val="24"/>
              </w:rPr>
              <w:t>Зацікавлені та залучені сторони</w:t>
            </w:r>
          </w:p>
        </w:tc>
        <w:tc>
          <w:tcPr>
            <w:tcW w:w="7795" w:type="dxa"/>
            <w:gridSpan w:val="4"/>
          </w:tcPr>
          <w:p w14:paraId="45235FE3"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Комунальне підприємство «Житомирводоканал» Житомирської міської ради;</w:t>
            </w:r>
          </w:p>
          <w:p w14:paraId="7922575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Комунальне підприємство «Парк» Житомирської міської ради;</w:t>
            </w:r>
          </w:p>
          <w:p w14:paraId="357D703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Поліський національний університет;</w:t>
            </w:r>
          </w:p>
          <w:p w14:paraId="284685BC"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Технічний університет Дрездена та інші учасники проєкту «Україна на шляху до вуглецевої нейтральності» (U_CAN)</w:t>
            </w:r>
          </w:p>
        </w:tc>
      </w:tr>
      <w:tr w:rsidR="00C82386" w14:paraId="399CEBD7" w14:textId="77777777">
        <w:tc>
          <w:tcPr>
            <w:tcW w:w="1555" w:type="dxa"/>
          </w:tcPr>
          <w:p w14:paraId="7802A73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795" w:type="dxa"/>
            <w:gridSpan w:val="4"/>
          </w:tcPr>
          <w:p w14:paraId="18D4DFD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50 000,00 євро (грант)</w:t>
            </w:r>
          </w:p>
        </w:tc>
      </w:tr>
      <w:tr w:rsidR="00C82386" w14:paraId="74FF39DC" w14:textId="77777777">
        <w:tc>
          <w:tcPr>
            <w:tcW w:w="1555" w:type="dxa"/>
          </w:tcPr>
          <w:p w14:paraId="541066A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795" w:type="dxa"/>
            <w:gridSpan w:val="4"/>
          </w:tcPr>
          <w:p w14:paraId="143FF74E"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Європейське виконавче агентство з питань клімату, інфраструктури та навколишнього середовища</w:t>
            </w:r>
          </w:p>
        </w:tc>
      </w:tr>
      <w:tr w:rsidR="00C82386" w14:paraId="3B4B4ECF" w14:textId="77777777">
        <w:tc>
          <w:tcPr>
            <w:tcW w:w="1555" w:type="dxa"/>
          </w:tcPr>
          <w:p w14:paraId="7E5B948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795" w:type="dxa"/>
            <w:gridSpan w:val="4"/>
          </w:tcPr>
          <w:p w14:paraId="1A5EA0CB"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Екстремальна спека</w:t>
            </w:r>
          </w:p>
        </w:tc>
      </w:tr>
      <w:tr w:rsidR="00C82386" w14:paraId="3E0629E4" w14:textId="77777777">
        <w:tc>
          <w:tcPr>
            <w:tcW w:w="1555" w:type="dxa"/>
          </w:tcPr>
          <w:p w14:paraId="531B247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795" w:type="dxa"/>
            <w:gridSpan w:val="4"/>
          </w:tcPr>
          <w:p w14:paraId="53534EE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29DB7417" w14:textId="77777777">
        <w:tc>
          <w:tcPr>
            <w:tcW w:w="1555" w:type="dxa"/>
          </w:tcPr>
          <w:p w14:paraId="0D81D7F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795" w:type="dxa"/>
            <w:gridSpan w:val="4"/>
          </w:tcPr>
          <w:p w14:paraId="4947B55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та затверджена замовником проектно-кошторисна документація на будівництво плавучої сонячної електростанції на річці Тетерів в місті Житомирі</w:t>
            </w:r>
          </w:p>
          <w:p w14:paraId="5F03A4F0" w14:textId="77777777" w:rsidR="00C82386" w:rsidRDefault="00C82386">
            <w:pPr>
              <w:spacing w:after="0" w:line="240" w:lineRule="auto"/>
              <w:rPr>
                <w:rFonts w:ascii="Times New Roman" w:eastAsia="Times New Roman" w:hAnsi="Times New Roman" w:cs="Times New Roman"/>
                <w:color w:val="000000"/>
                <w:sz w:val="24"/>
                <w:szCs w:val="24"/>
              </w:rPr>
            </w:pPr>
          </w:p>
        </w:tc>
      </w:tr>
      <w:tr w:rsidR="00C82386" w14:paraId="3E13A57E" w14:textId="77777777">
        <w:tc>
          <w:tcPr>
            <w:tcW w:w="1555" w:type="dxa"/>
          </w:tcPr>
          <w:p w14:paraId="6301553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795" w:type="dxa"/>
            <w:gridSpan w:val="4"/>
          </w:tcPr>
          <w:p w14:paraId="452F2E65" w14:textId="77777777" w:rsidR="00C82386" w:rsidRDefault="004341E7">
            <w:pPr>
              <w:spacing w:after="0" w:line="240" w:lineRule="auto"/>
              <w:rPr>
                <w:rFonts w:ascii="Times New Roman" w:eastAsia="Times New Roman" w:hAnsi="Times New Roman" w:cs="Times New Roman"/>
                <w:color w:val="000000"/>
                <w:sz w:val="24"/>
                <w:szCs w:val="24"/>
              </w:rPr>
            </w:pPr>
            <w:sdt>
              <w:sdtPr>
                <w:tag w:val="goog_rdk_137"/>
                <w:id w:val="-1155534970"/>
              </w:sdtPr>
              <w:sdtEndPr/>
              <w:sdtContent/>
            </w:sdt>
            <w:r w:rsidR="00E66F64">
              <w:rPr>
                <w:rFonts w:ascii="Times New Roman" w:eastAsia="Times New Roman" w:hAnsi="Times New Roman" w:cs="Times New Roman"/>
                <w:color w:val="000000"/>
                <w:sz w:val="24"/>
                <w:szCs w:val="24"/>
              </w:rPr>
              <w:t>Діти, особи поважного віку, люди з хронічними захворюваннями, люди з особливими потребами</w:t>
            </w:r>
          </w:p>
        </w:tc>
      </w:tr>
    </w:tbl>
    <w:p w14:paraId="12C0B395" w14:textId="77777777" w:rsidR="00C82386" w:rsidRDefault="00C82386">
      <w:pPr>
        <w:jc w:val="both"/>
        <w:rPr>
          <w:rFonts w:ascii="Times New Roman" w:eastAsia="Times New Roman" w:hAnsi="Times New Roman" w:cs="Times New Roman"/>
          <w:sz w:val="24"/>
          <w:szCs w:val="24"/>
          <w:u w:val="single"/>
        </w:rPr>
      </w:pPr>
    </w:p>
    <w:tbl>
      <w:tblPr>
        <w:tblStyle w:val="afffffff8"/>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0EEB6587" w14:textId="77777777" w:rsidTr="007F2B4D">
        <w:tc>
          <w:tcPr>
            <w:tcW w:w="2095" w:type="dxa"/>
          </w:tcPr>
          <w:p w14:paraId="05B628A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384374FA" w14:textId="77777777" w:rsidR="00C82386" w:rsidRDefault="004341E7" w:rsidP="00112ABC">
            <w:pPr>
              <w:spacing w:after="0" w:line="240" w:lineRule="auto"/>
              <w:jc w:val="both"/>
              <w:rPr>
                <w:rFonts w:ascii="Times New Roman" w:eastAsia="Times New Roman" w:hAnsi="Times New Roman" w:cs="Times New Roman"/>
                <w:b/>
                <w:color w:val="000000"/>
                <w:sz w:val="24"/>
                <w:szCs w:val="24"/>
              </w:rPr>
            </w:pPr>
            <w:sdt>
              <w:sdtPr>
                <w:tag w:val="goog_rdk_138"/>
                <w:id w:val="-1277177414"/>
              </w:sdtPr>
              <w:sdtEndPr/>
              <w:sdtContent/>
            </w:sdt>
            <w:r w:rsidR="00E66F64">
              <w:rPr>
                <w:rFonts w:ascii="Times New Roman" w:eastAsia="Times New Roman" w:hAnsi="Times New Roman" w:cs="Times New Roman"/>
                <w:b/>
                <w:color w:val="000000"/>
                <w:sz w:val="24"/>
                <w:szCs w:val="24"/>
              </w:rPr>
              <w:t xml:space="preserve">2.8 </w:t>
            </w:r>
            <w:r w:rsidR="00F170D8">
              <w:rPr>
                <w:rFonts w:ascii="Times New Roman" w:eastAsia="Times New Roman" w:hAnsi="Times New Roman" w:cs="Times New Roman"/>
                <w:b/>
                <w:color w:val="000000"/>
                <w:sz w:val="24"/>
                <w:szCs w:val="24"/>
              </w:rPr>
              <w:t xml:space="preserve">Інформаційна </w:t>
            </w:r>
            <w:r w:rsidR="00112ABC">
              <w:rPr>
                <w:rFonts w:ascii="Times New Roman" w:eastAsia="Times New Roman" w:hAnsi="Times New Roman" w:cs="Times New Roman"/>
                <w:b/>
                <w:color w:val="000000"/>
                <w:sz w:val="24"/>
                <w:szCs w:val="24"/>
              </w:rPr>
              <w:t>кампанія щодо с</w:t>
            </w:r>
            <w:r w:rsidR="00E66F64">
              <w:rPr>
                <w:rFonts w:ascii="Times New Roman" w:eastAsia="Times New Roman" w:hAnsi="Times New Roman" w:cs="Times New Roman"/>
                <w:b/>
                <w:color w:val="000000"/>
                <w:sz w:val="24"/>
                <w:szCs w:val="24"/>
              </w:rPr>
              <w:t>відом</w:t>
            </w:r>
            <w:r w:rsidR="00112ABC">
              <w:rPr>
                <w:rFonts w:ascii="Times New Roman" w:eastAsia="Times New Roman" w:hAnsi="Times New Roman" w:cs="Times New Roman"/>
                <w:b/>
                <w:color w:val="000000"/>
                <w:sz w:val="24"/>
                <w:szCs w:val="24"/>
              </w:rPr>
              <w:t>ого</w:t>
            </w:r>
            <w:r w:rsidR="00E66F64">
              <w:rPr>
                <w:rFonts w:ascii="Times New Roman" w:eastAsia="Times New Roman" w:hAnsi="Times New Roman" w:cs="Times New Roman"/>
                <w:b/>
                <w:color w:val="000000"/>
                <w:sz w:val="24"/>
                <w:szCs w:val="24"/>
              </w:rPr>
              <w:t xml:space="preserve"> використання води населенням громади</w:t>
            </w:r>
          </w:p>
        </w:tc>
      </w:tr>
      <w:tr w:rsidR="00C82386" w14:paraId="1C546DC1" w14:textId="77777777" w:rsidTr="007F2B4D">
        <w:tc>
          <w:tcPr>
            <w:tcW w:w="2095" w:type="dxa"/>
          </w:tcPr>
          <w:p w14:paraId="77A2A33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355B5CA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0CFE420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11377B0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1876B04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2C0AE5F7" w14:textId="77777777" w:rsidTr="007F2B4D">
        <w:tc>
          <w:tcPr>
            <w:tcW w:w="2095" w:type="dxa"/>
          </w:tcPr>
          <w:p w14:paraId="6E034B2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0F67AA75"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Впровадження комплексу заходів щодо екологізації водогосподарського комплексу:</w:t>
            </w:r>
          </w:p>
          <w:p w14:paraId="17030B78"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впровадження технологій скорочення питомих витрат води на одиницю продукції;</w:t>
            </w:r>
          </w:p>
          <w:p w14:paraId="6ADBC093"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розроблення та здійснення кожним підприємством/установою </w:t>
            </w:r>
            <w:r>
              <w:rPr>
                <w:rFonts w:ascii="Times New Roman" w:eastAsia="Times New Roman" w:hAnsi="Times New Roman" w:cs="Times New Roman"/>
                <w:sz w:val="24"/>
                <w:szCs w:val="24"/>
              </w:rPr>
              <w:t>водозберігаючих</w:t>
            </w:r>
            <w:r>
              <w:rPr>
                <w:rFonts w:ascii="Times New Roman" w:eastAsia="Times New Roman" w:hAnsi="Times New Roman" w:cs="Times New Roman"/>
                <w:color w:val="000000"/>
                <w:sz w:val="24"/>
                <w:szCs w:val="24"/>
              </w:rPr>
              <w:t xml:space="preserve"> і водоохоронних заходів;</w:t>
            </w:r>
          </w:p>
          <w:p w14:paraId="0B77BA45"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удосконалення систем лімітування та моніторингу витрат і якості води;</w:t>
            </w:r>
          </w:p>
          <w:p w14:paraId="0B31AE14"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обладнання житлового фонду водомірними пристроями та регуляторами тиску;</w:t>
            </w:r>
          </w:p>
          <w:p w14:paraId="0BEFF3E9"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ліквідація втрат і непродуктивних витрат води;</w:t>
            </w:r>
          </w:p>
          <w:p w14:paraId="0F6CDF6E"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реалізація поетапної заміни водоощадних насадок на кранах в об’єктах соціальної інфраструктури та громадських місцях;</w:t>
            </w:r>
          </w:p>
          <w:p w14:paraId="5EC431C3"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моніторинг якості напору подачі води.</w:t>
            </w:r>
          </w:p>
          <w:p w14:paraId="27B5E586"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Інформування населення про способи можливої економії води, наприклад, при використанні спеціальних домішувачів кисню на крани та душові насадки.</w:t>
            </w:r>
          </w:p>
          <w:p w14:paraId="08331DCD"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Організація регулярного моніторингу водних джерел громади, що є популярними у населення, а саме: інформування населення про хімічний склад джерельної води, встановлення інформаційних таблиць поблизу джерел.</w:t>
            </w:r>
          </w:p>
        </w:tc>
      </w:tr>
      <w:tr w:rsidR="00C82386" w14:paraId="1DF624F5" w14:textId="77777777" w:rsidTr="007F2B4D">
        <w:tc>
          <w:tcPr>
            <w:tcW w:w="2095" w:type="dxa"/>
          </w:tcPr>
          <w:p w14:paraId="3924F9D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5A908C8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66C33C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300BCC4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FA8E8C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3C1D7E62" w14:textId="77777777" w:rsidTr="007F2B4D">
        <w:tc>
          <w:tcPr>
            <w:tcW w:w="2095" w:type="dxa"/>
          </w:tcPr>
          <w:p w14:paraId="06F4939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FCFA1E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0B824F9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2135254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0EE32C0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15047DAD" w14:textId="77777777" w:rsidTr="007F2B4D">
        <w:tc>
          <w:tcPr>
            <w:tcW w:w="2095" w:type="dxa"/>
          </w:tcPr>
          <w:p w14:paraId="52864E0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056BD62F"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міських цільових програм</w:t>
            </w:r>
          </w:p>
        </w:tc>
      </w:tr>
      <w:tr w:rsidR="00C82386" w14:paraId="36418565" w14:textId="77777777" w:rsidTr="007F2B4D">
        <w:tc>
          <w:tcPr>
            <w:tcW w:w="2095" w:type="dxa"/>
          </w:tcPr>
          <w:p w14:paraId="68561CF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4AA1A4F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25EE0455" w14:textId="77777777" w:rsidTr="007F2B4D">
        <w:tc>
          <w:tcPr>
            <w:tcW w:w="2095" w:type="dxa"/>
          </w:tcPr>
          <w:p w14:paraId="0AA7575A"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50CEBB23"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екстремальне тепло, екстремальні опади: злива, снігопади, град; підвищення рівня води, низові пожежі, інфекційні захворювання та алергічні прояви</w:t>
            </w:r>
          </w:p>
        </w:tc>
      </w:tr>
      <w:tr w:rsidR="00C82386" w14:paraId="5DF2D8A7" w14:textId="77777777" w:rsidTr="007F2B4D">
        <w:tc>
          <w:tcPr>
            <w:tcW w:w="2095" w:type="dxa"/>
          </w:tcPr>
          <w:p w14:paraId="372909D2" w14:textId="77777777" w:rsidR="00C82386" w:rsidRDefault="00E66F64">
            <w:pPr>
              <w:spacing w:after="0" w:line="240" w:lineRule="auto"/>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Вплив на сектори</w:t>
            </w:r>
          </w:p>
        </w:tc>
        <w:tc>
          <w:tcPr>
            <w:tcW w:w="7407" w:type="dxa"/>
            <w:gridSpan w:val="4"/>
          </w:tcPr>
          <w:p w14:paraId="3C6A8811" w14:textId="77777777" w:rsidR="00C82386" w:rsidRDefault="00E66F64">
            <w:pPr>
              <w:spacing w:after="0" w:line="240" w:lineRule="auto"/>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rPr>
              <w:t>водні ресурси</w:t>
            </w:r>
          </w:p>
        </w:tc>
      </w:tr>
      <w:tr w:rsidR="00C82386" w14:paraId="1D82FC92" w14:textId="77777777" w:rsidTr="007F2B4D">
        <w:tc>
          <w:tcPr>
            <w:tcW w:w="2095" w:type="dxa"/>
          </w:tcPr>
          <w:p w14:paraId="486E6EC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4F9BFE7D" w14:textId="77777777" w:rsidR="00C82386" w:rsidRDefault="00E66F64">
            <w:pPr>
              <w:spacing w:after="0" w:line="240" w:lineRule="auto"/>
              <w:rPr>
                <w:rFonts w:ascii="Times New Roman" w:eastAsia="Times New Roman" w:hAnsi="Times New Roman" w:cs="Times New Roman"/>
                <w:color w:val="000000"/>
                <w:sz w:val="24"/>
                <w:szCs w:val="24"/>
              </w:rPr>
            </w:pPr>
            <w:bookmarkStart w:id="96" w:name="_heading=h.4du1wux" w:colFirst="0" w:colLast="0"/>
            <w:bookmarkEnd w:id="96"/>
            <w:r>
              <w:rPr>
                <w:rFonts w:ascii="Times New Roman" w:eastAsia="Times New Roman" w:hAnsi="Times New Roman" w:cs="Times New Roman"/>
                <w:color w:val="000000"/>
                <w:sz w:val="24"/>
                <w:szCs w:val="24"/>
              </w:rPr>
              <w:t>Менше 30% втрат води в мережах</w:t>
            </w:r>
          </w:p>
          <w:p w14:paraId="2E7EDE7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 впроваджено сучасних технологій контролю та моніторингу стану трубопроводів.</w:t>
            </w:r>
          </w:p>
          <w:p w14:paraId="5429925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100% споживачів послуг КП «Житомирводоканал» Житомирської міської ради </w:t>
            </w:r>
            <w:r>
              <w:rPr>
                <w:rFonts w:ascii="Times New Roman" w:eastAsia="Times New Roman" w:hAnsi="Times New Roman" w:cs="Times New Roman"/>
                <w:sz w:val="24"/>
                <w:szCs w:val="24"/>
              </w:rPr>
              <w:t>запроваджено</w:t>
            </w:r>
            <w:r>
              <w:rPr>
                <w:rFonts w:ascii="Times New Roman" w:eastAsia="Times New Roman" w:hAnsi="Times New Roman" w:cs="Times New Roman"/>
                <w:color w:val="000000"/>
                <w:sz w:val="24"/>
                <w:szCs w:val="24"/>
              </w:rPr>
              <w:t xml:space="preserve"> цифрове управління водопостачанням та водовідведенням.</w:t>
            </w:r>
          </w:p>
          <w:p w14:paraId="59E0BB6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Налагоджено регулярний моніторинг водних джерел громади.</w:t>
            </w:r>
          </w:p>
        </w:tc>
      </w:tr>
      <w:tr w:rsidR="00C82386" w14:paraId="5D16B823" w14:textId="77777777" w:rsidTr="007F2B4D">
        <w:tc>
          <w:tcPr>
            <w:tcW w:w="2095" w:type="dxa"/>
          </w:tcPr>
          <w:p w14:paraId="45203AD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007D2C3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4BA2F55A" w14:textId="77777777" w:rsidR="00C82386" w:rsidRDefault="00C82386">
      <w:pPr>
        <w:jc w:val="both"/>
        <w:rPr>
          <w:rFonts w:ascii="Times New Roman" w:eastAsia="Times New Roman" w:hAnsi="Times New Roman" w:cs="Times New Roman"/>
          <w:sz w:val="24"/>
          <w:szCs w:val="24"/>
          <w:u w:val="single"/>
        </w:rPr>
      </w:pPr>
    </w:p>
    <w:tbl>
      <w:tblPr>
        <w:tblStyle w:val="afffffff9"/>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447E349F" w14:textId="77777777" w:rsidTr="007F2B4D">
        <w:tc>
          <w:tcPr>
            <w:tcW w:w="1953" w:type="dxa"/>
          </w:tcPr>
          <w:p w14:paraId="45AB4C72" w14:textId="77777777" w:rsidR="00C82386" w:rsidRDefault="00E66F64">
            <w:pPr>
              <w:spacing w:after="0" w:line="240" w:lineRule="auto"/>
              <w:rPr>
                <w:rFonts w:ascii="Times New Roman" w:eastAsia="Times New Roman" w:hAnsi="Times New Roman" w:cs="Times New Roman"/>
                <w:b/>
                <w:color w:val="000000"/>
                <w:sz w:val="24"/>
                <w:szCs w:val="24"/>
              </w:rPr>
            </w:pPr>
            <w:bookmarkStart w:id="97" w:name="_heading=h.2szc72q" w:colFirst="0" w:colLast="0"/>
            <w:bookmarkEnd w:id="97"/>
            <w:r>
              <w:rPr>
                <w:rFonts w:ascii="Times New Roman" w:eastAsia="Times New Roman" w:hAnsi="Times New Roman" w:cs="Times New Roman"/>
                <w:b/>
                <w:color w:val="000000"/>
                <w:sz w:val="24"/>
                <w:szCs w:val="24"/>
              </w:rPr>
              <w:t>Назва заходу</w:t>
            </w:r>
          </w:p>
        </w:tc>
        <w:tc>
          <w:tcPr>
            <w:tcW w:w="7407" w:type="dxa"/>
            <w:gridSpan w:val="4"/>
          </w:tcPr>
          <w:p w14:paraId="57A08795"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2.9 Використання дощової води для охолодження простору</w:t>
            </w:r>
          </w:p>
        </w:tc>
      </w:tr>
      <w:tr w:rsidR="00C82386" w14:paraId="52A9C81E" w14:textId="77777777" w:rsidTr="007F2B4D">
        <w:tc>
          <w:tcPr>
            <w:tcW w:w="1953" w:type="dxa"/>
          </w:tcPr>
          <w:p w14:paraId="38B59B4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2A1261F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1E43ECB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2EDBCDC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Житомирської міської ради</w:t>
            </w:r>
          </w:p>
          <w:p w14:paraId="4171AA0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40948F8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«Зеленбуд» Житомирської міської ради</w:t>
            </w:r>
          </w:p>
          <w:p w14:paraId="1E52343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344BA1BB" w14:textId="77777777" w:rsidTr="007F2B4D">
        <w:tc>
          <w:tcPr>
            <w:tcW w:w="1953" w:type="dxa"/>
          </w:tcPr>
          <w:p w14:paraId="566F123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7E19E632"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Розробка комплексного плану утримання опадів (дощової води) за рахунок трав’яного покрову парків, скверів, автостоянок, ігрових і спортивних майданчиків, інших відкритих просторів для утримання/проміжного зберігання дощової води.</w:t>
            </w:r>
          </w:p>
          <w:p w14:paraId="42A10ACB" w14:textId="77777777" w:rsidR="00C82386" w:rsidRPr="00942683"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942683">
              <w:rPr>
                <w:rFonts w:ascii="Times New Roman" w:eastAsia="Times New Roman" w:hAnsi="Times New Roman" w:cs="Times New Roman"/>
                <w:color w:val="000000"/>
                <w:sz w:val="24"/>
                <w:szCs w:val="24"/>
              </w:rPr>
              <w:t>Розробка плану розгерметизації відкритих земельних ділянок.</w:t>
            </w:r>
          </w:p>
          <w:p w14:paraId="3727E6B0" w14:textId="77777777" w:rsidR="00C82386" w:rsidRPr="00942683"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 Створення дощових парків, садків і канав на ділянках озеленення поблизу місць підтоплення інфраструктури громади.</w:t>
            </w:r>
          </w:p>
          <w:p w14:paraId="10C9B8B8" w14:textId="77777777" w:rsidR="00C82386" w:rsidRPr="00942683"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lastRenderedPageBreak/>
              <w:t xml:space="preserve"> Організація системи збору води навколо дерев із фільтраційним і дренажним шаром при реконструкції/будівництві зелених зон громади.</w:t>
            </w:r>
          </w:p>
          <w:p w14:paraId="25C028F6" w14:textId="77777777" w:rsidR="00C82386" w:rsidRPr="00942683"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 Облаштування буферних зон між проїжджою частиною та тротуаром у вигляді дощових канав зі спеціально підібраними видами рослинності для поглинання та накопичення опадів під час проведення капітального ремонту доріг.</w:t>
            </w:r>
          </w:p>
          <w:p w14:paraId="57F02F18"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t xml:space="preserve"> </w:t>
            </w:r>
            <w:r w:rsidRPr="00942683">
              <w:rPr>
                <w:rFonts w:ascii="Times New Roman" w:eastAsia="Times New Roman" w:hAnsi="Times New Roman" w:cs="Times New Roman"/>
                <w:sz w:val="24"/>
                <w:szCs w:val="24"/>
              </w:rPr>
              <w:t>Забезпечення</w:t>
            </w:r>
            <w:r w:rsidRPr="00942683">
              <w:rPr>
                <w:rFonts w:ascii="Times New Roman" w:eastAsia="Times New Roman" w:hAnsi="Times New Roman" w:cs="Times New Roman"/>
                <w:color w:val="000000"/>
                <w:sz w:val="24"/>
                <w:szCs w:val="24"/>
              </w:rPr>
              <w:t xml:space="preserve"> КП «Зеленбуд» Житомирської міської ради спеціалізованими технічними засобами, </w:t>
            </w:r>
            <w:r w:rsidRPr="00942683">
              <w:rPr>
                <w:rFonts w:ascii="Times New Roman" w:eastAsia="Times New Roman" w:hAnsi="Times New Roman" w:cs="Times New Roman"/>
                <w:sz w:val="24"/>
                <w:szCs w:val="24"/>
              </w:rPr>
              <w:t>пристроями</w:t>
            </w:r>
            <w:r w:rsidRPr="00942683">
              <w:rPr>
                <w:rFonts w:ascii="Times New Roman" w:eastAsia="Times New Roman" w:hAnsi="Times New Roman" w:cs="Times New Roman"/>
                <w:color w:val="000000"/>
                <w:sz w:val="24"/>
                <w:szCs w:val="24"/>
              </w:rPr>
              <w:t xml:space="preserve"> та організація навчання персоналу КП «Зеленбуд» Житомирської міської ради поводженню із зеленими насадженнями в умовах</w:t>
            </w:r>
            <w:r>
              <w:rPr>
                <w:rFonts w:ascii="Times New Roman" w:eastAsia="Times New Roman" w:hAnsi="Times New Roman" w:cs="Times New Roman"/>
                <w:color w:val="000000"/>
                <w:sz w:val="24"/>
                <w:szCs w:val="24"/>
              </w:rPr>
              <w:t xml:space="preserve"> сильної спеки та необхідності утримання опадів.</w:t>
            </w:r>
          </w:p>
        </w:tc>
      </w:tr>
      <w:tr w:rsidR="00C82386" w14:paraId="417F5D28" w14:textId="77777777" w:rsidTr="007F2B4D">
        <w:tc>
          <w:tcPr>
            <w:tcW w:w="1953" w:type="dxa"/>
          </w:tcPr>
          <w:p w14:paraId="54885FF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0ED7840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CF15BA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5255342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29BFE34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306E26AF" w14:textId="77777777" w:rsidTr="007F2B4D">
        <w:tc>
          <w:tcPr>
            <w:tcW w:w="1953" w:type="dxa"/>
          </w:tcPr>
          <w:p w14:paraId="4E25A81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15AF3F8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7F259D9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611CCCB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містобудування та земельних відносин ЖМР</w:t>
            </w:r>
          </w:p>
          <w:p w14:paraId="28E5FD9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капітального будівництва Житомирської міської ради</w:t>
            </w:r>
          </w:p>
          <w:p w14:paraId="1A3F634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«Зеленбуд» Житомирської міської ради</w:t>
            </w:r>
          </w:p>
          <w:p w14:paraId="0CD05C3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tc>
      </w:tr>
      <w:tr w:rsidR="00C82386" w14:paraId="19DE72AA" w14:textId="77777777" w:rsidTr="007F2B4D">
        <w:tc>
          <w:tcPr>
            <w:tcW w:w="1953" w:type="dxa"/>
          </w:tcPr>
          <w:p w14:paraId="0CCEE1B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77B5F0A9"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5657F1A7" w14:textId="77777777" w:rsidTr="007F2B4D">
        <w:tc>
          <w:tcPr>
            <w:tcW w:w="1953" w:type="dxa"/>
          </w:tcPr>
          <w:p w14:paraId="05E1B38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3EB2399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680BD22F" w14:textId="77777777" w:rsidTr="007F2B4D">
        <w:tc>
          <w:tcPr>
            <w:tcW w:w="1953" w:type="dxa"/>
          </w:tcPr>
          <w:p w14:paraId="06DE7C6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2057EC2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екстремальне тепло, екстремальні опади: злива, снігопади, град; підвищення рівня води, </w:t>
            </w:r>
          </w:p>
        </w:tc>
      </w:tr>
      <w:tr w:rsidR="00C82386" w14:paraId="498CD0BD" w14:textId="77777777" w:rsidTr="007F2B4D">
        <w:tc>
          <w:tcPr>
            <w:tcW w:w="1953" w:type="dxa"/>
            <w:shd w:val="clear" w:color="auto" w:fill="auto"/>
          </w:tcPr>
          <w:p w14:paraId="288B477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Вплив на сектори</w:t>
            </w:r>
          </w:p>
        </w:tc>
        <w:tc>
          <w:tcPr>
            <w:tcW w:w="7407" w:type="dxa"/>
            <w:gridSpan w:val="4"/>
          </w:tcPr>
          <w:p w14:paraId="02426E4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3309C3BC" w14:textId="77777777" w:rsidTr="007F2B4D">
        <w:tc>
          <w:tcPr>
            <w:tcW w:w="1953" w:type="dxa"/>
          </w:tcPr>
          <w:p w14:paraId="3A30B8A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7A29C9C4" w14:textId="77777777" w:rsidR="00C82386" w:rsidRDefault="00E66F64">
            <w:pPr>
              <w:pBdr>
                <w:top w:val="nil"/>
                <w:left w:val="nil"/>
                <w:bottom w:val="nil"/>
                <w:right w:val="nil"/>
                <w:between w:val="nil"/>
              </w:pBdr>
              <w:tabs>
                <w:tab w:val="left" w:pos="426"/>
              </w:tabs>
              <w:spacing w:after="0" w:line="240" w:lineRule="auto"/>
              <w:ind w:left="77"/>
              <w:jc w:val="both"/>
              <w:rPr>
                <w:rFonts w:ascii="Times New Roman" w:eastAsia="Times New Roman" w:hAnsi="Times New Roman" w:cs="Times New Roman"/>
                <w:color w:val="000000"/>
                <w:sz w:val="24"/>
                <w:szCs w:val="24"/>
              </w:rPr>
            </w:pPr>
            <w:bookmarkStart w:id="98" w:name="_heading=h.184mhaj" w:colFirst="0" w:colLast="0"/>
            <w:bookmarkEnd w:id="98"/>
            <w:r>
              <w:rPr>
                <w:rFonts w:ascii="Times New Roman" w:eastAsia="Times New Roman" w:hAnsi="Times New Roman" w:cs="Times New Roman"/>
                <w:color w:val="000000"/>
                <w:sz w:val="24"/>
                <w:szCs w:val="24"/>
              </w:rPr>
              <w:t>Розроблено комплексний план утримання опадів (дощової води) за рахунок трав’яного покрову парків, скверів, автостоянок, ігрових і спортивних майданчиків, інших відкритих просторів для утримання/проміжного зберігання дощової води.</w:t>
            </w:r>
          </w:p>
          <w:p w14:paraId="302E6D40" w14:textId="77777777" w:rsidR="00C82386" w:rsidRDefault="00E66F64">
            <w:pPr>
              <w:pBdr>
                <w:top w:val="nil"/>
                <w:left w:val="nil"/>
                <w:bottom w:val="nil"/>
                <w:right w:val="nil"/>
                <w:between w:val="nil"/>
              </w:pBdr>
              <w:tabs>
                <w:tab w:val="left" w:pos="426"/>
              </w:tabs>
              <w:spacing w:after="0" w:line="240" w:lineRule="auto"/>
              <w:ind w:left="7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Реалізовано мінімум 1 проєкт з впровадження інноваційних підходів для управління дощовими водами.</w:t>
            </w:r>
          </w:p>
          <w:p w14:paraId="0021EC46" w14:textId="77777777" w:rsidR="00C82386" w:rsidRDefault="00E66F6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план розгерметизації міського простору (зменшення площі штучних водонепроникних поверхонь)</w:t>
            </w:r>
          </w:p>
          <w:p w14:paraId="3071D980" w14:textId="77777777" w:rsidR="00C82386" w:rsidRDefault="00E66F6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Створено 4 дощових парків, </w:t>
            </w:r>
            <w:r>
              <w:rPr>
                <w:rFonts w:ascii="Times New Roman" w:eastAsia="Times New Roman" w:hAnsi="Times New Roman" w:cs="Times New Roman"/>
                <w:sz w:val="24"/>
                <w:szCs w:val="24"/>
              </w:rPr>
              <w:t>садів</w:t>
            </w:r>
            <w:r>
              <w:rPr>
                <w:rFonts w:ascii="Times New Roman" w:eastAsia="Times New Roman" w:hAnsi="Times New Roman" w:cs="Times New Roman"/>
                <w:color w:val="000000"/>
                <w:sz w:val="24"/>
                <w:szCs w:val="24"/>
              </w:rPr>
              <w:t xml:space="preserve"> і канав на ділянках озеленення поблизу місць підтоплення інфраструктури громади.</w:t>
            </w:r>
          </w:p>
          <w:p w14:paraId="1AB1D374" w14:textId="77777777" w:rsidR="00C82386" w:rsidRDefault="00E66F64">
            <w:pPr>
              <w:pBdr>
                <w:top w:val="nil"/>
                <w:left w:val="nil"/>
                <w:bottom w:val="nil"/>
                <w:right w:val="nil"/>
                <w:between w:val="nil"/>
              </w:pBdr>
              <w:tabs>
                <w:tab w:val="left" w:pos="426"/>
              </w:tabs>
              <w:spacing w:after="0" w:line="240" w:lineRule="auto"/>
              <w:ind w:left="7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Облаштовано 6 буферних зон між проїжджою частиною та тротуаром у вигляді дощових канав зі спеціально підібраними видами рослинності для поглинання та накопичення опадів.</w:t>
            </w:r>
          </w:p>
        </w:tc>
      </w:tr>
      <w:tr w:rsidR="00C82386" w14:paraId="08451DF4" w14:textId="77777777" w:rsidTr="007F2B4D">
        <w:tc>
          <w:tcPr>
            <w:tcW w:w="1953" w:type="dxa"/>
          </w:tcPr>
          <w:p w14:paraId="18A6DEC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54BD968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5E9AC9BE" w14:textId="77777777" w:rsidR="00C82386" w:rsidRDefault="00C82386">
      <w:pPr>
        <w:jc w:val="both"/>
        <w:rPr>
          <w:rFonts w:ascii="Times New Roman" w:eastAsia="Times New Roman" w:hAnsi="Times New Roman" w:cs="Times New Roman"/>
          <w:sz w:val="24"/>
          <w:szCs w:val="24"/>
          <w:u w:val="single"/>
        </w:rPr>
      </w:pPr>
    </w:p>
    <w:tbl>
      <w:tblPr>
        <w:tblStyle w:val="afffffffa"/>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02C29411" w14:textId="77777777" w:rsidTr="007F2B4D">
        <w:tc>
          <w:tcPr>
            <w:tcW w:w="1953" w:type="dxa"/>
          </w:tcPr>
          <w:p w14:paraId="733A6F63" w14:textId="77777777" w:rsidR="00C82386" w:rsidRDefault="00E66F64">
            <w:pPr>
              <w:spacing w:after="0" w:line="240" w:lineRule="auto"/>
              <w:rPr>
                <w:rFonts w:ascii="Times New Roman" w:eastAsia="Times New Roman" w:hAnsi="Times New Roman" w:cs="Times New Roman"/>
                <w:b/>
                <w:color w:val="000000"/>
                <w:sz w:val="24"/>
                <w:szCs w:val="24"/>
              </w:rPr>
            </w:pPr>
            <w:bookmarkStart w:id="99" w:name="_heading=h.3s49zyc" w:colFirst="0" w:colLast="0"/>
            <w:bookmarkEnd w:id="99"/>
            <w:r>
              <w:rPr>
                <w:rFonts w:ascii="Times New Roman" w:eastAsia="Times New Roman" w:hAnsi="Times New Roman" w:cs="Times New Roman"/>
                <w:b/>
                <w:color w:val="000000"/>
                <w:sz w:val="24"/>
                <w:szCs w:val="24"/>
              </w:rPr>
              <w:t>Назва заходу</w:t>
            </w:r>
          </w:p>
        </w:tc>
        <w:tc>
          <w:tcPr>
            <w:tcW w:w="7407" w:type="dxa"/>
            <w:gridSpan w:val="4"/>
          </w:tcPr>
          <w:p w14:paraId="23D0225A"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2.10 Модернізація очисних споруд та системи водовідведення</w:t>
            </w:r>
          </w:p>
        </w:tc>
      </w:tr>
      <w:tr w:rsidR="00C82386" w14:paraId="72048BB1" w14:textId="77777777" w:rsidTr="007F2B4D">
        <w:tc>
          <w:tcPr>
            <w:tcW w:w="1953" w:type="dxa"/>
          </w:tcPr>
          <w:p w14:paraId="7DB6FA9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6FB81EF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0589C03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10A055B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08870584" w14:textId="77777777" w:rsidTr="007F2B4D">
        <w:tc>
          <w:tcPr>
            <w:tcW w:w="1953" w:type="dxa"/>
          </w:tcPr>
          <w:p w14:paraId="336FF31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68CCD76C"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зменшення забруднення водних об'єктів необхідне виключення скидів неочищених стоків (включно дощових та талих стоків) у річки Руденка, Крошенка, Кам'янка, Тетерів, Путятинка та заболочені пониження рельєфу. Для цього необхідно :</w:t>
            </w:r>
          </w:p>
          <w:p w14:paraId="15713AEE" w14:textId="77777777" w:rsidR="00C82386" w:rsidRPr="00942683"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sidRPr="00942683">
              <w:rPr>
                <w:rFonts w:ascii="Times New Roman" w:eastAsia="Times New Roman" w:hAnsi="Times New Roman" w:cs="Times New Roman"/>
                <w:color w:val="000000"/>
                <w:sz w:val="24"/>
                <w:szCs w:val="24"/>
              </w:rPr>
              <w:lastRenderedPageBreak/>
              <w:t xml:space="preserve">провести повну інвентаризацію, картографування, оцифрування та влаштування (по можливості) на випусках зливової мережі очисних споруд. Всього на території м. Житомира нараховується близько 90 скидів стоку до водних об'єктів, із яких 42 на обслуговуванні КП "ЕШС". </w:t>
            </w:r>
          </w:p>
          <w:p w14:paraId="33EE7721"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та будівництво централізованої мережі господарсько-побутової каналізації в окремих мікрорайонах міста (Крошня, Смоківка, Затишшя, Мальованка), що мають централізоване водопостачання з метою уникнення скидів неочищених стоків у малі річки.</w:t>
            </w:r>
          </w:p>
          <w:p w14:paraId="5E5D0F71"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Систематичне проведення модернізації наявної та будівництво нової зливної міської каналізаційної системи для прийняття значної кількості води під час зливових опадів,  включно з територіями садибної забудови. </w:t>
            </w:r>
          </w:p>
          <w:p w14:paraId="332655D1"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Забезпечити утримання в належному стані об'єктів, задіяних в прийомі поверхневих стоків в дощову каналізацію, штучних споруд, мостів та шляхопроводів. Особливої уваги потребує вул. Київське шосе, на якій дощоприймальні колодязі випускають стоків у канави в обидва боки від проїзної частини вулиці на територію житлових кварталів, аеропорту;  вул. Параджанова у бік аеропорту  - існуючий колектор, який проходить територією аеропорту, замулено та підтоплено, він потребує реконструкції. Відсутнє очищення стоків дощового колектору льонокомбінату, до якого підключені стоки з території прилеглих підприємств (м'ясокомбінату, Житомир-Агробудіндустрія, АТП та інші) . </w:t>
            </w:r>
          </w:p>
          <w:p w14:paraId="60B6FEC0"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Утримання та поточний ремонт зливових мереж та штучних споруд на внутрішньо</w:t>
            </w:r>
            <w:r w:rsidR="00BB7F7E">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квартальних та прибудинкових територіях; поточний ремонт зливоприймальних решіток та люків оглядових колодязів підземних інженерних мереж.</w:t>
            </w:r>
          </w:p>
          <w:p w14:paraId="6758050F"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Потребують реконструкції очисні споруди дощової каналізації в районі військового містечка по вул. Героїв Десантників, в районі вул. Слобідської на які подаються поверхневі стоки з території Картонного комбінату. </w:t>
            </w:r>
          </w:p>
          <w:p w14:paraId="36C6ED36" w14:textId="77777777" w:rsidR="00C82386" w:rsidRDefault="00E66F64">
            <w:pPr>
              <w:numPr>
                <w:ilvl w:val="0"/>
                <w:numId w:val="66"/>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Заміна існуючого колектора на перетині вулиць Грушевського, Покровська: в період значних опадів та сніготанення спостерігається затоплення проїзної частини вулиць за рахунок </w:t>
            </w:r>
            <w:r>
              <w:rPr>
                <w:rFonts w:ascii="Times New Roman" w:eastAsia="Times New Roman" w:hAnsi="Times New Roman" w:cs="Times New Roman"/>
                <w:sz w:val="24"/>
                <w:szCs w:val="24"/>
              </w:rPr>
              <w:t>малого</w:t>
            </w:r>
            <w:r>
              <w:rPr>
                <w:rFonts w:ascii="Times New Roman" w:eastAsia="Times New Roman" w:hAnsi="Times New Roman" w:cs="Times New Roman"/>
                <w:color w:val="000000"/>
                <w:sz w:val="24"/>
                <w:szCs w:val="24"/>
              </w:rPr>
              <w:t xml:space="preserve"> діаметру існуючого колектора та його недостатньої пропускної спроможності.</w:t>
            </w:r>
          </w:p>
        </w:tc>
      </w:tr>
      <w:tr w:rsidR="00C82386" w14:paraId="28F1937B" w14:textId="77777777" w:rsidTr="007F2B4D">
        <w:tc>
          <w:tcPr>
            <w:tcW w:w="1953" w:type="dxa"/>
          </w:tcPr>
          <w:p w14:paraId="3EEB44B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62B7D6F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41BE2A8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377164D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14374F8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1F60306E" w14:textId="77777777" w:rsidTr="007F2B4D">
        <w:tc>
          <w:tcPr>
            <w:tcW w:w="1953" w:type="dxa"/>
          </w:tcPr>
          <w:p w14:paraId="56B38F1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4184D15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планується</w:t>
            </w:r>
          </w:p>
        </w:tc>
      </w:tr>
      <w:tr w:rsidR="00C82386" w14:paraId="1B9A8951" w14:textId="77777777" w:rsidTr="007F2B4D">
        <w:trPr>
          <w:trHeight w:val="893"/>
        </w:trPr>
        <w:tc>
          <w:tcPr>
            <w:tcW w:w="1953" w:type="dxa"/>
          </w:tcPr>
          <w:p w14:paraId="482EB16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42593E5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74B8B19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6C81097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p w14:paraId="2D5471B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tc>
      </w:tr>
      <w:tr w:rsidR="00C82386" w14:paraId="0237498C" w14:textId="77777777" w:rsidTr="007F2B4D">
        <w:tc>
          <w:tcPr>
            <w:tcW w:w="1953" w:type="dxa"/>
          </w:tcPr>
          <w:p w14:paraId="12929F2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1DEF5908"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00C341D8" w14:textId="77777777" w:rsidTr="007F2B4D">
        <w:tc>
          <w:tcPr>
            <w:tcW w:w="1953" w:type="dxa"/>
          </w:tcPr>
          <w:p w14:paraId="1E0D37D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7C23B42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08378BBA" w14:textId="77777777" w:rsidTr="007F2B4D">
        <w:tc>
          <w:tcPr>
            <w:tcW w:w="1953" w:type="dxa"/>
          </w:tcPr>
          <w:p w14:paraId="5DC1B0B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6AA6487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екстремальні опади: злива, снігопади, град; підвищення рівня води</w:t>
            </w:r>
          </w:p>
        </w:tc>
      </w:tr>
      <w:tr w:rsidR="00C82386" w14:paraId="02D2D7D3" w14:textId="77777777" w:rsidTr="007F2B4D">
        <w:tc>
          <w:tcPr>
            <w:tcW w:w="1953" w:type="dxa"/>
            <w:shd w:val="clear" w:color="auto" w:fill="auto"/>
          </w:tcPr>
          <w:p w14:paraId="55F8076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Вплив на сектори</w:t>
            </w:r>
          </w:p>
        </w:tc>
        <w:tc>
          <w:tcPr>
            <w:tcW w:w="7407" w:type="dxa"/>
            <w:gridSpan w:val="4"/>
          </w:tcPr>
          <w:p w14:paraId="2740FA6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029A6DBF" w14:textId="77777777" w:rsidTr="007F2B4D">
        <w:tc>
          <w:tcPr>
            <w:tcW w:w="1953" w:type="dxa"/>
          </w:tcPr>
          <w:p w14:paraId="6DAE790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Індикатор досягнутого результату</w:t>
            </w:r>
          </w:p>
        </w:tc>
        <w:tc>
          <w:tcPr>
            <w:tcW w:w="7407" w:type="dxa"/>
            <w:gridSpan w:val="4"/>
          </w:tcPr>
          <w:p w14:paraId="59666819"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100" w:name="_heading=h.279ka65" w:colFirst="0" w:colLast="0"/>
            <w:bookmarkEnd w:id="100"/>
            <w:r>
              <w:rPr>
                <w:rFonts w:ascii="Times New Roman" w:eastAsia="Times New Roman" w:hAnsi="Times New Roman" w:cs="Times New Roman"/>
                <w:color w:val="000000"/>
                <w:sz w:val="24"/>
                <w:szCs w:val="24"/>
              </w:rPr>
              <w:t>Проведено повну інвентаризацію та паспортизацію на випусках зливової мережі очисних споруд.</w:t>
            </w:r>
          </w:p>
          <w:p w14:paraId="48B47467" w14:textId="77777777" w:rsidR="00C82386" w:rsidRDefault="00E66F64">
            <w:pPr>
              <w:spacing w:after="0" w:line="240" w:lineRule="auto"/>
              <w:jc w:val="both"/>
              <w:rPr>
                <w:rFonts w:ascii="Times New Roman" w:eastAsia="Times New Roman" w:hAnsi="Times New Roman" w:cs="Times New Roman"/>
                <w:color w:val="000000"/>
                <w:sz w:val="24"/>
                <w:szCs w:val="24"/>
              </w:rPr>
            </w:pPr>
            <w:bookmarkStart w:id="101" w:name="_heading=h.meukdy" w:colFirst="0" w:colLast="0"/>
            <w:bookmarkEnd w:id="101"/>
            <w:r>
              <w:rPr>
                <w:rFonts w:ascii="Times New Roman" w:eastAsia="Times New Roman" w:hAnsi="Times New Roman" w:cs="Times New Roman"/>
                <w:color w:val="000000"/>
                <w:sz w:val="24"/>
                <w:szCs w:val="24"/>
              </w:rPr>
              <w:t>20 підприємств громади оснащені локальними очисними спорудами</w:t>
            </w:r>
          </w:p>
          <w:p w14:paraId="4DE26DC8"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 виконано план реконструкції каналізаційних очисних споруд</w:t>
            </w:r>
          </w:p>
        </w:tc>
      </w:tr>
      <w:tr w:rsidR="00C82386" w14:paraId="77CB0A2A" w14:textId="77777777" w:rsidTr="007F2B4D">
        <w:tc>
          <w:tcPr>
            <w:tcW w:w="1953" w:type="dxa"/>
          </w:tcPr>
          <w:p w14:paraId="7970F4E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7D711F4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4351DFD3" w14:textId="77777777" w:rsidR="00C82386" w:rsidRDefault="00C82386">
      <w:pPr>
        <w:jc w:val="both"/>
        <w:rPr>
          <w:rFonts w:ascii="Times New Roman" w:eastAsia="Times New Roman" w:hAnsi="Times New Roman" w:cs="Times New Roman"/>
          <w:sz w:val="24"/>
          <w:szCs w:val="24"/>
        </w:rPr>
      </w:pPr>
    </w:p>
    <w:tbl>
      <w:tblPr>
        <w:tblStyle w:val="afffffffb"/>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7E9273E3" w14:textId="77777777" w:rsidTr="007F2B4D">
        <w:tc>
          <w:tcPr>
            <w:tcW w:w="1953" w:type="dxa"/>
          </w:tcPr>
          <w:p w14:paraId="3704712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4075B44B"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2.11 Модернізація систем водопостачання</w:t>
            </w:r>
          </w:p>
        </w:tc>
      </w:tr>
      <w:tr w:rsidR="00C82386" w14:paraId="436CB604" w14:textId="77777777" w:rsidTr="007F2B4D">
        <w:tc>
          <w:tcPr>
            <w:tcW w:w="1953" w:type="dxa"/>
          </w:tcPr>
          <w:p w14:paraId="5374D91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44B8B9C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7DBC7F4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tc>
      </w:tr>
      <w:tr w:rsidR="00C82386" w14:paraId="54C2C0D0" w14:textId="77777777" w:rsidTr="007F2B4D">
        <w:tc>
          <w:tcPr>
            <w:tcW w:w="1953" w:type="dxa"/>
          </w:tcPr>
          <w:p w14:paraId="3C8F99D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6C0D6D2C"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Інвентаризація артезіанських свердловин на території міста та провести ліквідаційну тампонажу на таких, які занедбані і не підлягають відновленню, а несуть потенційну загрозу забруднення для підземного горизонту.</w:t>
            </w:r>
          </w:p>
          <w:p w14:paraId="5A22274B"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Роботи із очищення та поглиблення водосховища "Відсічне". </w:t>
            </w:r>
          </w:p>
          <w:p w14:paraId="6B4A6141"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Впровадження комплексу заходів щодо екологізації водогосподарського комплексу: </w:t>
            </w:r>
            <w:r>
              <w:rPr>
                <w:rFonts w:ascii="Times New Roman" w:eastAsia="Times New Roman" w:hAnsi="Times New Roman" w:cs="Times New Roman"/>
                <w:sz w:val="24"/>
                <w:szCs w:val="24"/>
              </w:rPr>
              <w:t>впровадження</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водозберігаючих</w:t>
            </w:r>
            <w:r>
              <w:rPr>
                <w:rFonts w:ascii="Times New Roman" w:eastAsia="Times New Roman" w:hAnsi="Times New Roman" w:cs="Times New Roman"/>
                <w:color w:val="000000"/>
                <w:sz w:val="24"/>
                <w:szCs w:val="24"/>
              </w:rPr>
              <w:t xml:space="preserve"> технологій, скорочення питомих витрат води на одиницю продукції, модернізація діючих та будівництво нових систем зворотного і повторного водопостачання, розроблення і здійснення кожним підприємством водозберiгаючих і водоохоронних заходів, удосконалення систем лімітування і моніторингу витрат і якості води.</w:t>
            </w:r>
          </w:p>
          <w:p w14:paraId="1F81E1DE" w14:textId="77777777" w:rsidR="00C82386" w:rsidRDefault="00E66F64">
            <w:pPr>
              <w:numPr>
                <w:ilvl w:val="0"/>
                <w:numId w:val="66"/>
              </w:numPr>
              <w:pBdr>
                <w:top w:val="nil"/>
                <w:left w:val="nil"/>
                <w:bottom w:val="nil"/>
                <w:right w:val="nil"/>
                <w:between w:val="nil"/>
              </w:pBdr>
              <w:tabs>
                <w:tab w:val="left" w:pos="426"/>
              </w:tabs>
              <w:spacing w:after="0" w:line="240" w:lineRule="auto"/>
              <w:ind w:left="77" w:hanging="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Вдосконалення системи подачі та розподілу води по території міста будівництвом нових та перекладкою або відновленням сучасними методами амортизованих водоводів і мереж, реконструкцією головних споруд, насосних станції тощо.</w:t>
            </w:r>
          </w:p>
        </w:tc>
      </w:tr>
      <w:tr w:rsidR="00C82386" w14:paraId="4045D077" w14:textId="77777777" w:rsidTr="007F2B4D">
        <w:tc>
          <w:tcPr>
            <w:tcW w:w="1953" w:type="dxa"/>
          </w:tcPr>
          <w:p w14:paraId="4E6BCA1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1835E9F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675CA4D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682D4B6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2CB1E90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470C5F77" w14:textId="77777777" w:rsidTr="007F2B4D">
        <w:tc>
          <w:tcPr>
            <w:tcW w:w="1953" w:type="dxa"/>
          </w:tcPr>
          <w:p w14:paraId="515B490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360DB60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планується</w:t>
            </w:r>
          </w:p>
        </w:tc>
      </w:tr>
      <w:tr w:rsidR="00C82386" w14:paraId="1907BEA8" w14:textId="77777777" w:rsidTr="007F2B4D">
        <w:tc>
          <w:tcPr>
            <w:tcW w:w="1953" w:type="dxa"/>
          </w:tcPr>
          <w:p w14:paraId="40B731E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4F02EE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3E83533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4F1CA58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«Житомирводоканал» Житомирської міської ради</w:t>
            </w:r>
          </w:p>
        </w:tc>
      </w:tr>
      <w:tr w:rsidR="00C82386" w14:paraId="064B7D0A" w14:textId="77777777" w:rsidTr="007F2B4D">
        <w:tc>
          <w:tcPr>
            <w:tcW w:w="1953" w:type="dxa"/>
          </w:tcPr>
          <w:p w14:paraId="592A01D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3B960BB2"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16973836" w14:textId="77777777" w:rsidTr="007F2B4D">
        <w:tc>
          <w:tcPr>
            <w:tcW w:w="1953" w:type="dxa"/>
          </w:tcPr>
          <w:p w14:paraId="1908A62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7BDADE8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67CE7A47" w14:textId="77777777" w:rsidTr="007F2B4D">
        <w:tc>
          <w:tcPr>
            <w:tcW w:w="1953" w:type="dxa"/>
          </w:tcPr>
          <w:p w14:paraId="4254236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30DEA0E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екстремальні опади: злива, снігопади, град; підвищення рівня води</w:t>
            </w:r>
          </w:p>
        </w:tc>
      </w:tr>
      <w:tr w:rsidR="00C82386" w14:paraId="22EF1DED" w14:textId="77777777" w:rsidTr="007F2B4D">
        <w:tc>
          <w:tcPr>
            <w:tcW w:w="1953" w:type="dxa"/>
            <w:shd w:val="clear" w:color="auto" w:fill="auto"/>
          </w:tcPr>
          <w:p w14:paraId="7735EBE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Вплив на сектори</w:t>
            </w:r>
          </w:p>
        </w:tc>
        <w:tc>
          <w:tcPr>
            <w:tcW w:w="7407" w:type="dxa"/>
            <w:gridSpan w:val="4"/>
          </w:tcPr>
          <w:p w14:paraId="6AA6FAC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w:t>
            </w:r>
          </w:p>
        </w:tc>
      </w:tr>
      <w:tr w:rsidR="00C82386" w14:paraId="7748333D" w14:textId="77777777" w:rsidTr="007F2B4D">
        <w:tc>
          <w:tcPr>
            <w:tcW w:w="1953" w:type="dxa"/>
          </w:tcPr>
          <w:p w14:paraId="4A5BD61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403093F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Проведено інвентаризацію артезіанських свердловин на території міста.</w:t>
            </w:r>
          </w:p>
          <w:p w14:paraId="22A8FDE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Паспортизація водойми річки Тетерів (виготовлення паспорту водного </w:t>
            </w:r>
            <w:r>
              <w:rPr>
                <w:rFonts w:ascii="Times New Roman" w:eastAsia="Times New Roman" w:hAnsi="Times New Roman" w:cs="Times New Roman"/>
                <w:sz w:val="24"/>
                <w:szCs w:val="24"/>
              </w:rPr>
              <w:t>об'єкту</w:t>
            </w:r>
            <w:r>
              <w:rPr>
                <w:rFonts w:ascii="Times New Roman" w:eastAsia="Times New Roman" w:hAnsi="Times New Roman" w:cs="Times New Roman"/>
                <w:color w:val="000000"/>
                <w:sz w:val="24"/>
                <w:szCs w:val="24"/>
              </w:rPr>
              <w:t xml:space="preserve"> водосховища Відсічне)</w:t>
            </w:r>
          </w:p>
          <w:p w14:paraId="4821C0A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Проведено роботи з очищення та поглиблення водосховища "Відсічне".</w:t>
            </w:r>
          </w:p>
          <w:p w14:paraId="51E91E9C"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100% підключення до каналізаційної мережі споживачів, що вже підключені до мережі водопостачання.</w:t>
            </w:r>
          </w:p>
        </w:tc>
      </w:tr>
      <w:tr w:rsidR="00C82386" w14:paraId="2C7B88DA" w14:textId="77777777" w:rsidTr="007F2B4D">
        <w:tc>
          <w:tcPr>
            <w:tcW w:w="1953" w:type="dxa"/>
          </w:tcPr>
          <w:p w14:paraId="27E2B2E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3EF7336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1A3DE0E6" w14:textId="77777777" w:rsidR="00C82386" w:rsidRDefault="00C82386">
      <w:pPr>
        <w:pBdr>
          <w:top w:val="nil"/>
          <w:left w:val="nil"/>
          <w:bottom w:val="nil"/>
          <w:right w:val="nil"/>
          <w:between w:val="nil"/>
        </w:pBdr>
        <w:ind w:left="142"/>
        <w:jc w:val="both"/>
        <w:rPr>
          <w:rFonts w:ascii="Times New Roman" w:eastAsia="Times New Roman" w:hAnsi="Times New Roman" w:cs="Times New Roman"/>
          <w:color w:val="000000"/>
          <w:sz w:val="24"/>
          <w:szCs w:val="24"/>
        </w:rPr>
      </w:pPr>
    </w:p>
    <w:tbl>
      <w:tblPr>
        <w:tblStyle w:val="afffffffc"/>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6EB223ED" w14:textId="77777777" w:rsidTr="007F2B4D">
        <w:tc>
          <w:tcPr>
            <w:tcW w:w="1953" w:type="dxa"/>
          </w:tcPr>
          <w:p w14:paraId="52E998E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Назва заходу</w:t>
            </w:r>
          </w:p>
        </w:tc>
        <w:tc>
          <w:tcPr>
            <w:tcW w:w="7407" w:type="dxa"/>
            <w:gridSpan w:val="4"/>
          </w:tcPr>
          <w:p w14:paraId="669B4BA7"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2.12 Запобігання підтоплення територій громади внаслідок підвищення рівня води, інтенсивних зливових опадів.</w:t>
            </w:r>
          </w:p>
        </w:tc>
      </w:tr>
      <w:tr w:rsidR="00C82386" w14:paraId="7C8F73CA" w14:textId="77777777" w:rsidTr="007F2B4D">
        <w:tc>
          <w:tcPr>
            <w:tcW w:w="1953" w:type="dxa"/>
          </w:tcPr>
          <w:p w14:paraId="4319284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372AAB9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з питань надзвичайних ситуацій та цивільного захисту населення Житомирської міської ради </w:t>
            </w:r>
          </w:p>
          <w:p w14:paraId="7B04C4F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0105627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комунального господарства Житомирської міської ради </w:t>
            </w:r>
          </w:p>
          <w:p w14:paraId="46A0541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p w14:paraId="0FC7BC4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tc>
      </w:tr>
      <w:tr w:rsidR="00C82386" w14:paraId="6727A120" w14:textId="77777777" w:rsidTr="007F2B4D">
        <w:tc>
          <w:tcPr>
            <w:tcW w:w="1953" w:type="dxa"/>
          </w:tcPr>
          <w:p w14:paraId="265A17D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6950D4D6"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на геопорталі Житомирської громади </w:t>
            </w:r>
            <w:r w:rsidR="00024608">
              <w:rPr>
                <w:rFonts w:ascii="Times New Roman" w:eastAsia="Times New Roman" w:hAnsi="Times New Roman" w:cs="Times New Roman"/>
                <w:color w:val="000000"/>
                <w:sz w:val="24"/>
                <w:szCs w:val="24"/>
              </w:rPr>
              <w:t xml:space="preserve">карти (моделі) </w:t>
            </w:r>
            <w:r>
              <w:rPr>
                <w:rFonts w:ascii="Times New Roman" w:eastAsia="Times New Roman" w:hAnsi="Times New Roman" w:cs="Times New Roman"/>
                <w:color w:val="000000"/>
                <w:sz w:val="24"/>
                <w:szCs w:val="24"/>
              </w:rPr>
              <w:t>з вразливих ділянок вулиць</w:t>
            </w:r>
            <w:r w:rsidR="00024608">
              <w:rPr>
                <w:rFonts w:ascii="Times New Roman" w:eastAsia="Times New Roman" w:hAnsi="Times New Roman" w:cs="Times New Roman"/>
                <w:color w:val="000000"/>
                <w:sz w:val="24"/>
                <w:szCs w:val="24"/>
              </w:rPr>
              <w:t>, які затоплюються після дощів</w:t>
            </w:r>
            <w:r>
              <w:rPr>
                <w:rFonts w:ascii="Times New Roman" w:eastAsia="Times New Roman" w:hAnsi="Times New Roman" w:cs="Times New Roman"/>
                <w:color w:val="000000"/>
                <w:sz w:val="24"/>
                <w:szCs w:val="24"/>
              </w:rPr>
              <w:t>.</w:t>
            </w:r>
          </w:p>
          <w:p w14:paraId="5D02181E"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Розробити механізм обов’язкового врахування можливих підтоплень територій під час планування забудови нових районів міста та ущільнення існуючої забудови на основі/з </w:t>
            </w:r>
            <w:r>
              <w:rPr>
                <w:rFonts w:ascii="Times New Roman" w:eastAsia="Times New Roman" w:hAnsi="Times New Roman" w:cs="Times New Roman"/>
                <w:sz w:val="24"/>
                <w:szCs w:val="24"/>
              </w:rPr>
              <w:t>урахуванням</w:t>
            </w:r>
            <w:r>
              <w:rPr>
                <w:rFonts w:ascii="Times New Roman" w:eastAsia="Times New Roman" w:hAnsi="Times New Roman" w:cs="Times New Roman"/>
                <w:color w:val="000000"/>
                <w:sz w:val="24"/>
                <w:szCs w:val="24"/>
              </w:rPr>
              <w:t xml:space="preserve"> даних карти (моделі) підтоплень. </w:t>
            </w:r>
          </w:p>
          <w:p w14:paraId="346412D6"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та широке поширення інформаційних матеріалів про те, як громадяни можуть підготуватися та захистити себе у період інтенсивних злив.</w:t>
            </w:r>
          </w:p>
          <w:p w14:paraId="7E3370B5"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та поширення карто-схем маршрутів проїзду у разі завалу деревами чи підтоплення окремих вулиць.</w:t>
            </w:r>
          </w:p>
          <w:p w14:paraId="1677CF36"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Надання консультацій спеціалістами (наприклад, Кліматичного офісу громади у разі його створення) мешканців і зацікавлених сторін щодо оцінки ризику затоплення окремих об’єктів (будинків, територій) і самостійного вжиття заходів обережності.</w:t>
            </w:r>
          </w:p>
          <w:p w14:paraId="0D54FD0C"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протиерозійних заходів, в тому числі організація відведення дощових вод, в першу чергу на ділянках на яких спостерігається розмив (вимивання) схилів: вул. Жуйка підходи до мостового переходу: постійно в період опадів за відсутності організації відведення поверхневих вод вимивається ґрунт під опорами та підмивається земляне полотно; вул. Леха Качинського, 20</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вул. Клосовського, 7</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Замкова гора.</w:t>
            </w:r>
          </w:p>
          <w:p w14:paraId="107C7234"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чергового водолазного обстеження конструкцій греблі за адресами: пров. Кривий, 10 а та в районі вул. Жуйка, 12</w:t>
            </w:r>
          </w:p>
          <w:p w14:paraId="1135FB40"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Капітальний ремонт водопідйомної греблі на р.</w:t>
            </w:r>
            <w:r w:rsidR="0002460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Тетерів у м. Житомирі .</w:t>
            </w:r>
          </w:p>
          <w:p w14:paraId="5EF48F3B" w14:textId="77777777" w:rsidR="00C82386" w:rsidRDefault="00E66F64">
            <w:pPr>
              <w:numPr>
                <w:ilvl w:val="0"/>
                <w:numId w:val="67"/>
              </w:numPr>
              <w:pBdr>
                <w:top w:val="nil"/>
                <w:left w:val="nil"/>
                <w:bottom w:val="nil"/>
                <w:right w:val="nil"/>
                <w:between w:val="nil"/>
              </w:pBdr>
              <w:tabs>
                <w:tab w:val="left" w:pos="426"/>
              </w:tabs>
              <w:spacing w:after="0" w:line="240" w:lineRule="auto"/>
              <w:ind w:left="218" w:hanging="2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Ремонт греблі на гідротехнічній споруді, що розташована за адресою провулок 2-й Кривий, 10-а.</w:t>
            </w:r>
          </w:p>
        </w:tc>
      </w:tr>
      <w:tr w:rsidR="00C82386" w14:paraId="54B706A2" w14:textId="77777777" w:rsidTr="007F2B4D">
        <w:tc>
          <w:tcPr>
            <w:tcW w:w="1953" w:type="dxa"/>
          </w:tcPr>
          <w:p w14:paraId="765D288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6EE8D66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576F88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Pr="00942683">
              <w:rPr>
                <w:rFonts w:ascii="Times New Roman" w:eastAsia="Times New Roman" w:hAnsi="Times New Roman" w:cs="Times New Roman"/>
                <w:color w:val="000000"/>
                <w:sz w:val="24"/>
                <w:szCs w:val="24"/>
              </w:rPr>
              <w:t>025</w:t>
            </w:r>
          </w:p>
        </w:tc>
        <w:tc>
          <w:tcPr>
            <w:tcW w:w="1852" w:type="dxa"/>
          </w:tcPr>
          <w:p w14:paraId="7029204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74C8C19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49242369" w14:textId="77777777" w:rsidTr="007F2B4D">
        <w:tc>
          <w:tcPr>
            <w:tcW w:w="1953" w:type="dxa"/>
          </w:tcPr>
          <w:p w14:paraId="0C8653C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1849252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40AA77C6" w14:textId="77777777" w:rsidTr="007F2B4D">
        <w:tc>
          <w:tcPr>
            <w:tcW w:w="1953" w:type="dxa"/>
          </w:tcPr>
          <w:p w14:paraId="0A6F5AD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CFCF94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надзвичайних ситуацій та цивільного захисту населення Житомирської міської ради </w:t>
            </w:r>
          </w:p>
          <w:p w14:paraId="3FF4908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2458923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«Експлуатація штучних споруд» Житомирської міської ради</w:t>
            </w:r>
          </w:p>
          <w:p w14:paraId="74ECEF6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tc>
      </w:tr>
      <w:tr w:rsidR="00C82386" w14:paraId="48CFCF36" w14:textId="77777777" w:rsidTr="007F2B4D">
        <w:tc>
          <w:tcPr>
            <w:tcW w:w="1953" w:type="dxa"/>
          </w:tcPr>
          <w:p w14:paraId="66C1C9E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336BC77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53EDF9F8" w14:textId="77777777" w:rsidTr="007F2B4D">
        <w:tc>
          <w:tcPr>
            <w:tcW w:w="1953" w:type="dxa"/>
          </w:tcPr>
          <w:p w14:paraId="674D202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14D8958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044DBBCF" w14:textId="77777777" w:rsidTr="007F2B4D">
        <w:tc>
          <w:tcPr>
            <w:tcW w:w="1953" w:type="dxa"/>
          </w:tcPr>
          <w:p w14:paraId="6B9B7E5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474A312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 злива, снігопади, град; підвищення рівня води</w:t>
            </w:r>
          </w:p>
        </w:tc>
      </w:tr>
      <w:tr w:rsidR="00C82386" w14:paraId="6DE7DFEF" w14:textId="77777777" w:rsidTr="007F2B4D">
        <w:tc>
          <w:tcPr>
            <w:tcW w:w="1953" w:type="dxa"/>
            <w:shd w:val="clear" w:color="auto" w:fill="auto"/>
          </w:tcPr>
          <w:p w14:paraId="352A9E9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Вплив на сектори</w:t>
            </w:r>
          </w:p>
        </w:tc>
        <w:tc>
          <w:tcPr>
            <w:tcW w:w="7407" w:type="dxa"/>
            <w:gridSpan w:val="4"/>
          </w:tcPr>
          <w:p w14:paraId="3F13992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водні ресурси, будівлі</w:t>
            </w:r>
          </w:p>
        </w:tc>
      </w:tr>
      <w:tr w:rsidR="00C82386" w14:paraId="4ED360E6" w14:textId="77777777" w:rsidTr="007F2B4D">
        <w:tc>
          <w:tcPr>
            <w:tcW w:w="1953" w:type="dxa"/>
          </w:tcPr>
          <w:p w14:paraId="7386C17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13B8025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карту (модель) на геопорталі Житомирської громади з вразливих ділянок вулиць, які затоплюються після дощу.</w:t>
            </w:r>
          </w:p>
          <w:p w14:paraId="153F7C6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Розроблено механізм обов’язкового врахування можливих підтоплень територій під час планування забудови нових районів міста та ущільнення існуючої забудови на основі/з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 xml:space="preserve">рахуванням даних карти (моделі) підтоплень. </w:t>
            </w:r>
          </w:p>
          <w:p w14:paraId="3F956F3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комплект інформаційних матеріалів про те, як громадяни можуть підготуватися та захистити себе у період інтенсивних злив.</w:t>
            </w:r>
          </w:p>
          <w:p w14:paraId="62D84FF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карто-схеми маршрутів проїзду у разі завалу деревами чи підтоплення окремих вулиць.</w:t>
            </w:r>
          </w:p>
          <w:p w14:paraId="1F81BA43" w14:textId="77777777" w:rsidR="00C82386" w:rsidRDefault="00E66F64" w:rsidP="00024608">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Проведено обстеження</w:t>
            </w:r>
            <w:r w:rsidR="00024608">
              <w:rPr>
                <w:rFonts w:ascii="Times New Roman" w:eastAsia="Times New Roman" w:hAnsi="Times New Roman" w:cs="Times New Roman"/>
                <w:color w:val="000000"/>
                <w:sz w:val="24"/>
                <w:szCs w:val="24"/>
              </w:rPr>
              <w:t>, вжито превентивні заходи, здійснено</w:t>
            </w:r>
            <w:r>
              <w:rPr>
                <w:rFonts w:ascii="Times New Roman" w:eastAsia="Times New Roman" w:hAnsi="Times New Roman" w:cs="Times New Roman"/>
                <w:color w:val="000000"/>
                <w:sz w:val="24"/>
                <w:szCs w:val="24"/>
              </w:rPr>
              <w:t xml:space="preserve"> ремонт греблі на гідротехнічній споруді, що розташована за адресою</w:t>
            </w:r>
            <w:r w:rsidR="0002460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провулок 2-й Кривий, 10-а.</w:t>
            </w:r>
          </w:p>
        </w:tc>
      </w:tr>
      <w:tr w:rsidR="00C82386" w14:paraId="7BE380E9" w14:textId="77777777" w:rsidTr="007F2B4D">
        <w:tc>
          <w:tcPr>
            <w:tcW w:w="1953" w:type="dxa"/>
          </w:tcPr>
          <w:p w14:paraId="1E39391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1450D40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61D55F75" w14:textId="77777777" w:rsidR="00C82386" w:rsidRDefault="00C82386">
      <w:pPr>
        <w:pBdr>
          <w:top w:val="nil"/>
          <w:left w:val="nil"/>
          <w:bottom w:val="nil"/>
          <w:right w:val="nil"/>
          <w:between w:val="nil"/>
        </w:pBdr>
        <w:ind w:left="142"/>
        <w:jc w:val="both"/>
        <w:rPr>
          <w:rFonts w:ascii="Times New Roman" w:eastAsia="Times New Roman" w:hAnsi="Times New Roman" w:cs="Times New Roman"/>
          <w:color w:val="000000"/>
          <w:sz w:val="24"/>
          <w:szCs w:val="24"/>
        </w:rPr>
      </w:pPr>
    </w:p>
    <w:tbl>
      <w:tblPr>
        <w:tblStyle w:val="afffffffd"/>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30A3A4E9" w14:textId="77777777" w:rsidTr="007F2B4D">
        <w:tc>
          <w:tcPr>
            <w:tcW w:w="1953" w:type="dxa"/>
          </w:tcPr>
          <w:p w14:paraId="51BBEC3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3162A6BE"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2.13 Вільний доступ до питної води у спекотні періоди</w:t>
            </w:r>
          </w:p>
        </w:tc>
      </w:tr>
      <w:tr w:rsidR="00C82386" w14:paraId="7AEFC011" w14:textId="77777777" w:rsidTr="007F2B4D">
        <w:tc>
          <w:tcPr>
            <w:tcW w:w="1953" w:type="dxa"/>
          </w:tcPr>
          <w:p w14:paraId="10FA48F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6CCE597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434BF2D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53B0FC3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p w14:paraId="47C80A4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603FA9F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“Центр захисту тварин” Житомирської міської ради </w:t>
            </w:r>
          </w:p>
          <w:p w14:paraId="0567ACC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“Житомирводоканал” Житомирської міської ради </w:t>
            </w:r>
          </w:p>
          <w:p w14:paraId="755C8F3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“Парк” Житомирської міської ради </w:t>
            </w:r>
          </w:p>
        </w:tc>
      </w:tr>
      <w:tr w:rsidR="00C82386" w14:paraId="67874597" w14:textId="77777777" w:rsidTr="007F2B4D">
        <w:tc>
          <w:tcPr>
            <w:tcW w:w="1953" w:type="dxa"/>
          </w:tcPr>
          <w:p w14:paraId="5AA8534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068F6B17" w14:textId="77777777" w:rsidR="00C8238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Постійна інформаційна кампанія з нагадування про необхідність споживання достатньої кількості води у період спеки.</w:t>
            </w:r>
          </w:p>
          <w:p w14:paraId="470C0FD8" w14:textId="77777777" w:rsidR="00C8238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питних </w:t>
            </w:r>
            <w:r w:rsidRPr="00024608">
              <w:rPr>
                <w:rFonts w:ascii="Times New Roman" w:eastAsia="Times New Roman" w:hAnsi="Times New Roman" w:cs="Times New Roman"/>
                <w:color w:val="000000"/>
                <w:sz w:val="24"/>
                <w:szCs w:val="24"/>
              </w:rPr>
              <w:t>фонтанів та бюветів у</w:t>
            </w:r>
            <w:r>
              <w:rPr>
                <w:rFonts w:ascii="Times New Roman" w:eastAsia="Times New Roman" w:hAnsi="Times New Roman" w:cs="Times New Roman"/>
                <w:color w:val="000000"/>
                <w:sz w:val="24"/>
                <w:szCs w:val="24"/>
              </w:rPr>
              <w:t xml:space="preserve"> різних частинах громади.</w:t>
            </w:r>
          </w:p>
          <w:p w14:paraId="34C8BE0A" w14:textId="77777777" w:rsidR="00C8238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Зобов’язання власників закладів громадського харчування забезпечення доступу громадян до питної води та вбиралень.</w:t>
            </w:r>
          </w:p>
          <w:p w14:paraId="142F670B" w14:textId="77777777" w:rsidR="00C82386" w:rsidRPr="00AD2F2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місць із доступом до питної </w:t>
            </w:r>
            <w:r w:rsidRPr="00AD2F26">
              <w:rPr>
                <w:rFonts w:ascii="Times New Roman" w:eastAsia="Times New Roman" w:hAnsi="Times New Roman" w:cs="Times New Roman"/>
                <w:color w:val="000000"/>
                <w:sz w:val="24"/>
                <w:szCs w:val="24"/>
              </w:rPr>
              <w:t>води для безпритульних тварин.</w:t>
            </w:r>
          </w:p>
          <w:p w14:paraId="7990C990" w14:textId="77777777" w:rsidR="00C82386" w:rsidRPr="00AD2F2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sidRPr="00AD2F26">
              <w:rPr>
                <w:rFonts w:ascii="Times New Roman" w:eastAsia="Times New Roman" w:hAnsi="Times New Roman" w:cs="Times New Roman"/>
                <w:color w:val="000000"/>
                <w:sz w:val="24"/>
                <w:szCs w:val="24"/>
              </w:rPr>
              <w:t>Налагодження співпраці громади із представниками соціально відповідального бізнесу щодо розміщення доступу до питної води у періоди екстремальної спеки у крамницях, аптеках, торгових центрах, на ринках.</w:t>
            </w:r>
          </w:p>
          <w:p w14:paraId="42919ED6" w14:textId="77777777" w:rsidR="00C82386" w:rsidRDefault="00E66F64">
            <w:pPr>
              <w:numPr>
                <w:ilvl w:val="0"/>
                <w:numId w:val="65"/>
              </w:numPr>
              <w:pBdr>
                <w:top w:val="nil"/>
                <w:left w:val="nil"/>
                <w:bottom w:val="nil"/>
                <w:right w:val="nil"/>
                <w:between w:val="nil"/>
              </w:pBdr>
              <w:spacing w:after="0" w:line="240" w:lineRule="auto"/>
              <w:ind w:left="218" w:hanging="141"/>
              <w:jc w:val="both"/>
              <w:rPr>
                <w:rFonts w:ascii="Times New Roman" w:eastAsia="Times New Roman" w:hAnsi="Times New Roman" w:cs="Times New Roman"/>
                <w:color w:val="000000"/>
                <w:sz w:val="24"/>
                <w:szCs w:val="24"/>
              </w:rPr>
            </w:pPr>
            <w:r w:rsidRPr="00AD2F26">
              <w:rPr>
                <w:rFonts w:ascii="Times New Roman" w:eastAsia="Times New Roman" w:hAnsi="Times New Roman" w:cs="Times New Roman"/>
                <w:color w:val="000000"/>
                <w:sz w:val="24"/>
                <w:szCs w:val="24"/>
              </w:rPr>
              <w:t>Забезпечення підвозу питної води населенню громади під час аварійних та надзвичайних ситуацій.</w:t>
            </w:r>
          </w:p>
        </w:tc>
      </w:tr>
      <w:tr w:rsidR="00C82386" w14:paraId="6BC3F715" w14:textId="77777777" w:rsidTr="007F2B4D">
        <w:tc>
          <w:tcPr>
            <w:tcW w:w="1953" w:type="dxa"/>
          </w:tcPr>
          <w:p w14:paraId="4B85A77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61776D5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3DAB1B1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683A414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1DE816E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0868D65E" w14:textId="77777777" w:rsidTr="007F2B4D">
        <w:tc>
          <w:tcPr>
            <w:tcW w:w="1953" w:type="dxa"/>
          </w:tcPr>
          <w:p w14:paraId="57EAC5E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64B82B7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Реалізуються окремі елементи</w:t>
            </w:r>
          </w:p>
        </w:tc>
      </w:tr>
      <w:tr w:rsidR="00C82386" w14:paraId="14159423" w14:textId="77777777" w:rsidTr="007F2B4D">
        <w:tc>
          <w:tcPr>
            <w:tcW w:w="1953" w:type="dxa"/>
          </w:tcPr>
          <w:p w14:paraId="38F48EF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191D8A2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надзвичайних ситуацій та цивільного захисту населення Житомирської міської ради </w:t>
            </w:r>
          </w:p>
          <w:p w14:paraId="1D48B2C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08FF959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містобудування та земельних відносин Житомирської міської ради </w:t>
            </w:r>
          </w:p>
          <w:p w14:paraId="501ADA7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313CA0F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p w14:paraId="7DF7D60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“Центр захисту тварин” Житомирської міської ради </w:t>
            </w:r>
          </w:p>
          <w:p w14:paraId="27D9DFF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КП “Житомирводоканал” Житомирської міської ради </w:t>
            </w:r>
          </w:p>
          <w:p w14:paraId="6C73086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“Парк” Житомирської міської ради </w:t>
            </w:r>
          </w:p>
        </w:tc>
      </w:tr>
      <w:tr w:rsidR="00C82386" w14:paraId="1AED9C79" w14:textId="77777777" w:rsidTr="007F2B4D">
        <w:tc>
          <w:tcPr>
            <w:tcW w:w="1953" w:type="dxa"/>
          </w:tcPr>
          <w:p w14:paraId="1AE0B1F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Фінансування</w:t>
            </w:r>
          </w:p>
        </w:tc>
        <w:tc>
          <w:tcPr>
            <w:tcW w:w="7407" w:type="dxa"/>
            <w:gridSpan w:val="4"/>
          </w:tcPr>
          <w:p w14:paraId="39194EB7"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351FF99C" w14:textId="77777777" w:rsidTr="007F2B4D">
        <w:tc>
          <w:tcPr>
            <w:tcW w:w="1953" w:type="dxa"/>
          </w:tcPr>
          <w:p w14:paraId="2898873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7E87A70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3D5A4058" w14:textId="77777777" w:rsidTr="007F2B4D">
        <w:tc>
          <w:tcPr>
            <w:tcW w:w="1953" w:type="dxa"/>
          </w:tcPr>
          <w:p w14:paraId="26B79A8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6CB02A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w:t>
            </w:r>
          </w:p>
        </w:tc>
      </w:tr>
      <w:tr w:rsidR="00C82386" w14:paraId="66C4E15E" w14:textId="77777777" w:rsidTr="007F2B4D">
        <w:tc>
          <w:tcPr>
            <w:tcW w:w="1953" w:type="dxa"/>
          </w:tcPr>
          <w:p w14:paraId="4A63487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5DDF9E3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охорона здоров’я, водні ресурси</w:t>
            </w:r>
          </w:p>
        </w:tc>
      </w:tr>
      <w:tr w:rsidR="00C82386" w14:paraId="0031AF40" w14:textId="77777777" w:rsidTr="007F2B4D">
        <w:tc>
          <w:tcPr>
            <w:tcW w:w="1953" w:type="dxa"/>
          </w:tcPr>
          <w:p w14:paraId="2A06C0F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6026B50D" w14:textId="77777777" w:rsidR="00C82386" w:rsidRPr="00AD2F2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Облаштовано 28 </w:t>
            </w:r>
            <w:r w:rsidRPr="00AD2F26">
              <w:rPr>
                <w:rFonts w:ascii="Times New Roman" w:eastAsia="Times New Roman" w:hAnsi="Times New Roman" w:cs="Times New Roman"/>
                <w:color w:val="000000"/>
                <w:sz w:val="24"/>
                <w:szCs w:val="24"/>
              </w:rPr>
              <w:t xml:space="preserve">питних фонтанчиків </w:t>
            </w:r>
            <w:r w:rsidR="00AD2F26" w:rsidRPr="00AD2F26">
              <w:rPr>
                <w:rFonts w:ascii="Times New Roman" w:eastAsia="Times New Roman" w:hAnsi="Times New Roman" w:cs="Times New Roman"/>
                <w:color w:val="000000"/>
                <w:sz w:val="24"/>
                <w:szCs w:val="24"/>
              </w:rPr>
              <w:t>(</w:t>
            </w:r>
            <w:r w:rsidRPr="00AD2F26">
              <w:rPr>
                <w:rFonts w:ascii="Times New Roman" w:eastAsia="Times New Roman" w:hAnsi="Times New Roman" w:cs="Times New Roman"/>
                <w:color w:val="000000"/>
                <w:sz w:val="24"/>
                <w:szCs w:val="24"/>
              </w:rPr>
              <w:t>або  бюветів</w:t>
            </w:r>
            <w:r w:rsidR="00AD2F26" w:rsidRPr="00AD2F26">
              <w:rPr>
                <w:rFonts w:ascii="Times New Roman" w:eastAsia="Times New Roman" w:hAnsi="Times New Roman" w:cs="Times New Roman"/>
                <w:color w:val="000000"/>
                <w:sz w:val="24"/>
                <w:szCs w:val="24"/>
              </w:rPr>
              <w:t>)</w:t>
            </w:r>
            <w:r w:rsidRPr="00AD2F26">
              <w:rPr>
                <w:rFonts w:ascii="Times New Roman" w:eastAsia="Times New Roman" w:hAnsi="Times New Roman" w:cs="Times New Roman"/>
                <w:color w:val="000000"/>
                <w:sz w:val="24"/>
                <w:szCs w:val="24"/>
              </w:rPr>
              <w:t>.</w:t>
            </w:r>
          </w:p>
          <w:p w14:paraId="47FC9953" w14:textId="77777777" w:rsidR="00C82386" w:rsidRPr="00AD2F26" w:rsidRDefault="00E66F64">
            <w:pPr>
              <w:spacing w:after="0" w:line="240" w:lineRule="auto"/>
              <w:jc w:val="both"/>
              <w:rPr>
                <w:rFonts w:ascii="Times New Roman" w:eastAsia="Times New Roman" w:hAnsi="Times New Roman" w:cs="Times New Roman"/>
                <w:color w:val="000000"/>
                <w:sz w:val="24"/>
                <w:szCs w:val="24"/>
              </w:rPr>
            </w:pPr>
            <w:r w:rsidRPr="00AD2F26">
              <w:rPr>
                <w:rFonts w:ascii="Times New Roman" w:eastAsia="Times New Roman" w:hAnsi="Times New Roman" w:cs="Times New Roman"/>
                <w:color w:val="000000"/>
                <w:sz w:val="24"/>
                <w:szCs w:val="24"/>
              </w:rPr>
              <w:t>Інформаційною кампанією охоплено понад 60% жителів громади.</w:t>
            </w:r>
          </w:p>
          <w:p w14:paraId="4092EAAE" w14:textId="77777777" w:rsidR="00C82386" w:rsidRPr="00AD2F26" w:rsidRDefault="00E66F64">
            <w:pPr>
              <w:spacing w:after="0" w:line="240" w:lineRule="auto"/>
              <w:jc w:val="both"/>
              <w:rPr>
                <w:rFonts w:ascii="Times New Roman" w:eastAsia="Times New Roman" w:hAnsi="Times New Roman" w:cs="Times New Roman"/>
                <w:color w:val="000000"/>
                <w:sz w:val="24"/>
                <w:szCs w:val="24"/>
              </w:rPr>
            </w:pPr>
            <w:r w:rsidRPr="00AD2F26">
              <w:rPr>
                <w:rFonts w:ascii="Times New Roman" w:eastAsia="Times New Roman" w:hAnsi="Times New Roman" w:cs="Times New Roman"/>
                <w:color w:val="000000"/>
                <w:sz w:val="24"/>
                <w:szCs w:val="24"/>
              </w:rPr>
              <w:t>Власники закладів громадського харчування надають усім жителям та гостям громади доступ до питної води та вбиралень.</w:t>
            </w:r>
          </w:p>
          <w:p w14:paraId="5F41F3C5"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AD2F26">
              <w:rPr>
                <w:rFonts w:ascii="Times New Roman" w:eastAsia="Times New Roman" w:hAnsi="Times New Roman" w:cs="Times New Roman"/>
                <w:color w:val="000000"/>
                <w:sz w:val="24"/>
                <w:szCs w:val="24"/>
              </w:rPr>
              <w:t>Облаштування місць із доступом до питної води для безпритульних тварин.</w:t>
            </w:r>
          </w:p>
        </w:tc>
      </w:tr>
      <w:tr w:rsidR="00C82386" w14:paraId="2E0BC1F0" w14:textId="77777777" w:rsidTr="007F2B4D">
        <w:tc>
          <w:tcPr>
            <w:tcW w:w="1953" w:type="dxa"/>
          </w:tcPr>
          <w:p w14:paraId="0D1CE63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28B7CBA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всі групи населення</w:t>
            </w:r>
          </w:p>
        </w:tc>
      </w:tr>
    </w:tbl>
    <w:p w14:paraId="141BD258" w14:textId="77777777" w:rsidR="00C82386" w:rsidRDefault="00C82386">
      <w:pPr>
        <w:pBdr>
          <w:top w:val="nil"/>
          <w:left w:val="nil"/>
          <w:bottom w:val="nil"/>
          <w:right w:val="nil"/>
          <w:between w:val="nil"/>
        </w:pBdr>
        <w:spacing w:after="0"/>
        <w:ind w:left="142"/>
        <w:jc w:val="both"/>
        <w:rPr>
          <w:rFonts w:ascii="Times New Roman" w:eastAsia="Times New Roman" w:hAnsi="Times New Roman" w:cs="Times New Roman"/>
          <w:color w:val="000000"/>
          <w:sz w:val="24"/>
          <w:szCs w:val="24"/>
        </w:rPr>
      </w:pPr>
    </w:p>
    <w:p w14:paraId="0A613401" w14:textId="77777777" w:rsidR="00C82386" w:rsidRDefault="00C82386">
      <w:pPr>
        <w:pBdr>
          <w:top w:val="nil"/>
          <w:left w:val="nil"/>
          <w:bottom w:val="nil"/>
          <w:right w:val="nil"/>
          <w:between w:val="nil"/>
        </w:pBdr>
        <w:ind w:left="142"/>
        <w:jc w:val="both"/>
        <w:rPr>
          <w:rFonts w:ascii="Times New Roman" w:eastAsia="Times New Roman" w:hAnsi="Times New Roman" w:cs="Times New Roman"/>
          <w:color w:val="000000"/>
          <w:sz w:val="24"/>
          <w:szCs w:val="24"/>
        </w:rPr>
      </w:pPr>
    </w:p>
    <w:tbl>
      <w:tblPr>
        <w:tblStyle w:val="afffffffe"/>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231F989C" w14:textId="77777777" w:rsidTr="007F2B4D">
        <w:tc>
          <w:tcPr>
            <w:tcW w:w="1953" w:type="dxa"/>
          </w:tcPr>
          <w:p w14:paraId="4E14C4C5" w14:textId="77777777" w:rsidR="00C82386" w:rsidRDefault="00E66F64">
            <w:pPr>
              <w:spacing w:after="0" w:line="240" w:lineRule="auto"/>
              <w:rPr>
                <w:rFonts w:ascii="Times New Roman" w:eastAsia="Times New Roman" w:hAnsi="Times New Roman" w:cs="Times New Roman"/>
                <w:b/>
                <w:color w:val="000000"/>
                <w:sz w:val="24"/>
                <w:szCs w:val="24"/>
              </w:rPr>
            </w:pPr>
            <w:bookmarkStart w:id="102" w:name="_heading=h.36ei31r" w:colFirst="0" w:colLast="0"/>
            <w:bookmarkEnd w:id="102"/>
            <w:r>
              <w:rPr>
                <w:rFonts w:ascii="Times New Roman" w:eastAsia="Times New Roman" w:hAnsi="Times New Roman" w:cs="Times New Roman"/>
                <w:b/>
                <w:color w:val="000000"/>
                <w:sz w:val="24"/>
                <w:szCs w:val="24"/>
              </w:rPr>
              <w:t>Назва заходу</w:t>
            </w:r>
          </w:p>
        </w:tc>
        <w:tc>
          <w:tcPr>
            <w:tcW w:w="7407" w:type="dxa"/>
            <w:gridSpan w:val="4"/>
          </w:tcPr>
          <w:p w14:paraId="0DCD96D1"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2.14 Програми відновлення міського біорізноманіття до 2030 року</w:t>
            </w:r>
          </w:p>
        </w:tc>
      </w:tr>
      <w:tr w:rsidR="00C82386" w14:paraId="3B02DFA2" w14:textId="77777777" w:rsidTr="007F2B4D">
        <w:tc>
          <w:tcPr>
            <w:tcW w:w="1953" w:type="dxa"/>
          </w:tcPr>
          <w:p w14:paraId="0E2E537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2245D2C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6BB4EDF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171B1C3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0616360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p w14:paraId="1D23B8C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7E73BAD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«Центр захисту тварин» Житомирської міської ради</w:t>
            </w:r>
          </w:p>
          <w:p w14:paraId="38D4F96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«Зеленбуд» Житомирської міської ради </w:t>
            </w:r>
          </w:p>
          <w:p w14:paraId="5D705F3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«Парк» Житомирської міської ради </w:t>
            </w:r>
          </w:p>
        </w:tc>
      </w:tr>
      <w:tr w:rsidR="00C82386" w14:paraId="64EBECAC" w14:textId="77777777" w:rsidTr="007F2B4D">
        <w:tc>
          <w:tcPr>
            <w:tcW w:w="1953" w:type="dxa"/>
          </w:tcPr>
          <w:p w14:paraId="784A2B5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506D41C8" w14:textId="77777777" w:rsidR="00C82386" w:rsidRDefault="00E66F64">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rPr>
            </w:pPr>
            <w:bookmarkStart w:id="103" w:name="_heading=h.1ljsd9k" w:colFirst="0" w:colLast="0"/>
            <w:bookmarkEnd w:id="103"/>
            <w:r>
              <w:rPr>
                <w:rFonts w:ascii="Times New Roman" w:eastAsia="Times New Roman" w:hAnsi="Times New Roman" w:cs="Times New Roman"/>
                <w:color w:val="000000"/>
                <w:sz w:val="24"/>
                <w:szCs w:val="24"/>
              </w:rPr>
              <w:t xml:space="preserve">Розробка Програми відновлення міського біорізноманіття до 2030 року, що буде включати: </w:t>
            </w:r>
          </w:p>
          <w:p w14:paraId="0A8170B3"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інвентаризації видів, дослідження біорізноманіття міста з залученням наукового супроводу.</w:t>
            </w:r>
          </w:p>
          <w:p w14:paraId="22CD2ABE"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картування видового складу птахів, рослин і тварин громади.</w:t>
            </w:r>
          </w:p>
          <w:p w14:paraId="33ED78D7"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Дотримання норм і правил будівництва (заборона) на території водоохоронних зон.</w:t>
            </w:r>
          </w:p>
          <w:p w14:paraId="3841A453"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Встановлення інформаційних знаків на територіях природоохоронних об’єктів, що розташовані на території громади.</w:t>
            </w:r>
          </w:p>
          <w:p w14:paraId="4949E449"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інформаційної кампанії для населення з підвищення рівня обізнаності щодо захисту біорізноманіття у громаді.</w:t>
            </w:r>
          </w:p>
          <w:p w14:paraId="32C7A015"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Маркування зон, в яких має зберігатися особливий режим поводження під час перебування: зони, заборонені для вигулу собак (наприклад, ігрові та спортивні майданчики), режиму тиші у період гніздування птахів у парках і зелених зонах громади тощо.</w:t>
            </w:r>
          </w:p>
          <w:p w14:paraId="2F551E1F"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впровадження й ознайомлення всіх працівників щодо запобіжних заходів захисту для тварин і рослин під час комунальних, ремонтних і будівельних робіт.</w:t>
            </w:r>
          </w:p>
          <w:p w14:paraId="6F715297"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Розроблення Правил утримання та впровадження Програми з чіпування домашніх тварин.</w:t>
            </w:r>
          </w:p>
          <w:p w14:paraId="697A680F"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заходів для зменшення кількості безпритульних тварин  шляхом стерилізації.</w:t>
            </w:r>
          </w:p>
          <w:p w14:paraId="17F6F55F"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Підтримка та розвиток притулку для безпритульних тварин, включно з інформаційною кампанією для популяризації прилаштування серед населення безпритульних тварин.</w:t>
            </w:r>
          </w:p>
          <w:p w14:paraId="783002E4" w14:textId="77777777" w:rsidR="00C82386" w:rsidRDefault="00E66F64">
            <w:pPr>
              <w:numPr>
                <w:ilvl w:val="0"/>
                <w:numId w:val="64"/>
              </w:numPr>
              <w:pBdr>
                <w:top w:val="nil"/>
                <w:left w:val="nil"/>
                <w:bottom w:val="nil"/>
                <w:right w:val="nil"/>
                <w:between w:val="nil"/>
              </w:pBdr>
              <w:tabs>
                <w:tab w:val="left" w:pos="218"/>
              </w:tabs>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плану озеленення міської територіальної громади</w:t>
            </w:r>
            <w:r>
              <w:rPr>
                <w:rFonts w:ascii="Times New Roman" w:eastAsia="Times New Roman" w:hAnsi="Times New Roman" w:cs="Times New Roman"/>
                <w:b/>
                <w:sz w:val="24"/>
                <w:szCs w:val="24"/>
              </w:rPr>
              <w:t xml:space="preserve"> </w:t>
            </w:r>
          </w:p>
        </w:tc>
      </w:tr>
      <w:tr w:rsidR="00C82386" w14:paraId="60CB7881" w14:textId="77777777" w:rsidTr="007F2B4D">
        <w:tc>
          <w:tcPr>
            <w:tcW w:w="1953" w:type="dxa"/>
          </w:tcPr>
          <w:p w14:paraId="49E3687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342B58E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7DFD535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2023</w:t>
            </w:r>
          </w:p>
        </w:tc>
        <w:tc>
          <w:tcPr>
            <w:tcW w:w="1852" w:type="dxa"/>
          </w:tcPr>
          <w:p w14:paraId="7A72A21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1AC05D6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5D2046E3" w14:textId="77777777" w:rsidTr="007F2B4D">
        <w:tc>
          <w:tcPr>
            <w:tcW w:w="1953" w:type="dxa"/>
          </w:tcPr>
          <w:p w14:paraId="78DAC90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7C5ED50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планується</w:t>
            </w:r>
          </w:p>
        </w:tc>
      </w:tr>
      <w:tr w:rsidR="00C82386" w14:paraId="7D3CFB72" w14:textId="77777777" w:rsidTr="007F2B4D">
        <w:tc>
          <w:tcPr>
            <w:tcW w:w="1953" w:type="dxa"/>
          </w:tcPr>
          <w:p w14:paraId="3A4C535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1D2651D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621EEDD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57971C2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5B21111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p w14:paraId="1E98726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«Зеленбуд» Житомирської міської ради </w:t>
            </w:r>
          </w:p>
          <w:p w14:paraId="596A6A6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«Парк» Житомирської міської ради</w:t>
            </w:r>
          </w:p>
          <w:p w14:paraId="6280009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63A2F27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«Центр захисту тварин» Житомирської міської ради</w:t>
            </w:r>
          </w:p>
        </w:tc>
      </w:tr>
      <w:tr w:rsidR="00C82386" w14:paraId="0C32830F" w14:textId="77777777" w:rsidTr="007F2B4D">
        <w:tc>
          <w:tcPr>
            <w:tcW w:w="1953" w:type="dxa"/>
          </w:tcPr>
          <w:p w14:paraId="27874F6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0CFE2087"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4D84FD2D" w14:textId="77777777" w:rsidTr="007F2B4D">
        <w:tc>
          <w:tcPr>
            <w:tcW w:w="1953" w:type="dxa"/>
          </w:tcPr>
          <w:p w14:paraId="08DA89C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42E45B0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68412B9A" w14:textId="77777777" w:rsidTr="007F2B4D">
        <w:tc>
          <w:tcPr>
            <w:tcW w:w="1953" w:type="dxa"/>
          </w:tcPr>
          <w:p w14:paraId="01F174D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271B957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екстремальне тепло, інфекційні захворювання та алергічні прояви</w:t>
            </w:r>
          </w:p>
        </w:tc>
      </w:tr>
      <w:tr w:rsidR="00C82386" w14:paraId="17F7AB51" w14:textId="77777777" w:rsidTr="007F2B4D">
        <w:tc>
          <w:tcPr>
            <w:tcW w:w="1953" w:type="dxa"/>
          </w:tcPr>
          <w:p w14:paraId="2732A71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5D40BF4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та біорізноманіття</w:t>
            </w:r>
          </w:p>
        </w:tc>
      </w:tr>
      <w:tr w:rsidR="00C82386" w14:paraId="0EFEA5A3" w14:textId="77777777" w:rsidTr="007F2B4D">
        <w:tc>
          <w:tcPr>
            <w:tcW w:w="1953" w:type="dxa"/>
          </w:tcPr>
          <w:p w14:paraId="1373FAB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63656850"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Програму відновлення міського біорізноманіття до 2030 року.</w:t>
            </w:r>
          </w:p>
          <w:p w14:paraId="445FA33F"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плану озеленення міської територіальної громади</w:t>
            </w:r>
          </w:p>
          <w:p w14:paraId="24068E17"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єдину концепцію озеленення міського простору.</w:t>
            </w:r>
          </w:p>
          <w:p w14:paraId="2A85D8E8"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Правила утримання та реалізується Програма з чіпування домашніх тварин.</w:t>
            </w:r>
          </w:p>
          <w:p w14:paraId="6BDEF9DF"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Притулок для тварин функціонує, та регулярно триває інформаційна кампанія для популяризації прилаштування серед населення безпритульних тварин.</w:t>
            </w:r>
          </w:p>
          <w:p w14:paraId="6424C5B0" w14:textId="77777777" w:rsidR="00C82386" w:rsidRDefault="00E66F64">
            <w:pP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Встановлено інформаційні знаків на межах усіх природоохоронних об’єктів, що розташовані на території громади.</w:t>
            </w:r>
          </w:p>
          <w:p w14:paraId="71C0DD82" w14:textId="77777777" w:rsidR="00C82386" w:rsidRDefault="00E66F64">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план поетапної інвентаризації видового складу птахів, рослин і тварин громади.</w:t>
            </w:r>
          </w:p>
        </w:tc>
      </w:tr>
      <w:tr w:rsidR="00C82386" w14:paraId="6DC23E69" w14:textId="77777777" w:rsidTr="007F2B4D">
        <w:tc>
          <w:tcPr>
            <w:tcW w:w="1953" w:type="dxa"/>
          </w:tcPr>
          <w:p w14:paraId="5A2516C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5BE7FC2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групи</w:t>
            </w:r>
          </w:p>
        </w:tc>
      </w:tr>
    </w:tbl>
    <w:p w14:paraId="4FE129D8" w14:textId="77777777" w:rsidR="00C82386" w:rsidRDefault="00C82386">
      <w:pPr>
        <w:spacing w:after="0"/>
        <w:jc w:val="both"/>
        <w:rPr>
          <w:rFonts w:ascii="Times New Roman" w:eastAsia="Times New Roman" w:hAnsi="Times New Roman" w:cs="Times New Roman"/>
          <w:sz w:val="24"/>
          <w:szCs w:val="24"/>
        </w:rPr>
      </w:pPr>
    </w:p>
    <w:p w14:paraId="0C0F2C4C" w14:textId="77777777" w:rsidR="00C82386" w:rsidRDefault="00E66F64">
      <w:pPr>
        <w:rPr>
          <w:rFonts w:ascii="Times New Roman" w:eastAsia="Times New Roman" w:hAnsi="Times New Roman" w:cs="Times New Roman"/>
          <w:sz w:val="24"/>
          <w:szCs w:val="24"/>
        </w:rPr>
      </w:pPr>
      <w:r>
        <w:br w:type="page"/>
      </w:r>
    </w:p>
    <w:p w14:paraId="3D231782" w14:textId="77777777" w:rsidR="00C82386" w:rsidRDefault="00E66F64">
      <w:pPr>
        <w:keepNext/>
        <w:keepLines/>
        <w:numPr>
          <w:ilvl w:val="1"/>
          <w:numId w:val="28"/>
        </w:numPr>
        <w:pBdr>
          <w:top w:val="nil"/>
          <w:left w:val="nil"/>
          <w:bottom w:val="nil"/>
          <w:right w:val="nil"/>
          <w:between w:val="nil"/>
        </w:pBdr>
        <w:spacing w:after="240"/>
        <w:ind w:left="709" w:hanging="709"/>
        <w:rPr>
          <w:rFonts w:ascii="Times New Roman" w:eastAsia="Times New Roman" w:hAnsi="Times New Roman" w:cs="Times New Roman"/>
          <w:b/>
          <w:color w:val="000000"/>
          <w:sz w:val="24"/>
          <w:szCs w:val="24"/>
        </w:rPr>
      </w:pPr>
      <w:bookmarkStart w:id="104" w:name="_heading=h.45jfvxd" w:colFirst="0" w:colLast="0"/>
      <w:bookmarkEnd w:id="104"/>
      <w:r>
        <w:rPr>
          <w:rFonts w:ascii="Times New Roman" w:eastAsia="Times New Roman" w:hAnsi="Times New Roman" w:cs="Times New Roman"/>
          <w:b/>
          <w:color w:val="000000"/>
          <w:sz w:val="24"/>
          <w:szCs w:val="24"/>
        </w:rPr>
        <w:lastRenderedPageBreak/>
        <w:t xml:space="preserve">Державні та інституційні </w:t>
      </w:r>
    </w:p>
    <w:tbl>
      <w:tblPr>
        <w:tblStyle w:val="affffffff"/>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859"/>
        <w:gridCol w:w="1848"/>
        <w:gridCol w:w="1852"/>
        <w:gridCol w:w="1848"/>
      </w:tblGrid>
      <w:tr w:rsidR="00C82386" w14:paraId="747E46FD" w14:textId="77777777" w:rsidTr="007F2B4D">
        <w:tc>
          <w:tcPr>
            <w:tcW w:w="2095" w:type="dxa"/>
          </w:tcPr>
          <w:p w14:paraId="06499D0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511A2EB2"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3.1 Захист і запобіжні заходи для критичної інфраструктури</w:t>
            </w:r>
          </w:p>
        </w:tc>
      </w:tr>
      <w:tr w:rsidR="00C82386" w14:paraId="58B7F433" w14:textId="77777777" w:rsidTr="007F2B4D">
        <w:tc>
          <w:tcPr>
            <w:tcW w:w="2095" w:type="dxa"/>
          </w:tcPr>
          <w:p w14:paraId="2B76606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775E3400"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Управління з питань надзвичайних ситуацій та цивільного захисту населення Житомирської міської ради</w:t>
            </w:r>
          </w:p>
          <w:p w14:paraId="73FDCE3F"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Головне управління ДСНС України у Житомирській області</w:t>
            </w:r>
          </w:p>
          <w:p w14:paraId="6ADE369A"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КУ “Агенція розвитку міста” Житомирської міської ради</w:t>
            </w:r>
          </w:p>
          <w:p w14:paraId="69E1AB8D" w14:textId="77777777" w:rsidR="00C8238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 xml:space="preserve">Департамент економічного розвитку Житомирської міської ради </w:t>
            </w:r>
          </w:p>
          <w:p w14:paraId="117F38EF" w14:textId="77777777" w:rsidR="0018584E" w:rsidRPr="00120C46" w:rsidRDefault="0018584E">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Оператори критичної інфраструктури</w:t>
            </w:r>
          </w:p>
        </w:tc>
      </w:tr>
      <w:tr w:rsidR="00C82386" w14:paraId="404D209D" w14:textId="77777777" w:rsidTr="007F2B4D">
        <w:tc>
          <w:tcPr>
            <w:tcW w:w="2095" w:type="dxa"/>
          </w:tcPr>
          <w:p w14:paraId="24203E6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04065175"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системи моніторингу стану об’єктів критичної інфраструктури з чітким вказанням параметрів, яким має відповідати кожен з об’єктів, і визначеними часовими рамками.</w:t>
            </w:r>
          </w:p>
          <w:p w14:paraId="016FA1CA"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Проведення аудиту критичної інфраструктури у тісній кооперації відповідального управління з іншими зацікавленими сторонами із взаємним </w:t>
            </w:r>
            <w:r>
              <w:rPr>
                <w:rFonts w:ascii="Times New Roman" w:eastAsia="Times New Roman" w:hAnsi="Times New Roman" w:cs="Times New Roman"/>
                <w:sz w:val="24"/>
                <w:szCs w:val="24"/>
              </w:rPr>
              <w:t>погодженням</w:t>
            </w:r>
            <w:r>
              <w:rPr>
                <w:rFonts w:ascii="Times New Roman" w:eastAsia="Times New Roman" w:hAnsi="Times New Roman" w:cs="Times New Roman"/>
                <w:color w:val="000000"/>
                <w:sz w:val="24"/>
                <w:szCs w:val="24"/>
              </w:rPr>
              <w:t xml:space="preserve"> стану об’єктів. Аудит має базуватися на наступній схемі виконання: відповідальна установа створює опис об’єкту, який містить інформацію про важливість об’єкту для функціонування системи, оцінку стану системи, оцінку фактичного ризику, інформацію про запобіжні заходи й охорону системи.</w:t>
            </w:r>
          </w:p>
          <w:p w14:paraId="329E8346"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Забезпечення функціональності критичної інфраструктури: аварійного постачання водою, електрикою, теплом, послугами зв’язку, опаленням тощо відповідно результатів аудиту.</w:t>
            </w:r>
          </w:p>
          <w:p w14:paraId="061ED373"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Забезпечення резервними (альтернативними/автономними) джерелами енергії організацій, що належать до елементів критичної інфраструктури (лікарні, системи водопостачання та водовідведення, системи оповіщення населення й обладнання зв’язку)</w:t>
            </w:r>
          </w:p>
          <w:p w14:paraId="67A29889"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Забезпечення функціональності систем технічної інфраструктури обов’язково мають враховувати та бути готовими до наслідків у разі випадання рясних опадів і екстремальних сніжно-льодових явищ.</w:t>
            </w:r>
          </w:p>
          <w:p w14:paraId="63C2B957"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Планування нової інфраструктури громади обов’язково повинно відбуватись із врахуванням оцінки вразливості до зміни клімату та результатів аудиту стану об’єктів критичної інфраструктури.</w:t>
            </w:r>
          </w:p>
        </w:tc>
      </w:tr>
      <w:tr w:rsidR="00C82386" w14:paraId="0A46DC4B" w14:textId="77777777" w:rsidTr="007F2B4D">
        <w:tc>
          <w:tcPr>
            <w:tcW w:w="2095" w:type="dxa"/>
          </w:tcPr>
          <w:p w14:paraId="69E8F0F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2871FE7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383BEBE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6DD6D4F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65B5CB5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668F545C" w14:textId="77777777" w:rsidTr="007F2B4D">
        <w:tc>
          <w:tcPr>
            <w:tcW w:w="2095" w:type="dxa"/>
          </w:tcPr>
          <w:p w14:paraId="5B7DDD3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069D95F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планується</w:t>
            </w:r>
          </w:p>
        </w:tc>
      </w:tr>
      <w:tr w:rsidR="00C82386" w14:paraId="27F36020" w14:textId="77777777" w:rsidTr="007F2B4D">
        <w:tc>
          <w:tcPr>
            <w:tcW w:w="2095" w:type="dxa"/>
          </w:tcPr>
          <w:p w14:paraId="23A444A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FE9D450"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з питань надзвичайних ситуацій та цивільного захисту населення Житомирської міської ради</w:t>
            </w:r>
          </w:p>
          <w:p w14:paraId="7882FC9E"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54222778"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 xml:space="preserve">Департамент економічного розвитку Житомирської міської ради </w:t>
            </w:r>
          </w:p>
          <w:p w14:paraId="3D50F9FD"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Управління охорони здоров’я Житомирської міської ради</w:t>
            </w:r>
          </w:p>
          <w:p w14:paraId="66933F1E"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39E9446E"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Управління житлового господарства Житомирської міської ради</w:t>
            </w:r>
          </w:p>
          <w:p w14:paraId="44F30455"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Управління транспорту і зв’язку Житомирської міської ради</w:t>
            </w:r>
          </w:p>
          <w:p w14:paraId="39F9F896" w14:textId="77777777" w:rsidR="00C82386" w:rsidRPr="00120C4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Департамент соціального захисту Житомирської міської ради</w:t>
            </w:r>
          </w:p>
          <w:p w14:paraId="45C265D0" w14:textId="77777777" w:rsidR="00C82386" w:rsidRDefault="00E66F64">
            <w:pPr>
              <w:spacing w:after="0" w:line="240" w:lineRule="auto"/>
              <w:jc w:val="both"/>
              <w:rPr>
                <w:rFonts w:ascii="Times New Roman" w:eastAsia="Times New Roman" w:hAnsi="Times New Roman" w:cs="Times New Roman"/>
                <w:color w:val="000000"/>
                <w:sz w:val="24"/>
                <w:szCs w:val="24"/>
              </w:rPr>
            </w:pPr>
            <w:r w:rsidRPr="00120C46">
              <w:rPr>
                <w:rFonts w:ascii="Times New Roman" w:eastAsia="Times New Roman" w:hAnsi="Times New Roman" w:cs="Times New Roman"/>
                <w:color w:val="000000"/>
                <w:sz w:val="24"/>
                <w:szCs w:val="24"/>
              </w:rPr>
              <w:t>Головне управління ДСНС України</w:t>
            </w:r>
            <w:r>
              <w:rPr>
                <w:rFonts w:ascii="Times New Roman" w:eastAsia="Times New Roman" w:hAnsi="Times New Roman" w:cs="Times New Roman"/>
                <w:color w:val="000000"/>
                <w:sz w:val="24"/>
                <w:szCs w:val="24"/>
              </w:rPr>
              <w:t xml:space="preserve"> у Житомирській області</w:t>
            </w:r>
          </w:p>
          <w:p w14:paraId="4DC8B5CD"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Обласний центр екстреної медичної допомоги та медицини катастроф</w:t>
            </w:r>
          </w:p>
        </w:tc>
      </w:tr>
      <w:tr w:rsidR="00C82386" w14:paraId="55EDEED6" w14:textId="77777777" w:rsidTr="007F2B4D">
        <w:tc>
          <w:tcPr>
            <w:tcW w:w="2095" w:type="dxa"/>
          </w:tcPr>
          <w:p w14:paraId="3EBB7F9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3A1BC1FE" w14:textId="77777777" w:rsidR="00C82386" w:rsidRDefault="00C82386">
            <w:pPr>
              <w:spacing w:after="0" w:line="240" w:lineRule="auto"/>
              <w:rPr>
                <w:rFonts w:ascii="Times New Roman" w:eastAsia="Times New Roman" w:hAnsi="Times New Roman" w:cs="Times New Roman"/>
                <w:sz w:val="24"/>
                <w:szCs w:val="24"/>
              </w:rPr>
            </w:pPr>
          </w:p>
        </w:tc>
      </w:tr>
      <w:tr w:rsidR="00C82386" w14:paraId="05B38579" w14:textId="77777777" w:rsidTr="007F2B4D">
        <w:tc>
          <w:tcPr>
            <w:tcW w:w="2095" w:type="dxa"/>
          </w:tcPr>
          <w:p w14:paraId="23F05F1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577D871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DA71808" w14:textId="77777777" w:rsidTr="007F2B4D">
        <w:tc>
          <w:tcPr>
            <w:tcW w:w="2095" w:type="dxa"/>
          </w:tcPr>
          <w:p w14:paraId="531434D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493B292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екстремальний холод, екстремальні опади, повені, зсуви</w:t>
            </w:r>
          </w:p>
        </w:tc>
      </w:tr>
      <w:tr w:rsidR="00C82386" w14:paraId="2E613BCE" w14:textId="77777777" w:rsidTr="007F2B4D">
        <w:tc>
          <w:tcPr>
            <w:tcW w:w="2095" w:type="dxa"/>
          </w:tcPr>
          <w:p w14:paraId="0E51DAB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Сектор</w:t>
            </w:r>
          </w:p>
        </w:tc>
        <w:tc>
          <w:tcPr>
            <w:tcW w:w="7407" w:type="dxa"/>
            <w:gridSpan w:val="4"/>
          </w:tcPr>
          <w:p w14:paraId="753FDF2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енергетика, охорона здоров’я, цивільний захист</w:t>
            </w:r>
          </w:p>
        </w:tc>
      </w:tr>
      <w:tr w:rsidR="00C82386" w14:paraId="2F0EDB48" w14:textId="77777777" w:rsidTr="007F2B4D">
        <w:tc>
          <w:tcPr>
            <w:tcW w:w="2095" w:type="dxa"/>
          </w:tcPr>
          <w:p w14:paraId="634016E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2CBB067D"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систему моніторингу стану об’єктів критичної інфраструктури.</w:t>
            </w:r>
          </w:p>
          <w:p w14:paraId="1DF4C533"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Укладено договори співпраці між Житомирською міською радою та підприємствами критичної інфраструктури.</w:t>
            </w:r>
          </w:p>
          <w:p w14:paraId="523DFC8F"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18584E">
              <w:rPr>
                <w:rFonts w:ascii="Times New Roman" w:eastAsia="Times New Roman" w:hAnsi="Times New Roman" w:cs="Times New Roman"/>
                <w:color w:val="000000"/>
                <w:sz w:val="24"/>
                <w:szCs w:val="24"/>
              </w:rPr>
              <w:t>Облаштування інженерно-технічного забезпечення</w:t>
            </w:r>
          </w:p>
        </w:tc>
      </w:tr>
      <w:tr w:rsidR="00C82386" w14:paraId="283A82D3" w14:textId="77777777" w:rsidTr="007F2B4D">
        <w:tc>
          <w:tcPr>
            <w:tcW w:w="2095" w:type="dxa"/>
          </w:tcPr>
          <w:p w14:paraId="67FF311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440C558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Усе населення</w:t>
            </w:r>
          </w:p>
        </w:tc>
      </w:tr>
    </w:tbl>
    <w:p w14:paraId="67B99D82" w14:textId="77777777" w:rsidR="00C82386" w:rsidRDefault="00C82386">
      <w:pPr>
        <w:jc w:val="both"/>
        <w:rPr>
          <w:rFonts w:ascii="Times New Roman" w:eastAsia="Times New Roman" w:hAnsi="Times New Roman" w:cs="Times New Roman"/>
          <w:sz w:val="24"/>
          <w:szCs w:val="24"/>
        </w:rPr>
      </w:pPr>
    </w:p>
    <w:tbl>
      <w:tblPr>
        <w:tblStyle w:val="affffffff0"/>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5AA26F49" w14:textId="77777777" w:rsidTr="007F2B4D">
        <w:tc>
          <w:tcPr>
            <w:tcW w:w="1953" w:type="dxa"/>
          </w:tcPr>
          <w:p w14:paraId="56DC81A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6466E66A"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3.2 Забезпечення комфортного перебування населення в об’єктах соціальної інфраструктури, медичних і освітніх закладах і сфері надання послуг населенню</w:t>
            </w:r>
          </w:p>
        </w:tc>
      </w:tr>
      <w:tr w:rsidR="00C82386" w14:paraId="02A0FE47" w14:textId="77777777" w:rsidTr="007F2B4D">
        <w:tc>
          <w:tcPr>
            <w:tcW w:w="1953" w:type="dxa"/>
          </w:tcPr>
          <w:p w14:paraId="24942A4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63258DD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32BFAB4E"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7E1B914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освіти Житомирської міської ради </w:t>
            </w:r>
          </w:p>
        </w:tc>
      </w:tr>
      <w:tr w:rsidR="00C82386" w14:paraId="70A8A605" w14:textId="77777777" w:rsidTr="007F2B4D">
        <w:tc>
          <w:tcPr>
            <w:tcW w:w="1953" w:type="dxa"/>
          </w:tcPr>
          <w:p w14:paraId="7547A72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58E4A0AB"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рекомендації для забезпечення комфортного перебування в приміщеннях під час хвиль тепла та холоду у секторі догляду за вразливими групами населення.</w:t>
            </w:r>
          </w:p>
          <w:p w14:paraId="55F4A9B2"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аудиту, що має включати перевірку умов перебування у лікарнях (стаціонарах і амбулаторіях), школах, дитячих садках, відповідно рекомендацій, під час хвиль тепла і хвиль холоду (кондиціонери, жалюзі на вікнах і доступ до питної (теплої) води).</w:t>
            </w:r>
          </w:p>
          <w:p w14:paraId="261EE8E2"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переліку рекомендаційних заходів, що повинні бути впроваджені у сфері надання послуг населенню та поширення їх серед надавачів послуг. </w:t>
            </w:r>
          </w:p>
          <w:p w14:paraId="0AD8EA11"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Створення комфортних умов перебування працівників і відвідувачів у закладах, що надають послуги населенню та підпорядковуються громаді, а саме: забезпечення відповідного температурного режиму, доступ до питної води та вбиралень. </w:t>
            </w:r>
          </w:p>
          <w:p w14:paraId="3E9837FC"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та запровадження варіантів зміни розкладу роботи підприємств, що надають послуги населенню, із врахуванням періодів сильної спеки. За можливістю – облаштування прийому громадян чи надання послуг на відкритому затіненому просторі.</w:t>
            </w:r>
          </w:p>
        </w:tc>
      </w:tr>
      <w:tr w:rsidR="00C82386" w14:paraId="3849F607" w14:textId="77777777" w:rsidTr="007F2B4D">
        <w:tc>
          <w:tcPr>
            <w:tcW w:w="1953" w:type="dxa"/>
          </w:tcPr>
          <w:p w14:paraId="10F6081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49A191B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565F927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2B81A9A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28574DA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2AAFE38B" w14:textId="77777777" w:rsidTr="007F2B4D">
        <w:tc>
          <w:tcPr>
            <w:tcW w:w="1953" w:type="dxa"/>
          </w:tcPr>
          <w:p w14:paraId="08702A8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521C81E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6B1FFCF9" w14:textId="77777777" w:rsidTr="007F2B4D">
        <w:tc>
          <w:tcPr>
            <w:tcW w:w="1953" w:type="dxa"/>
          </w:tcPr>
          <w:p w14:paraId="38B90B9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2DFD5267"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 Житомирської міської ради</w:t>
            </w:r>
          </w:p>
          <w:p w14:paraId="6A4F110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764C608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освіти Житомирської міської ради </w:t>
            </w:r>
          </w:p>
        </w:tc>
      </w:tr>
      <w:tr w:rsidR="00C82386" w14:paraId="25DEB3AD" w14:textId="77777777" w:rsidTr="007F2B4D">
        <w:tc>
          <w:tcPr>
            <w:tcW w:w="1953" w:type="dxa"/>
          </w:tcPr>
          <w:p w14:paraId="4538C5E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2E0C3875"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261BBD46" w14:textId="77777777" w:rsidTr="007F2B4D">
        <w:tc>
          <w:tcPr>
            <w:tcW w:w="1953" w:type="dxa"/>
          </w:tcPr>
          <w:p w14:paraId="6B9FBF2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6A7503B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B7BED17" w14:textId="77777777" w:rsidTr="007F2B4D">
        <w:tc>
          <w:tcPr>
            <w:tcW w:w="1953" w:type="dxa"/>
          </w:tcPr>
          <w:p w14:paraId="1138F8B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51A9D5C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екстремальний холод, екстремальні опади: зливи, снігопади, гради, підвищення рівня води</w:t>
            </w:r>
          </w:p>
        </w:tc>
      </w:tr>
      <w:tr w:rsidR="00C82386" w14:paraId="4EE45B34" w14:textId="77777777" w:rsidTr="007F2B4D">
        <w:tc>
          <w:tcPr>
            <w:tcW w:w="1953" w:type="dxa"/>
            <w:shd w:val="clear" w:color="auto" w:fill="auto"/>
          </w:tcPr>
          <w:p w14:paraId="5C43807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24A451D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охорона здоров’я, цивільний захист</w:t>
            </w:r>
          </w:p>
        </w:tc>
      </w:tr>
      <w:tr w:rsidR="00C82386" w14:paraId="0813688C" w14:textId="77777777" w:rsidTr="007F2B4D">
        <w:tc>
          <w:tcPr>
            <w:tcW w:w="1953" w:type="dxa"/>
            <w:shd w:val="clear" w:color="auto" w:fill="auto"/>
          </w:tcPr>
          <w:p w14:paraId="298BB94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704F9508"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розроблено рекомендації для забезпечення перебування під час хвиль тепла та холоду у секторі догляду за вразливими групами населення;</w:t>
            </w:r>
          </w:p>
          <w:p w14:paraId="3815559C"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проведено аудит у 100% закладів відповідного спрямування;</w:t>
            </w:r>
          </w:p>
          <w:p w14:paraId="25820556"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 закладів відповідають рекомендаціям.</w:t>
            </w:r>
          </w:p>
        </w:tc>
      </w:tr>
      <w:tr w:rsidR="00C82386" w14:paraId="6885746C" w14:textId="77777777" w:rsidTr="007F2B4D">
        <w:tc>
          <w:tcPr>
            <w:tcW w:w="1953" w:type="dxa"/>
          </w:tcPr>
          <w:p w14:paraId="6B9E6E1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37F2612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62D044F9" w14:textId="77777777" w:rsidR="00C82386" w:rsidRDefault="00E66F64">
      <w:pPr>
        <w:keepNext/>
        <w:keepLines/>
        <w:numPr>
          <w:ilvl w:val="1"/>
          <w:numId w:val="28"/>
        </w:numPr>
        <w:pBdr>
          <w:top w:val="nil"/>
          <w:left w:val="nil"/>
          <w:bottom w:val="nil"/>
          <w:right w:val="nil"/>
          <w:between w:val="nil"/>
        </w:pBdr>
        <w:spacing w:after="0"/>
        <w:ind w:left="709" w:hanging="709"/>
        <w:rPr>
          <w:rFonts w:ascii="Times New Roman" w:eastAsia="Times New Roman" w:hAnsi="Times New Roman" w:cs="Times New Roman"/>
          <w:b/>
          <w:color w:val="000000"/>
          <w:sz w:val="24"/>
          <w:szCs w:val="24"/>
        </w:rPr>
      </w:pPr>
      <w:bookmarkStart w:id="105" w:name="_heading=h.2koq656" w:colFirst="0" w:colLast="0"/>
      <w:bookmarkEnd w:id="105"/>
      <w:r>
        <w:rPr>
          <w:rFonts w:ascii="Times New Roman" w:eastAsia="Times New Roman" w:hAnsi="Times New Roman" w:cs="Times New Roman"/>
          <w:b/>
          <w:color w:val="000000"/>
          <w:sz w:val="24"/>
          <w:szCs w:val="24"/>
        </w:rPr>
        <w:lastRenderedPageBreak/>
        <w:t xml:space="preserve">Знання та технології (інновації) </w:t>
      </w:r>
    </w:p>
    <w:p w14:paraId="6AF2FA51" w14:textId="77777777" w:rsidR="00C82386" w:rsidRDefault="00E66F64">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Знання</w:t>
      </w:r>
      <w:r>
        <w:rPr>
          <w:rFonts w:ascii="Times New Roman" w:eastAsia="Times New Roman" w:hAnsi="Times New Roman" w:cs="Times New Roman"/>
          <w:sz w:val="24"/>
          <w:szCs w:val="24"/>
        </w:rPr>
        <w:t>:</w:t>
      </w:r>
    </w:p>
    <w:tbl>
      <w:tblPr>
        <w:tblStyle w:val="affffffff1"/>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1"/>
        <w:gridCol w:w="1848"/>
      </w:tblGrid>
      <w:tr w:rsidR="00C82386" w14:paraId="44B81EEB" w14:textId="77777777" w:rsidTr="007F2B4D">
        <w:tc>
          <w:tcPr>
            <w:tcW w:w="1953" w:type="dxa"/>
          </w:tcPr>
          <w:p w14:paraId="0679EAE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6" w:type="dxa"/>
            <w:gridSpan w:val="4"/>
          </w:tcPr>
          <w:p w14:paraId="0E35E5A8"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4.1 Система попередження й інформування населення про екстремальні погодні явища </w:t>
            </w:r>
          </w:p>
        </w:tc>
      </w:tr>
      <w:tr w:rsidR="00C82386" w14:paraId="307C6A9C" w14:textId="77777777" w:rsidTr="007F2B4D">
        <w:tc>
          <w:tcPr>
            <w:tcW w:w="1953" w:type="dxa"/>
          </w:tcPr>
          <w:p w14:paraId="668702B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6" w:type="dxa"/>
            <w:gridSpan w:val="4"/>
          </w:tcPr>
          <w:p w14:paraId="6481505F"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з питань надзвичайних ситуацій та цивільного захисту населення Житомирської міської ради</w:t>
            </w:r>
          </w:p>
          <w:p w14:paraId="4FF5376F" w14:textId="77777777" w:rsidR="00C82386" w:rsidRPr="00467830"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зв'язкам з </w:t>
            </w:r>
            <w:r w:rsidRPr="00467830">
              <w:rPr>
                <w:rFonts w:ascii="Times New Roman" w:eastAsia="Times New Roman" w:hAnsi="Times New Roman" w:cs="Times New Roman"/>
                <w:color w:val="000000"/>
                <w:sz w:val="24"/>
                <w:szCs w:val="24"/>
              </w:rPr>
              <w:t>громадськістю Житомирської міської ради</w:t>
            </w:r>
          </w:p>
          <w:p w14:paraId="0D5C7EE2" w14:textId="77777777" w:rsidR="00C82386" w:rsidRDefault="00E66F64">
            <w:pPr>
              <w:spacing w:after="0" w:line="240" w:lineRule="auto"/>
              <w:jc w:val="both"/>
              <w:rPr>
                <w:rFonts w:ascii="Times New Roman" w:eastAsia="Times New Roman" w:hAnsi="Times New Roman" w:cs="Times New Roman"/>
                <w:color w:val="000000"/>
                <w:sz w:val="24"/>
                <w:szCs w:val="24"/>
              </w:rPr>
            </w:pPr>
            <w:r w:rsidRPr="00467830">
              <w:rPr>
                <w:rFonts w:ascii="Times New Roman" w:eastAsia="Times New Roman" w:hAnsi="Times New Roman" w:cs="Times New Roman"/>
                <w:color w:val="000000"/>
                <w:sz w:val="24"/>
                <w:szCs w:val="24"/>
              </w:rPr>
              <w:t>КП «Міський інформаційний центр» Житомирської</w:t>
            </w:r>
            <w:r>
              <w:rPr>
                <w:rFonts w:ascii="Times New Roman" w:eastAsia="Times New Roman" w:hAnsi="Times New Roman" w:cs="Times New Roman"/>
                <w:color w:val="000000"/>
                <w:sz w:val="24"/>
                <w:szCs w:val="24"/>
              </w:rPr>
              <w:t xml:space="preserve"> міської ради</w:t>
            </w:r>
          </w:p>
        </w:tc>
      </w:tr>
      <w:tr w:rsidR="00C82386" w14:paraId="00D81B43" w14:textId="77777777" w:rsidTr="007F2B4D">
        <w:tc>
          <w:tcPr>
            <w:tcW w:w="1953" w:type="dxa"/>
          </w:tcPr>
          <w:p w14:paraId="3012B99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6" w:type="dxa"/>
            <w:gridSpan w:val="4"/>
          </w:tcPr>
          <w:p w14:paraId="5966A44E" w14:textId="77777777" w:rsidR="00C82386" w:rsidRDefault="00E66F64">
            <w:pPr>
              <w:tabs>
                <w:tab w:val="left" w:pos="426"/>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Удосконалення системи оповіщення населення Державною службою України з надзвичайної ситуації із врахуванням можливості виникнення теплового стресу, а саме у прогнозні періоди екстремальної спеки. Оповіщення проводити із використанням засобів системи екстреного оповіщення Cell Broadcast, теле-, радіо мереж, а також через інтернет мережі: міські інформаційні портали, сайт і соціальні мережі. </w:t>
            </w:r>
          </w:p>
          <w:p w14:paraId="51BA24FE"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4"/>
                <w:szCs w:val="24"/>
              </w:rPr>
              <w:t xml:space="preserve">Розробка й оприлюднення рекомендацій для літніх людей, вагітних, хронічно хворих, дітей щодо дій під час тривалої спеки. </w:t>
            </w:r>
          </w:p>
          <w:p w14:paraId="6D2A0A40" w14:textId="77777777" w:rsidR="00C82386" w:rsidRDefault="00E66F64" w:rsidP="0046783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Удосконалення р</w:t>
            </w:r>
            <w:r w:rsidR="00467830">
              <w:rPr>
                <w:rFonts w:ascii="Times New Roman" w:eastAsia="Times New Roman" w:hAnsi="Times New Roman" w:cs="Times New Roman"/>
                <w:color w:val="000000"/>
                <w:sz w:val="24"/>
                <w:szCs w:val="24"/>
              </w:rPr>
              <w:t>оботи гарячої телефонної лінії під час</w:t>
            </w:r>
            <w:r>
              <w:rPr>
                <w:rFonts w:ascii="Times New Roman" w:eastAsia="Times New Roman" w:hAnsi="Times New Roman" w:cs="Times New Roman"/>
                <w:color w:val="000000"/>
                <w:sz w:val="24"/>
                <w:szCs w:val="24"/>
              </w:rPr>
              <w:t xml:space="preserve"> екстремальних погодних явищ, переважно у періоди високих температур. Працівники </w:t>
            </w:r>
            <w:r w:rsidRPr="00467830">
              <w:rPr>
                <w:rFonts w:ascii="Times New Roman" w:eastAsia="Times New Roman" w:hAnsi="Times New Roman" w:cs="Times New Roman"/>
                <w:color w:val="000000"/>
                <w:sz w:val="24"/>
                <w:szCs w:val="24"/>
              </w:rPr>
              <w:t>«гарячої»</w:t>
            </w:r>
            <w:r>
              <w:rPr>
                <w:rFonts w:ascii="Times New Roman" w:eastAsia="Times New Roman" w:hAnsi="Times New Roman" w:cs="Times New Roman"/>
                <w:color w:val="000000"/>
                <w:sz w:val="24"/>
                <w:szCs w:val="24"/>
              </w:rPr>
              <w:t xml:space="preserve"> лінії інформують людей з інвалідністю й/або хронічними хворобами й осіб похилого віку про наближення періоду теплової небезпеки та надають рекомендації щодо поводження під час цього періоду.</w:t>
            </w:r>
          </w:p>
        </w:tc>
      </w:tr>
      <w:tr w:rsidR="00C82386" w14:paraId="7320A58D" w14:textId="77777777" w:rsidTr="007F2B4D">
        <w:tc>
          <w:tcPr>
            <w:tcW w:w="1953" w:type="dxa"/>
          </w:tcPr>
          <w:p w14:paraId="7D9A7CE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2AB79B0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60C2C4B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1" w:type="dxa"/>
          </w:tcPr>
          <w:p w14:paraId="2B0084C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DF2B54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7446D661" w14:textId="77777777" w:rsidTr="007F2B4D">
        <w:tc>
          <w:tcPr>
            <w:tcW w:w="1953" w:type="dxa"/>
          </w:tcPr>
          <w:p w14:paraId="467C06B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406" w:type="dxa"/>
            <w:gridSpan w:val="4"/>
          </w:tcPr>
          <w:p w14:paraId="1F1B458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28131C2A" w14:textId="77777777" w:rsidTr="007F2B4D">
        <w:tc>
          <w:tcPr>
            <w:tcW w:w="1953" w:type="dxa"/>
          </w:tcPr>
          <w:p w14:paraId="5C9B49F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6" w:type="dxa"/>
            <w:gridSpan w:val="4"/>
          </w:tcPr>
          <w:p w14:paraId="4C72476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з питань надзвичайних ситуацій та цивільного захисту населення Житомирської міської ради</w:t>
            </w:r>
          </w:p>
          <w:p w14:paraId="572A01C0"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зв'язкам з громадськістю Житомирської міської ради </w:t>
            </w:r>
          </w:p>
          <w:p w14:paraId="0191F99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582103B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p w14:paraId="0597CED0"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Обласний центр з гідрометеорології ДСНС України</w:t>
            </w:r>
          </w:p>
          <w:p w14:paraId="2BE5A5E7"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Медичні заклади</w:t>
            </w:r>
          </w:p>
          <w:p w14:paraId="241A6C6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Обласна держадміністрація (фахівці системи екстреного оповіщення Cell Broadcast)</w:t>
            </w:r>
          </w:p>
          <w:p w14:paraId="24BE85D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соціальної політики</w:t>
            </w:r>
          </w:p>
          <w:p w14:paraId="3C204BD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охорони здоров’я Житомирської міської ради</w:t>
            </w:r>
          </w:p>
          <w:p w14:paraId="3E0A315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Департамент освіти Житомирської міської ради </w:t>
            </w:r>
          </w:p>
        </w:tc>
      </w:tr>
      <w:tr w:rsidR="00C82386" w14:paraId="476EBC8E" w14:textId="77777777" w:rsidTr="007F2B4D">
        <w:tc>
          <w:tcPr>
            <w:tcW w:w="1953" w:type="dxa"/>
          </w:tcPr>
          <w:p w14:paraId="002C370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6" w:type="dxa"/>
            <w:gridSpan w:val="4"/>
          </w:tcPr>
          <w:p w14:paraId="3B47AAC3"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53BBDCCA" w14:textId="77777777" w:rsidTr="007F2B4D">
        <w:tc>
          <w:tcPr>
            <w:tcW w:w="1953" w:type="dxa"/>
          </w:tcPr>
          <w:p w14:paraId="7E4460E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6" w:type="dxa"/>
            <w:gridSpan w:val="4"/>
          </w:tcPr>
          <w:p w14:paraId="2046B5D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58BDF9BE" w14:textId="77777777" w:rsidTr="007F2B4D">
        <w:tc>
          <w:tcPr>
            <w:tcW w:w="1953" w:type="dxa"/>
          </w:tcPr>
          <w:p w14:paraId="691214B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6" w:type="dxa"/>
            <w:gridSpan w:val="4"/>
          </w:tcPr>
          <w:p w14:paraId="75B26AF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екстремальний холод, екстремальні опади: зливи, снігопади, град; підвищення рівня води, низові пожежі</w:t>
            </w:r>
          </w:p>
        </w:tc>
      </w:tr>
      <w:tr w:rsidR="00C82386" w14:paraId="67C765E4" w14:textId="77777777" w:rsidTr="007F2B4D">
        <w:tc>
          <w:tcPr>
            <w:tcW w:w="1953" w:type="dxa"/>
          </w:tcPr>
          <w:p w14:paraId="0B22C57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6" w:type="dxa"/>
            <w:gridSpan w:val="4"/>
          </w:tcPr>
          <w:p w14:paraId="4FFE3F1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охорона здоров’я, цивільний захист</w:t>
            </w:r>
          </w:p>
        </w:tc>
      </w:tr>
      <w:tr w:rsidR="00C82386" w14:paraId="13D517E3" w14:textId="77777777" w:rsidTr="007F2B4D">
        <w:tc>
          <w:tcPr>
            <w:tcW w:w="1953" w:type="dxa"/>
          </w:tcPr>
          <w:p w14:paraId="679CC46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6" w:type="dxa"/>
            <w:gridSpan w:val="4"/>
          </w:tcPr>
          <w:p w14:paraId="0428795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Система оповіщення населення працює.</w:t>
            </w:r>
          </w:p>
          <w:p w14:paraId="1FC2EB9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Телефонна лінія працює.</w:t>
            </w:r>
          </w:p>
        </w:tc>
      </w:tr>
      <w:tr w:rsidR="00C82386" w14:paraId="7A8A9472" w14:textId="77777777" w:rsidTr="007F2B4D">
        <w:tc>
          <w:tcPr>
            <w:tcW w:w="1953" w:type="dxa"/>
          </w:tcPr>
          <w:p w14:paraId="710227FE"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6" w:type="dxa"/>
            <w:gridSpan w:val="4"/>
          </w:tcPr>
          <w:p w14:paraId="7AC534E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діти, особи поважного віку, люди з хронічними захворюваннями, люди з особливими потребами</w:t>
            </w:r>
          </w:p>
        </w:tc>
      </w:tr>
    </w:tbl>
    <w:p w14:paraId="316DCB3B" w14:textId="77777777" w:rsidR="00C82386" w:rsidRDefault="00C82386">
      <w:pPr>
        <w:jc w:val="both"/>
        <w:rPr>
          <w:rFonts w:ascii="Times New Roman" w:eastAsia="Times New Roman" w:hAnsi="Times New Roman" w:cs="Times New Roman"/>
          <w:sz w:val="24"/>
          <w:szCs w:val="24"/>
          <w:u w:val="single"/>
        </w:rPr>
      </w:pPr>
    </w:p>
    <w:tbl>
      <w:tblPr>
        <w:tblStyle w:val="affffffff2"/>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599A2EA5" w14:textId="77777777" w:rsidTr="007F2B4D">
        <w:tc>
          <w:tcPr>
            <w:tcW w:w="1953" w:type="dxa"/>
          </w:tcPr>
          <w:p w14:paraId="5C1A6CF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Назва заходу</w:t>
            </w:r>
          </w:p>
        </w:tc>
        <w:tc>
          <w:tcPr>
            <w:tcW w:w="7407" w:type="dxa"/>
            <w:gridSpan w:val="4"/>
          </w:tcPr>
          <w:p w14:paraId="7CD384CA" w14:textId="77777777" w:rsidR="00C82386" w:rsidRDefault="00E66F64">
            <w:pPr>
              <w:spacing w:after="0" w:line="240" w:lineRule="auto"/>
              <w:jc w:val="both"/>
              <w:rPr>
                <w:rFonts w:ascii="Times New Roman" w:eastAsia="Times New Roman" w:hAnsi="Times New Roman" w:cs="Times New Roman"/>
                <w:b/>
                <w:color w:val="000000"/>
                <w:sz w:val="24"/>
                <w:szCs w:val="24"/>
                <w:highlight w:val="yellow"/>
              </w:rPr>
            </w:pPr>
            <w:r w:rsidRPr="00467830">
              <w:rPr>
                <w:rFonts w:ascii="Times New Roman" w:eastAsia="Times New Roman" w:hAnsi="Times New Roman" w:cs="Times New Roman"/>
                <w:b/>
                <w:color w:val="000000"/>
                <w:sz w:val="24"/>
                <w:szCs w:val="24"/>
              </w:rPr>
              <w:t xml:space="preserve">4.2 Удосконалення системи надання </w:t>
            </w:r>
            <w:r w:rsidRPr="00467830">
              <w:rPr>
                <w:rFonts w:ascii="Times New Roman" w:eastAsia="Times New Roman" w:hAnsi="Times New Roman" w:cs="Times New Roman"/>
                <w:b/>
                <w:sz w:val="24"/>
                <w:szCs w:val="24"/>
              </w:rPr>
              <w:t>екстреної</w:t>
            </w:r>
            <w:r w:rsidRPr="00467830">
              <w:rPr>
                <w:rFonts w:ascii="Times New Roman" w:eastAsia="Times New Roman" w:hAnsi="Times New Roman" w:cs="Times New Roman"/>
                <w:b/>
                <w:color w:val="000000"/>
                <w:sz w:val="24"/>
                <w:szCs w:val="24"/>
              </w:rPr>
              <w:t xml:space="preserve"> медичної допомоги та забезпечення пожежної безпеки під час екстремальних погодних умов</w:t>
            </w:r>
          </w:p>
        </w:tc>
      </w:tr>
      <w:tr w:rsidR="00C82386" w14:paraId="48805217" w14:textId="77777777" w:rsidTr="007F2B4D">
        <w:tc>
          <w:tcPr>
            <w:tcW w:w="1953" w:type="dxa"/>
          </w:tcPr>
          <w:p w14:paraId="0AFC542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0D33FD7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1E9037D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зв'язкам з громадськістю Житомирської міської ради </w:t>
            </w:r>
          </w:p>
          <w:p w14:paraId="1DBA287E"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транспорту і зв'язку Житомирської міської ради </w:t>
            </w:r>
          </w:p>
          <w:p w14:paraId="09B01BE7"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з питань надзвичайних ситуацій та цивільного захисту населення Житомирської міської ради </w:t>
            </w:r>
          </w:p>
          <w:p w14:paraId="442B3440"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Територіальні підрозділи ГУ ДСНУ у Житомирській області</w:t>
            </w:r>
          </w:p>
        </w:tc>
      </w:tr>
      <w:tr w:rsidR="00C82386" w14:paraId="40974096" w14:textId="77777777" w:rsidTr="007F2B4D">
        <w:tc>
          <w:tcPr>
            <w:tcW w:w="1953" w:type="dxa"/>
          </w:tcPr>
          <w:p w14:paraId="7DDA2A3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3591CB4F"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Запровадження переведення станцій </w:t>
            </w:r>
            <w:r>
              <w:rPr>
                <w:rFonts w:ascii="Times New Roman" w:eastAsia="Times New Roman" w:hAnsi="Times New Roman" w:cs="Times New Roman"/>
                <w:sz w:val="24"/>
                <w:szCs w:val="24"/>
              </w:rPr>
              <w:t>екстреної</w:t>
            </w:r>
            <w:r>
              <w:rPr>
                <w:rFonts w:ascii="Times New Roman" w:eastAsia="Times New Roman" w:hAnsi="Times New Roman" w:cs="Times New Roman"/>
                <w:color w:val="000000"/>
                <w:sz w:val="24"/>
                <w:szCs w:val="24"/>
              </w:rPr>
              <w:t xml:space="preserve"> допомоги та пожежної охорони у стан підвищеної готовності у періоди сильної спеки.</w:t>
            </w:r>
          </w:p>
          <w:p w14:paraId="35315504" w14:textId="77777777" w:rsidR="00C82386" w:rsidRPr="001371E5" w:rsidRDefault="00E66F64" w:rsidP="001371E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нових маршрутів для надання допомоги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рахуванням можливості підтоплення частини доріг і/або перекриття доріг поваленими деревами.</w:t>
            </w:r>
          </w:p>
        </w:tc>
      </w:tr>
      <w:tr w:rsidR="00C82386" w14:paraId="0BBCCAF3" w14:textId="77777777" w:rsidTr="007F2B4D">
        <w:tc>
          <w:tcPr>
            <w:tcW w:w="1953" w:type="dxa"/>
          </w:tcPr>
          <w:p w14:paraId="059594EF"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567F518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6D6713B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266D0AE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047560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45B8F444" w14:textId="77777777" w:rsidTr="007F2B4D">
        <w:tc>
          <w:tcPr>
            <w:tcW w:w="1953" w:type="dxa"/>
          </w:tcPr>
          <w:p w14:paraId="64C295C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7407" w:type="dxa"/>
            <w:gridSpan w:val="4"/>
          </w:tcPr>
          <w:p w14:paraId="17F8FAC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r>
      <w:tr w:rsidR="00C82386" w14:paraId="3E5E47E4" w14:textId="77777777" w:rsidTr="007F2B4D">
        <w:tc>
          <w:tcPr>
            <w:tcW w:w="1953" w:type="dxa"/>
          </w:tcPr>
          <w:p w14:paraId="637F9DF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31DC98C0"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76DCCD2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зв'язкам з громадськістю Житомирської міської ради </w:t>
            </w:r>
          </w:p>
          <w:p w14:paraId="0FB7FF82"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транспорту і зв'язку Житомирської міської ради </w:t>
            </w:r>
          </w:p>
          <w:p w14:paraId="20D1CEB5"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Головне управління ДСНС України у Житомирській області </w:t>
            </w:r>
          </w:p>
          <w:p w14:paraId="2BF3BD3D"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Обласний центр екстреної медичної допомоги та медицини катастроф</w:t>
            </w:r>
          </w:p>
          <w:p w14:paraId="40AF8B93" w14:textId="77777777" w:rsidR="00C82386" w:rsidRPr="001371E5" w:rsidRDefault="00E66F64">
            <w:pPr>
              <w:spacing w:after="0" w:line="240" w:lineRule="auto"/>
              <w:jc w:val="both"/>
              <w:rPr>
                <w:rFonts w:ascii="Times New Roman" w:eastAsia="Times New Roman" w:hAnsi="Times New Roman" w:cs="Times New Roman"/>
                <w:color w:val="000000"/>
                <w:sz w:val="24"/>
                <w:szCs w:val="24"/>
              </w:rPr>
            </w:pPr>
            <w:r w:rsidRPr="001371E5">
              <w:rPr>
                <w:rFonts w:ascii="Times New Roman" w:eastAsia="Times New Roman" w:hAnsi="Times New Roman" w:cs="Times New Roman"/>
                <w:color w:val="000000"/>
              </w:rPr>
              <w:t xml:space="preserve">Управління з питань надзвичайних ситуацій та цивільного захисту населення </w:t>
            </w:r>
            <w:r w:rsidRPr="001371E5">
              <w:rPr>
                <w:rFonts w:ascii="Times New Roman" w:eastAsia="Times New Roman" w:hAnsi="Times New Roman" w:cs="Times New Roman"/>
                <w:color w:val="000000"/>
                <w:sz w:val="24"/>
                <w:szCs w:val="24"/>
              </w:rPr>
              <w:t xml:space="preserve">Житомирської міської ради </w:t>
            </w:r>
          </w:p>
          <w:p w14:paraId="298A6C02" w14:textId="77777777" w:rsidR="00C82386" w:rsidRDefault="00E66F64">
            <w:pPr>
              <w:spacing w:after="0" w:line="240" w:lineRule="auto"/>
              <w:jc w:val="both"/>
              <w:rPr>
                <w:rFonts w:ascii="Times New Roman" w:eastAsia="Times New Roman" w:hAnsi="Times New Roman" w:cs="Times New Roman"/>
                <w:color w:val="000000"/>
                <w:sz w:val="24"/>
                <w:szCs w:val="24"/>
              </w:rPr>
            </w:pPr>
            <w:r w:rsidRPr="001371E5">
              <w:rPr>
                <w:rFonts w:ascii="Times New Roman" w:eastAsia="Times New Roman" w:hAnsi="Times New Roman" w:cs="Times New Roman"/>
                <w:color w:val="000000"/>
                <w:sz w:val="24"/>
                <w:szCs w:val="24"/>
              </w:rPr>
              <w:t>Територіальні підрозділи ГУ ДСНУ у Житомирській області</w:t>
            </w:r>
          </w:p>
        </w:tc>
      </w:tr>
      <w:tr w:rsidR="00C82386" w14:paraId="3E69E83F" w14:textId="77777777" w:rsidTr="007F2B4D">
        <w:tc>
          <w:tcPr>
            <w:tcW w:w="1953" w:type="dxa"/>
          </w:tcPr>
          <w:p w14:paraId="41F8D46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01F8BCA6"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Фінансування не потребує</w:t>
            </w:r>
          </w:p>
        </w:tc>
      </w:tr>
      <w:tr w:rsidR="00C82386" w14:paraId="0F0CB9CB" w14:textId="77777777" w:rsidTr="007F2B4D">
        <w:tc>
          <w:tcPr>
            <w:tcW w:w="1953" w:type="dxa"/>
          </w:tcPr>
          <w:p w14:paraId="7FFF9EB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0C78BD8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373BCACA" w14:textId="77777777" w:rsidTr="007F2B4D">
        <w:tc>
          <w:tcPr>
            <w:tcW w:w="1953" w:type="dxa"/>
          </w:tcPr>
          <w:p w14:paraId="764065F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1F9521B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екстремальний холод, екстремальні опади: зливи, снігопади, град; підвищення рівня води, низові пожежі</w:t>
            </w:r>
          </w:p>
        </w:tc>
      </w:tr>
      <w:tr w:rsidR="00C82386" w14:paraId="567A0ACD" w14:textId="77777777" w:rsidTr="007F2B4D">
        <w:tc>
          <w:tcPr>
            <w:tcW w:w="1953" w:type="dxa"/>
          </w:tcPr>
          <w:p w14:paraId="0BDF88A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1989CC9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охорона здоров’я </w:t>
            </w:r>
          </w:p>
        </w:tc>
      </w:tr>
      <w:tr w:rsidR="00C82386" w14:paraId="10B63D79" w14:textId="77777777" w:rsidTr="007F2B4D">
        <w:tc>
          <w:tcPr>
            <w:tcW w:w="1953" w:type="dxa"/>
          </w:tcPr>
          <w:p w14:paraId="22FD4DC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6A9E06C3" w14:textId="77777777" w:rsidR="00C82386" w:rsidRPr="001371E5"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Розроблено маршрути для надання допомоги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 xml:space="preserve">рахуванням </w:t>
            </w:r>
            <w:r w:rsidRPr="001371E5">
              <w:rPr>
                <w:rFonts w:ascii="Times New Roman" w:eastAsia="Times New Roman" w:hAnsi="Times New Roman" w:cs="Times New Roman"/>
                <w:color w:val="000000"/>
                <w:sz w:val="24"/>
                <w:szCs w:val="24"/>
              </w:rPr>
              <w:t>можливості підтоплення частини доріг і/або перекриття доріг поваленими деревами.</w:t>
            </w:r>
          </w:p>
          <w:p w14:paraId="4B765283" w14:textId="77777777" w:rsidR="00C82386" w:rsidRPr="001371E5" w:rsidRDefault="00E66F64">
            <w:pPr>
              <w:spacing w:after="0" w:line="240" w:lineRule="auto"/>
              <w:jc w:val="both"/>
              <w:rPr>
                <w:rFonts w:ascii="Times New Roman" w:eastAsia="Times New Roman" w:hAnsi="Times New Roman" w:cs="Times New Roman"/>
                <w:color w:val="000000"/>
                <w:sz w:val="24"/>
                <w:szCs w:val="24"/>
              </w:rPr>
            </w:pPr>
            <w:r w:rsidRPr="001371E5">
              <w:rPr>
                <w:rFonts w:ascii="Times New Roman" w:eastAsia="Times New Roman" w:hAnsi="Times New Roman" w:cs="Times New Roman"/>
                <w:color w:val="000000"/>
                <w:sz w:val="24"/>
                <w:szCs w:val="24"/>
              </w:rPr>
              <w:t>Своєчасне та оперативне надання екстреної медичної допомоги та забезпечення пожежної безпеки на території громади.</w:t>
            </w:r>
          </w:p>
          <w:p w14:paraId="1548461B" w14:textId="77777777" w:rsidR="00C82386" w:rsidRDefault="00E66F64">
            <w:pPr>
              <w:spacing w:after="0" w:line="240" w:lineRule="auto"/>
              <w:jc w:val="both"/>
              <w:rPr>
                <w:rFonts w:ascii="Times New Roman" w:eastAsia="Times New Roman" w:hAnsi="Times New Roman" w:cs="Times New Roman"/>
                <w:color w:val="000000"/>
                <w:sz w:val="24"/>
                <w:szCs w:val="24"/>
                <w:highlight w:val="yellow"/>
              </w:rPr>
            </w:pPr>
            <w:r w:rsidRPr="001371E5">
              <w:rPr>
                <w:rFonts w:ascii="Times New Roman" w:eastAsia="Times New Roman" w:hAnsi="Times New Roman" w:cs="Times New Roman"/>
                <w:color w:val="000000"/>
                <w:sz w:val="24"/>
                <w:szCs w:val="24"/>
              </w:rPr>
              <w:t>Зменшення кількості травмованих та постраждалих осіб.</w:t>
            </w:r>
          </w:p>
        </w:tc>
      </w:tr>
      <w:tr w:rsidR="00C82386" w14:paraId="04ABD1D4" w14:textId="77777777" w:rsidTr="007F2B4D">
        <w:tc>
          <w:tcPr>
            <w:tcW w:w="1953" w:type="dxa"/>
          </w:tcPr>
          <w:p w14:paraId="3A60FF4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362D589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діти, особи поважного віку, люди з хронічними захворюваннями, люди з особливими потребами</w:t>
            </w:r>
          </w:p>
        </w:tc>
      </w:tr>
    </w:tbl>
    <w:p w14:paraId="4E9D5DFF" w14:textId="77777777" w:rsidR="00C82386" w:rsidRDefault="00E66F64">
      <w:pPr>
        <w:pBdr>
          <w:top w:val="nil"/>
          <w:left w:val="nil"/>
          <w:bottom w:val="nil"/>
          <w:right w:val="nil"/>
          <w:between w:val="nil"/>
        </w:pBdr>
        <w:ind w:left="284"/>
        <w:jc w:val="both"/>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 xml:space="preserve"> </w:t>
      </w:r>
    </w:p>
    <w:tbl>
      <w:tblPr>
        <w:tblStyle w:val="affffffff3"/>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1"/>
        <w:gridCol w:w="1848"/>
      </w:tblGrid>
      <w:tr w:rsidR="00C82386" w14:paraId="1B9552C9" w14:textId="77777777" w:rsidTr="007F2B4D">
        <w:tc>
          <w:tcPr>
            <w:tcW w:w="1953" w:type="dxa"/>
          </w:tcPr>
          <w:p w14:paraId="062BF16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6" w:type="dxa"/>
            <w:gridSpan w:val="4"/>
          </w:tcPr>
          <w:p w14:paraId="5ED7E5BC"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4.3 </w:t>
            </w:r>
            <w:r>
              <w:rPr>
                <w:rFonts w:ascii="Times New Roman" w:eastAsia="Times New Roman" w:hAnsi="Times New Roman" w:cs="Times New Roman"/>
                <w:b/>
                <w:color w:val="000000"/>
                <w:sz w:val="24"/>
                <w:szCs w:val="24"/>
              </w:rPr>
              <w:t>Підвищення обізнаності населення про кліматичну зміну та заходи з адаптації до зміни клімату в рамках інформаційної кампанії «Зелене Місто».</w:t>
            </w:r>
            <w:r>
              <w:rPr>
                <w:rFonts w:ascii="Times New Roman" w:eastAsia="Times New Roman" w:hAnsi="Times New Roman" w:cs="Times New Roman"/>
                <w:color w:val="000000"/>
                <w:sz w:val="24"/>
                <w:szCs w:val="24"/>
              </w:rPr>
              <w:t xml:space="preserve"> </w:t>
            </w:r>
          </w:p>
        </w:tc>
      </w:tr>
      <w:tr w:rsidR="00C82386" w14:paraId="7A0BD681" w14:textId="77777777" w:rsidTr="007F2B4D">
        <w:tc>
          <w:tcPr>
            <w:tcW w:w="1953" w:type="dxa"/>
          </w:tcPr>
          <w:p w14:paraId="4A95BBA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6" w:type="dxa"/>
            <w:gridSpan w:val="4"/>
          </w:tcPr>
          <w:p w14:paraId="6D4D500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по зв'язкам з громадськістю Житомирської міської ради</w:t>
            </w:r>
          </w:p>
          <w:p w14:paraId="4A03421B"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tc>
      </w:tr>
      <w:tr w:rsidR="00C82386" w14:paraId="6A9A0064" w14:textId="77777777" w:rsidTr="007F2B4D">
        <w:tc>
          <w:tcPr>
            <w:tcW w:w="1953" w:type="dxa"/>
          </w:tcPr>
          <w:p w14:paraId="333104C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6" w:type="dxa"/>
            <w:gridSpan w:val="4"/>
          </w:tcPr>
          <w:p w14:paraId="7A903D8C"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Виконання стратегії комунікації та видимості енергетичної та кліматичної політики Житомирської громади до 2030 року;</w:t>
            </w:r>
          </w:p>
          <w:p w14:paraId="0A96111C"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Подальший розвиток шкільної освітньої платформи «Агенти кліматичних змін», що була створена у 2018 році. Платформа популяризує екологічний спосіб життя, ощадливе споживання </w:t>
            </w:r>
            <w:r>
              <w:rPr>
                <w:rFonts w:ascii="Times New Roman" w:eastAsia="Times New Roman" w:hAnsi="Times New Roman" w:cs="Times New Roman"/>
                <w:color w:val="000000"/>
                <w:sz w:val="24"/>
                <w:szCs w:val="24"/>
              </w:rPr>
              <w:lastRenderedPageBreak/>
              <w:t>природних та енергетичних ресурсів, формує розуміння причинно-наслідкових зв’язків між діяльністю людини та зміни клімату, формує підходи до адаптації міського середовища до зміни клімату і пом’якшення її наслідків.</w:t>
            </w:r>
          </w:p>
          <w:p w14:paraId="3A1B0C5B"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та промоція веб-сайту «Зелене місто Житомир» про енергетичну та кліматичну політику громади</w:t>
            </w:r>
            <w:r>
              <w:rPr>
                <w:rFonts w:ascii="Times New Roman" w:eastAsia="Times New Roman" w:hAnsi="Times New Roman" w:cs="Times New Roman"/>
                <w:color w:val="000000"/>
                <w:sz w:val="24"/>
                <w:szCs w:val="24"/>
                <w:vertAlign w:val="superscript"/>
              </w:rPr>
              <w:footnoteReference w:id="34"/>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xml:space="preserve">Проведення інформаційної кампанії. </w:t>
            </w:r>
          </w:p>
          <w:p w14:paraId="3AB5C6D7" w14:textId="77777777" w:rsidR="00C82386" w:rsidRDefault="00E66F64">
            <w:pPr>
              <w:numPr>
                <w:ilvl w:val="0"/>
                <w:numId w:val="71"/>
              </w:numPr>
              <w:pBdr>
                <w:top w:val="nil"/>
                <w:left w:val="nil"/>
                <w:bottom w:val="nil"/>
                <w:right w:val="nil"/>
                <w:between w:val="nil"/>
              </w:pBdr>
              <w:spacing w:after="0" w:line="240" w:lineRule="auto"/>
              <w:ind w:left="218"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щорічної ініціативи Європейський тиждень сталої енергії, Європейський тиждень мобільності</w:t>
            </w:r>
          </w:p>
        </w:tc>
      </w:tr>
      <w:tr w:rsidR="00C82386" w14:paraId="4494FBBD" w14:textId="77777777" w:rsidTr="007F2B4D">
        <w:tc>
          <w:tcPr>
            <w:tcW w:w="1953" w:type="dxa"/>
          </w:tcPr>
          <w:p w14:paraId="310DF7D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реалізація</w:t>
            </w:r>
            <w:r>
              <w:rPr>
                <w:rFonts w:ascii="Times New Roman" w:eastAsia="Times New Roman" w:hAnsi="Times New Roman" w:cs="Times New Roman"/>
                <w:color w:val="000000"/>
                <w:sz w:val="24"/>
                <w:szCs w:val="24"/>
              </w:rPr>
              <w:t xml:space="preserve">: </w:t>
            </w:r>
          </w:p>
        </w:tc>
        <w:tc>
          <w:tcPr>
            <w:tcW w:w="1859" w:type="dxa"/>
          </w:tcPr>
          <w:p w14:paraId="7FE8A73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1B642C8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1" w:type="dxa"/>
          </w:tcPr>
          <w:p w14:paraId="6D0DADA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0CAF13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536553CB" w14:textId="77777777" w:rsidTr="007F2B4D">
        <w:tc>
          <w:tcPr>
            <w:tcW w:w="1953" w:type="dxa"/>
          </w:tcPr>
          <w:p w14:paraId="228A47F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Статус</w:t>
            </w:r>
          </w:p>
        </w:tc>
        <w:tc>
          <w:tcPr>
            <w:tcW w:w="1859" w:type="dxa"/>
          </w:tcPr>
          <w:p w14:paraId="2DF6D0E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планується </w:t>
            </w:r>
          </w:p>
        </w:tc>
        <w:tc>
          <w:tcPr>
            <w:tcW w:w="1848" w:type="dxa"/>
          </w:tcPr>
          <w:p w14:paraId="70B9EEE8" w14:textId="77777777" w:rsidR="00C82386" w:rsidRDefault="00C82386">
            <w:pPr>
              <w:spacing w:after="0" w:line="240" w:lineRule="auto"/>
              <w:rPr>
                <w:rFonts w:ascii="Times New Roman" w:eastAsia="Times New Roman" w:hAnsi="Times New Roman" w:cs="Times New Roman"/>
                <w:color w:val="000000"/>
                <w:sz w:val="24"/>
                <w:szCs w:val="24"/>
              </w:rPr>
            </w:pPr>
          </w:p>
        </w:tc>
        <w:tc>
          <w:tcPr>
            <w:tcW w:w="1851" w:type="dxa"/>
          </w:tcPr>
          <w:p w14:paraId="280F402E" w14:textId="77777777" w:rsidR="00C82386" w:rsidRDefault="00C82386">
            <w:pPr>
              <w:spacing w:after="0" w:line="240" w:lineRule="auto"/>
              <w:rPr>
                <w:rFonts w:ascii="Times New Roman" w:eastAsia="Times New Roman" w:hAnsi="Times New Roman" w:cs="Times New Roman"/>
                <w:color w:val="000000"/>
                <w:sz w:val="24"/>
                <w:szCs w:val="24"/>
              </w:rPr>
            </w:pPr>
          </w:p>
        </w:tc>
        <w:tc>
          <w:tcPr>
            <w:tcW w:w="1848" w:type="dxa"/>
          </w:tcPr>
          <w:p w14:paraId="6C1DEEF6" w14:textId="77777777" w:rsidR="00C82386" w:rsidRDefault="00C82386">
            <w:pPr>
              <w:spacing w:after="0" w:line="240" w:lineRule="auto"/>
              <w:rPr>
                <w:rFonts w:ascii="Times New Roman" w:eastAsia="Times New Roman" w:hAnsi="Times New Roman" w:cs="Times New Roman"/>
                <w:color w:val="000000"/>
                <w:sz w:val="24"/>
                <w:szCs w:val="24"/>
              </w:rPr>
            </w:pPr>
          </w:p>
        </w:tc>
      </w:tr>
      <w:tr w:rsidR="00C82386" w14:paraId="1DC6D669" w14:textId="77777777" w:rsidTr="007F2B4D">
        <w:tc>
          <w:tcPr>
            <w:tcW w:w="1953" w:type="dxa"/>
          </w:tcPr>
          <w:p w14:paraId="714C797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6" w:type="dxa"/>
            <w:gridSpan w:val="4"/>
          </w:tcPr>
          <w:p w14:paraId="1DDCF1EC"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по зв'язкам з громадськістю Житомирської міської ради</w:t>
            </w:r>
          </w:p>
          <w:p w14:paraId="4039B1FE"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006E2D27"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освіти Житомирської міської ради</w:t>
            </w:r>
          </w:p>
        </w:tc>
      </w:tr>
      <w:tr w:rsidR="00C82386" w14:paraId="0CC55090" w14:textId="77777777" w:rsidTr="007F2B4D">
        <w:tc>
          <w:tcPr>
            <w:tcW w:w="1953" w:type="dxa"/>
          </w:tcPr>
          <w:p w14:paraId="701C382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6" w:type="dxa"/>
            <w:gridSpan w:val="4"/>
          </w:tcPr>
          <w:p w14:paraId="05A457B4"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58BB6A75" w14:textId="77777777" w:rsidTr="007F2B4D">
        <w:tc>
          <w:tcPr>
            <w:tcW w:w="1953" w:type="dxa"/>
          </w:tcPr>
          <w:p w14:paraId="08B0525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6" w:type="dxa"/>
            <w:gridSpan w:val="4"/>
          </w:tcPr>
          <w:p w14:paraId="6F52DB7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39387ED8" w14:textId="77777777" w:rsidTr="007F2B4D">
        <w:tc>
          <w:tcPr>
            <w:tcW w:w="1953" w:type="dxa"/>
          </w:tcPr>
          <w:p w14:paraId="28EFE3B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6" w:type="dxa"/>
            <w:gridSpan w:val="4"/>
          </w:tcPr>
          <w:p w14:paraId="1600D6A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r w:rsidR="00C82386" w14:paraId="37C0E339" w14:textId="77777777" w:rsidTr="007F2B4D">
        <w:tc>
          <w:tcPr>
            <w:tcW w:w="1953" w:type="dxa"/>
          </w:tcPr>
          <w:p w14:paraId="4766EFB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6" w:type="dxa"/>
            <w:gridSpan w:val="4"/>
          </w:tcPr>
          <w:p w14:paraId="5306679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освіта</w:t>
            </w:r>
          </w:p>
        </w:tc>
      </w:tr>
      <w:tr w:rsidR="00C82386" w14:paraId="219FA88C" w14:textId="77777777" w:rsidTr="007F2B4D">
        <w:tc>
          <w:tcPr>
            <w:tcW w:w="1953" w:type="dxa"/>
          </w:tcPr>
          <w:p w14:paraId="7DD9D39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6" w:type="dxa"/>
            <w:gridSpan w:val="4"/>
          </w:tcPr>
          <w:p w14:paraId="2897A93E" w14:textId="77777777" w:rsidR="00C82386" w:rsidRDefault="00E66F6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Розроблено та затверджено Стратегію комунікації та видимості енергетичної та кліматичної політики Житомирської громади в рамках кампанії «зелене Місто».</w:t>
            </w:r>
            <w:r>
              <w:rPr>
                <w:rFonts w:ascii="Times New Roman" w:eastAsia="Times New Roman" w:hAnsi="Times New Roman" w:cs="Times New Roman"/>
                <w:sz w:val="24"/>
                <w:szCs w:val="24"/>
              </w:rPr>
              <w:t xml:space="preserve"> </w:t>
            </w:r>
          </w:p>
          <w:p w14:paraId="5D44716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Шкільна освітня платформа «Агенти кліматичних змін» діє і розвивається.</w:t>
            </w:r>
          </w:p>
          <w:p w14:paraId="25BEAFD8"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Працює веб-сайт «Зелене місто Житомир»: 10 000 відвідувачів за рік.</w:t>
            </w:r>
          </w:p>
          <w:p w14:paraId="1F6CB2E2"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 охоплено цільову аудиторію заходів.</w:t>
            </w:r>
          </w:p>
          <w:p w14:paraId="28175188"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Регулярно проводиться Європейський тиждень сталої енергії, Європейський тиждень мобільності.</w:t>
            </w:r>
          </w:p>
        </w:tc>
      </w:tr>
      <w:tr w:rsidR="00C82386" w14:paraId="66DAFDA4" w14:textId="77777777" w:rsidTr="007F2B4D">
        <w:tc>
          <w:tcPr>
            <w:tcW w:w="1953" w:type="dxa"/>
          </w:tcPr>
          <w:p w14:paraId="0511CA0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6" w:type="dxa"/>
            <w:gridSpan w:val="4"/>
          </w:tcPr>
          <w:p w14:paraId="1680D0E7"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діти, молодь, широкі верстви населення</w:t>
            </w:r>
          </w:p>
        </w:tc>
      </w:tr>
    </w:tbl>
    <w:p w14:paraId="7A41609B" w14:textId="77777777" w:rsidR="00C82386" w:rsidRDefault="00C82386">
      <w:pPr>
        <w:rPr>
          <w:rFonts w:ascii="Times New Roman" w:eastAsia="Times New Roman" w:hAnsi="Times New Roman" w:cs="Times New Roman"/>
          <w:sz w:val="24"/>
          <w:szCs w:val="24"/>
          <w:u w:val="single"/>
        </w:rPr>
      </w:pPr>
    </w:p>
    <w:p w14:paraId="392406F5" w14:textId="77777777" w:rsidR="00C82386" w:rsidRDefault="00E66F64">
      <w:pPr>
        <w:rPr>
          <w:rFonts w:ascii="Times New Roman" w:eastAsia="Times New Roman" w:hAnsi="Times New Roman" w:cs="Times New Roman"/>
          <w:sz w:val="24"/>
          <w:szCs w:val="24"/>
          <w:u w:val="single"/>
        </w:rPr>
      </w:pPr>
      <w:r>
        <w:br w:type="page"/>
      </w:r>
    </w:p>
    <w:p w14:paraId="362BA72B"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lastRenderedPageBreak/>
        <w:t>Технології</w:t>
      </w:r>
      <w:r>
        <w:rPr>
          <w:rFonts w:ascii="Times New Roman" w:eastAsia="Times New Roman" w:hAnsi="Times New Roman" w:cs="Times New Roman"/>
          <w:sz w:val="24"/>
          <w:szCs w:val="24"/>
        </w:rPr>
        <w:t xml:space="preserve">: </w:t>
      </w:r>
    </w:p>
    <w:tbl>
      <w:tblPr>
        <w:tblStyle w:val="affffffff4"/>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6BF5B5BE" w14:textId="77777777" w:rsidTr="007F2B4D">
        <w:tc>
          <w:tcPr>
            <w:tcW w:w="1953" w:type="dxa"/>
          </w:tcPr>
          <w:p w14:paraId="43B8DF0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26502705" w14:textId="77777777" w:rsidR="00C82386" w:rsidRPr="00B83CFC" w:rsidRDefault="00E66F64">
            <w:pPr>
              <w:spacing w:after="0" w:line="240" w:lineRule="auto"/>
              <w:jc w:val="both"/>
              <w:rPr>
                <w:rFonts w:ascii="Times New Roman" w:eastAsia="Times New Roman" w:hAnsi="Times New Roman" w:cs="Times New Roman"/>
                <w:b/>
                <w:color w:val="000000"/>
                <w:sz w:val="24"/>
                <w:szCs w:val="24"/>
              </w:rPr>
            </w:pPr>
            <w:r w:rsidRPr="00B83CFC">
              <w:rPr>
                <w:rFonts w:ascii="Times New Roman" w:eastAsia="Times New Roman" w:hAnsi="Times New Roman" w:cs="Times New Roman"/>
                <w:b/>
                <w:color w:val="000000"/>
                <w:sz w:val="24"/>
                <w:szCs w:val="24"/>
              </w:rPr>
              <w:t>4.4 Моніторинг поширення патогенів і вірусів і готовності медичних закладів до зростання кількості хвороб (у т. ч. і тварин), пов’язаних зі зміною клімату</w:t>
            </w:r>
          </w:p>
        </w:tc>
      </w:tr>
      <w:tr w:rsidR="00C82386" w14:paraId="652AD25C" w14:textId="77777777" w:rsidTr="007F2B4D">
        <w:tc>
          <w:tcPr>
            <w:tcW w:w="1953" w:type="dxa"/>
          </w:tcPr>
          <w:p w14:paraId="4C4A2C7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5497AC9D"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Житомирське міське управління ГУ Держпродспоживслужби в Житомирській області</w:t>
            </w:r>
          </w:p>
          <w:p w14:paraId="59C5DA66"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 xml:space="preserve">Житомирська обласна державна лікарня </w:t>
            </w:r>
            <w:r w:rsidRPr="00B83CFC">
              <w:rPr>
                <w:rFonts w:ascii="Times New Roman" w:eastAsia="Times New Roman" w:hAnsi="Times New Roman" w:cs="Times New Roman"/>
                <w:sz w:val="24"/>
                <w:szCs w:val="24"/>
              </w:rPr>
              <w:t>ветеринарної</w:t>
            </w:r>
            <w:r w:rsidRPr="00B83CFC">
              <w:rPr>
                <w:rFonts w:ascii="Times New Roman" w:eastAsia="Times New Roman" w:hAnsi="Times New Roman" w:cs="Times New Roman"/>
                <w:color w:val="000000"/>
                <w:sz w:val="24"/>
                <w:szCs w:val="24"/>
              </w:rPr>
              <w:t xml:space="preserve"> медицини (за згодою)</w:t>
            </w:r>
          </w:p>
          <w:p w14:paraId="16587351"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КП «Центр захисту тварин» Житомирської міської ради</w:t>
            </w:r>
          </w:p>
          <w:p w14:paraId="5A4CB25B"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ДУ «Житомирський обласний центр контролю та профілактики хвороб МОЗ України»  (за згодою)</w:t>
            </w:r>
          </w:p>
          <w:p w14:paraId="4B633549"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Департамент екології та природних ресурсів ОДА (за згодою)</w:t>
            </w:r>
          </w:p>
          <w:p w14:paraId="37FFFE66"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72CF5077" w14:textId="77777777" w:rsidR="00C82386" w:rsidRPr="00B83CFC" w:rsidRDefault="00E66F64" w:rsidP="009B719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Житомирський обласний центр контролю та профілактики хвороб</w:t>
            </w:r>
          </w:p>
          <w:p w14:paraId="164ED507"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694F2151"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 xml:space="preserve">Управління з питань надзвичайних ситуацій та цивільного захисту населення Житомирської міської ради </w:t>
            </w:r>
          </w:p>
          <w:p w14:paraId="1BBE0DF9"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КП «Зеленбуд» Житомирської міської ради</w:t>
            </w:r>
          </w:p>
        </w:tc>
      </w:tr>
      <w:tr w:rsidR="00C82386" w14:paraId="70C29E04" w14:textId="77777777" w:rsidTr="007F2B4D">
        <w:tc>
          <w:tcPr>
            <w:tcW w:w="1953" w:type="dxa"/>
          </w:tcPr>
          <w:p w14:paraId="36D5098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25DAA442"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Вдосконалення системи спостереження та розробка заходів захисту у разі появи нових патогенів або вірусів у людей, сільськогосподарських, диких, хатніх, безпритульних тварин, а також у міських дерев.</w:t>
            </w:r>
          </w:p>
          <w:p w14:paraId="4FDC3E42"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Моніторинг повинен супроводжуватися розробкою інформаційних матеріалів і рекомендацій щодо запобіжних заходів для населення. Наприклад, рекомендацій для дій при укусах кліщів і можливість вакцинації. </w:t>
            </w:r>
          </w:p>
          <w:p w14:paraId="4F4D525A"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Запровадження координації з Департаментом екології та природних ресурсів, КП «Зеленбуд» й управлінням охорони здоров’я Житомирської міської ради щодо моніторингу та спостереження поширення інвазивних видів, які можуть впливати на здоров’я мешканців, наприклад, амброзія </w:t>
            </w:r>
            <w:r>
              <w:rPr>
                <w:rFonts w:ascii="Times New Roman" w:eastAsia="Times New Roman" w:hAnsi="Times New Roman" w:cs="Times New Roman"/>
                <w:sz w:val="24"/>
                <w:szCs w:val="24"/>
              </w:rPr>
              <w:t>і</w:t>
            </w:r>
            <w:r>
              <w:rPr>
                <w:rFonts w:ascii="Times New Roman" w:eastAsia="Times New Roman" w:hAnsi="Times New Roman" w:cs="Times New Roman"/>
                <w:color w:val="000000"/>
                <w:sz w:val="24"/>
                <w:szCs w:val="24"/>
              </w:rPr>
              <w:t xml:space="preserve"> борщівник Сосновського.</w:t>
            </w:r>
          </w:p>
          <w:p w14:paraId="645D2182"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аудиту готовності інфраструктури закладів охорони здоров’я із врахуванням потенційного зростання кількості пацієнтів, що можуть зазнати впливу на здоров’я внаслідок зміни клімату.</w:t>
            </w:r>
          </w:p>
          <w:p w14:paraId="63DB57C2" w14:textId="77777777" w:rsidR="00C82386" w:rsidRDefault="00E66F64">
            <w:pPr>
              <w:numPr>
                <w:ilvl w:val="0"/>
                <w:numId w:val="71"/>
              </w:numPr>
              <w:pBdr>
                <w:top w:val="nil"/>
                <w:left w:val="nil"/>
                <w:bottom w:val="nil"/>
                <w:right w:val="nil"/>
                <w:between w:val="nil"/>
              </w:pBdr>
              <w:spacing w:after="0" w:line="240" w:lineRule="auto"/>
              <w:ind w:left="77"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алгоритмів дій у періоди сильної спеки для зменшення показників захворюваності </w:t>
            </w:r>
            <w:r>
              <w:rPr>
                <w:rFonts w:ascii="Times New Roman" w:eastAsia="Times New Roman" w:hAnsi="Times New Roman" w:cs="Times New Roman"/>
                <w:sz w:val="24"/>
                <w:szCs w:val="24"/>
              </w:rPr>
              <w:t>населення</w:t>
            </w:r>
            <w:r>
              <w:rPr>
                <w:rFonts w:ascii="Times New Roman" w:eastAsia="Times New Roman" w:hAnsi="Times New Roman" w:cs="Times New Roman"/>
                <w:color w:val="000000"/>
                <w:sz w:val="24"/>
                <w:szCs w:val="24"/>
              </w:rPr>
              <w:t xml:space="preserve"> з акцентом  на потенційному зростанні кількості алергічних проявів, інфекційних захворювань, серцево-судинних захворювань.</w:t>
            </w:r>
          </w:p>
        </w:tc>
      </w:tr>
      <w:tr w:rsidR="00C82386" w14:paraId="4D55A587" w14:textId="77777777" w:rsidTr="007F2B4D">
        <w:tc>
          <w:tcPr>
            <w:tcW w:w="1953" w:type="dxa"/>
          </w:tcPr>
          <w:p w14:paraId="7534F8E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0C3DED6C"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3EC9F59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64DE916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497CA1B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1F1085C1" w14:textId="77777777" w:rsidTr="007F2B4D">
        <w:tc>
          <w:tcPr>
            <w:tcW w:w="1953" w:type="dxa"/>
          </w:tcPr>
          <w:p w14:paraId="69BC0C06"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6E26362B"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охорони здоров’я Житомирської міської ради </w:t>
            </w:r>
          </w:p>
          <w:p w14:paraId="4AF8F05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Житомирський обласний центр контролю та профілактики хвороб</w:t>
            </w:r>
          </w:p>
          <w:p w14:paraId="4B2999B7"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15FAE65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 xml:space="preserve">Управління з питань надзвичайних ситуацій та цивільного захисту населення </w:t>
            </w:r>
            <w:r>
              <w:rPr>
                <w:rFonts w:ascii="Times New Roman" w:eastAsia="Times New Roman" w:hAnsi="Times New Roman" w:cs="Times New Roman"/>
                <w:color w:val="000000"/>
                <w:sz w:val="24"/>
                <w:szCs w:val="24"/>
              </w:rPr>
              <w:t xml:space="preserve">Житомирської міської ради </w:t>
            </w:r>
          </w:p>
          <w:p w14:paraId="55633773"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КП «</w:t>
            </w:r>
            <w:r w:rsidRPr="00B83CFC">
              <w:rPr>
                <w:rFonts w:ascii="Times New Roman" w:eastAsia="Times New Roman" w:hAnsi="Times New Roman" w:cs="Times New Roman"/>
                <w:color w:val="000000"/>
                <w:sz w:val="24"/>
                <w:szCs w:val="24"/>
              </w:rPr>
              <w:t>Зеленбуд» Житомирської міської ради</w:t>
            </w:r>
          </w:p>
          <w:p w14:paraId="5A53182F" w14:textId="77777777" w:rsidR="00C82386" w:rsidRPr="00B83CFC" w:rsidRDefault="00E66F64">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Медичні заклади</w:t>
            </w:r>
          </w:p>
          <w:p w14:paraId="40D3A202"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Житомирське міське управління ГУ Держпродспоживслужби в Житомирській області</w:t>
            </w:r>
          </w:p>
          <w:p w14:paraId="11FB05E3"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 xml:space="preserve">Житомирська обласна державна лікарня </w:t>
            </w:r>
            <w:r w:rsidRPr="00B83CFC">
              <w:rPr>
                <w:rFonts w:ascii="Times New Roman" w:eastAsia="Times New Roman" w:hAnsi="Times New Roman" w:cs="Times New Roman"/>
                <w:sz w:val="24"/>
                <w:szCs w:val="24"/>
              </w:rPr>
              <w:t>ветеринарної</w:t>
            </w:r>
            <w:r w:rsidRPr="00B83CFC">
              <w:rPr>
                <w:rFonts w:ascii="Times New Roman" w:eastAsia="Times New Roman" w:hAnsi="Times New Roman" w:cs="Times New Roman"/>
                <w:color w:val="000000"/>
                <w:sz w:val="24"/>
                <w:szCs w:val="24"/>
              </w:rPr>
              <w:t xml:space="preserve"> медицини</w:t>
            </w:r>
          </w:p>
          <w:p w14:paraId="661DA32A"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КП «Центр захисту тварин» Житомирської міської ради</w:t>
            </w:r>
          </w:p>
          <w:p w14:paraId="1A0969F6"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lastRenderedPageBreak/>
              <w:t>ДУ «Житомирський обласний центр контролю та профілактики хвороб МОЗ України»  (за згодою)</w:t>
            </w:r>
          </w:p>
          <w:p w14:paraId="7632C4D3" w14:textId="77777777" w:rsidR="00C82386" w:rsidRPr="00B83CFC" w:rsidRDefault="00E66F64">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Департамент екології та природних ресурсів ОДА (за згодою)</w:t>
            </w:r>
          </w:p>
          <w:p w14:paraId="14B5D747" w14:textId="77777777" w:rsidR="00C82386" w:rsidRDefault="00E66F64">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Управління охорони здоров’я Житомирської</w:t>
            </w:r>
            <w:r>
              <w:rPr>
                <w:rFonts w:ascii="Times New Roman" w:eastAsia="Times New Roman" w:hAnsi="Times New Roman" w:cs="Times New Roman"/>
                <w:color w:val="000000"/>
                <w:sz w:val="24"/>
                <w:szCs w:val="24"/>
              </w:rPr>
              <w:t xml:space="preserve"> міської ради</w:t>
            </w:r>
          </w:p>
        </w:tc>
      </w:tr>
      <w:tr w:rsidR="00C82386" w14:paraId="0F25D3AC" w14:textId="77777777" w:rsidTr="007F2B4D">
        <w:tc>
          <w:tcPr>
            <w:tcW w:w="1953" w:type="dxa"/>
          </w:tcPr>
          <w:p w14:paraId="57E7F11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Фінансування</w:t>
            </w:r>
          </w:p>
        </w:tc>
        <w:tc>
          <w:tcPr>
            <w:tcW w:w="7407" w:type="dxa"/>
            <w:gridSpan w:val="4"/>
          </w:tcPr>
          <w:p w14:paraId="7819C19E"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6C326924" w14:textId="77777777" w:rsidTr="007F2B4D">
        <w:tc>
          <w:tcPr>
            <w:tcW w:w="1953" w:type="dxa"/>
          </w:tcPr>
          <w:p w14:paraId="393617F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6B425E8E"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03B0DBC" w14:textId="77777777" w:rsidTr="007F2B4D">
        <w:tc>
          <w:tcPr>
            <w:tcW w:w="1953" w:type="dxa"/>
          </w:tcPr>
          <w:p w14:paraId="64F8782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2B261D3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інфекційні захворювання та алергічні прояви</w:t>
            </w:r>
          </w:p>
        </w:tc>
      </w:tr>
      <w:tr w:rsidR="00C82386" w14:paraId="37E9518B" w14:textId="77777777" w:rsidTr="007F2B4D">
        <w:tc>
          <w:tcPr>
            <w:tcW w:w="1953" w:type="dxa"/>
          </w:tcPr>
          <w:p w14:paraId="248AC7D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7B20E475"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охорона здоров’я </w:t>
            </w:r>
          </w:p>
        </w:tc>
      </w:tr>
      <w:tr w:rsidR="00C82386" w14:paraId="3E4117E5" w14:textId="77777777" w:rsidTr="007F2B4D">
        <w:tc>
          <w:tcPr>
            <w:tcW w:w="1953" w:type="dxa"/>
          </w:tcPr>
          <w:p w14:paraId="0CEA10D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0A951606"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Налагоджено координацію з Департаментом екології та природних ресурсів, КП «Зеленбуд» й Управлінням охорони здоров’я щодо моніторингу та спостереження поширення інвазивних видів.</w:t>
            </w:r>
          </w:p>
          <w:p w14:paraId="147A98B5"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Розроблено алгоритми дій у періоди сильної спеки для зменшення показників захворюваності </w:t>
            </w:r>
            <w:r>
              <w:rPr>
                <w:rFonts w:ascii="Times New Roman" w:eastAsia="Times New Roman" w:hAnsi="Times New Roman" w:cs="Times New Roman"/>
                <w:sz w:val="24"/>
                <w:szCs w:val="24"/>
              </w:rPr>
              <w:t>населення</w:t>
            </w:r>
            <w:r>
              <w:rPr>
                <w:rFonts w:ascii="Times New Roman" w:eastAsia="Times New Roman" w:hAnsi="Times New Roman" w:cs="Times New Roman"/>
                <w:color w:val="000000"/>
                <w:sz w:val="24"/>
                <w:szCs w:val="24"/>
              </w:rPr>
              <w:t xml:space="preserve"> з акцентом  на потенційному зростанні кількості алергічних проявів, інфекційних захворювань, серцево-судинних захворювань. </w:t>
            </w:r>
          </w:p>
        </w:tc>
      </w:tr>
      <w:tr w:rsidR="00C82386" w14:paraId="113A7E06" w14:textId="77777777" w:rsidTr="007F2B4D">
        <w:tc>
          <w:tcPr>
            <w:tcW w:w="1953" w:type="dxa"/>
          </w:tcPr>
          <w:p w14:paraId="623E723F"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10B1D4B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діти, особи поважного віку, люди з хронічними захворюваннями, люди з особливими потребами, </w:t>
            </w:r>
          </w:p>
        </w:tc>
      </w:tr>
    </w:tbl>
    <w:p w14:paraId="0C01643B" w14:textId="77777777" w:rsidR="00C82386" w:rsidRDefault="00C82386">
      <w:pPr>
        <w:jc w:val="both"/>
        <w:rPr>
          <w:rFonts w:ascii="Times New Roman" w:eastAsia="Times New Roman" w:hAnsi="Times New Roman" w:cs="Times New Roman"/>
          <w:sz w:val="24"/>
          <w:szCs w:val="24"/>
        </w:rPr>
      </w:pPr>
    </w:p>
    <w:p w14:paraId="2C6ED9D1" w14:textId="77777777" w:rsidR="00C82386" w:rsidRDefault="00C82386">
      <w:pPr>
        <w:jc w:val="both"/>
        <w:rPr>
          <w:rFonts w:ascii="Times New Roman" w:eastAsia="Times New Roman" w:hAnsi="Times New Roman" w:cs="Times New Roman"/>
          <w:sz w:val="24"/>
          <w:szCs w:val="24"/>
        </w:rPr>
      </w:pPr>
    </w:p>
    <w:tbl>
      <w:tblPr>
        <w:tblStyle w:val="affffffff5"/>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1843505E" w14:textId="77777777" w:rsidTr="007F2B4D">
        <w:tc>
          <w:tcPr>
            <w:tcW w:w="1953" w:type="dxa"/>
          </w:tcPr>
          <w:p w14:paraId="33A6EB1D"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 заходу</w:t>
            </w:r>
          </w:p>
        </w:tc>
        <w:tc>
          <w:tcPr>
            <w:tcW w:w="7407" w:type="dxa"/>
            <w:gridSpan w:val="4"/>
          </w:tcPr>
          <w:p w14:paraId="25967641"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4.5 Створення муніципальної інтерактивної платформи для оцінки кліматичних ризиків</w:t>
            </w:r>
          </w:p>
        </w:tc>
      </w:tr>
      <w:tr w:rsidR="00C82386" w14:paraId="0B286EC0" w14:textId="77777777" w:rsidTr="007F2B4D">
        <w:tc>
          <w:tcPr>
            <w:tcW w:w="1953" w:type="dxa"/>
          </w:tcPr>
          <w:p w14:paraId="696ED4D4"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5BE7A91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розвитку інформаційних технологій Житомирської міської ради</w:t>
            </w:r>
          </w:p>
          <w:p w14:paraId="614E127F"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з питань надзвичайних ситуацій та цивільного захисту населення Житомирської міської ради </w:t>
            </w:r>
          </w:p>
        </w:tc>
      </w:tr>
      <w:tr w:rsidR="00C82386" w14:paraId="53683EFC" w14:textId="77777777" w:rsidTr="007F2B4D">
        <w:tc>
          <w:tcPr>
            <w:tcW w:w="1953" w:type="dxa"/>
          </w:tcPr>
          <w:p w14:paraId="292D82B5"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51FC341E" w14:textId="77777777" w:rsidR="00C82386" w:rsidRDefault="00E66F6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Розробка цифрової платформи для моніторингу кліматичних ризиків, зокрема даних про підтоплення, зміни температур, екстремальні погодні умови. Платформа </w:t>
            </w:r>
            <w:r>
              <w:rPr>
                <w:rFonts w:ascii="Times New Roman" w:eastAsia="Times New Roman" w:hAnsi="Times New Roman" w:cs="Times New Roman"/>
                <w:sz w:val="24"/>
                <w:szCs w:val="24"/>
              </w:rPr>
              <w:t>забезпечує</w:t>
            </w:r>
            <w:r>
              <w:rPr>
                <w:rFonts w:ascii="Times New Roman" w:eastAsia="Times New Roman" w:hAnsi="Times New Roman" w:cs="Times New Roman"/>
                <w:color w:val="000000"/>
                <w:sz w:val="24"/>
                <w:szCs w:val="24"/>
              </w:rPr>
              <w:t xml:space="preserve"> доступ до даних для населення, бізнесу та громадських організацій.</w:t>
            </w:r>
          </w:p>
        </w:tc>
      </w:tr>
      <w:tr w:rsidR="00C82386" w14:paraId="18FA0B57" w14:textId="77777777" w:rsidTr="007F2B4D">
        <w:tc>
          <w:tcPr>
            <w:tcW w:w="1953" w:type="dxa"/>
          </w:tcPr>
          <w:p w14:paraId="61452C73"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35C72EFD"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35627960"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1DD72D1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62E8D32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31A2D930" w14:textId="77777777" w:rsidTr="007F2B4D">
        <w:tc>
          <w:tcPr>
            <w:tcW w:w="1953" w:type="dxa"/>
          </w:tcPr>
          <w:p w14:paraId="4B91BF9A"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31705D3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p w14:paraId="3EB52B3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 «Агенція розвитку міста» Житомирської міської ради</w:t>
            </w:r>
          </w:p>
          <w:p w14:paraId="4748098A"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транспорту та зв'язку Житомирської міської ради Управління комунального господарства Житомирської міської ради</w:t>
            </w:r>
          </w:p>
        </w:tc>
      </w:tr>
      <w:tr w:rsidR="00C82386" w14:paraId="354FD584" w14:textId="77777777" w:rsidTr="007F2B4D">
        <w:tc>
          <w:tcPr>
            <w:tcW w:w="1953" w:type="dxa"/>
          </w:tcPr>
          <w:p w14:paraId="4F72C90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0197BD8F"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148FF1ED" w14:textId="77777777" w:rsidTr="007F2B4D">
        <w:tc>
          <w:tcPr>
            <w:tcW w:w="1953" w:type="dxa"/>
          </w:tcPr>
          <w:p w14:paraId="52BEF62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02F538C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2240375E" w14:textId="77777777" w:rsidTr="007F2B4D">
        <w:tc>
          <w:tcPr>
            <w:tcW w:w="1953" w:type="dxa"/>
          </w:tcPr>
          <w:p w14:paraId="7140DD73"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607C792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інфекційні захворювання та алергічні прояви</w:t>
            </w:r>
          </w:p>
        </w:tc>
      </w:tr>
      <w:tr w:rsidR="00C82386" w14:paraId="10654085" w14:textId="77777777" w:rsidTr="007F2B4D">
        <w:tc>
          <w:tcPr>
            <w:tcW w:w="1953" w:type="dxa"/>
          </w:tcPr>
          <w:p w14:paraId="1498CA1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448DD65B"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Навколишнє середовище, транспорт, планування землекористування</w:t>
            </w:r>
          </w:p>
        </w:tc>
      </w:tr>
      <w:tr w:rsidR="00C82386" w14:paraId="0E8B0726" w14:textId="77777777" w:rsidTr="007F2B4D">
        <w:tc>
          <w:tcPr>
            <w:tcW w:w="1953" w:type="dxa"/>
          </w:tcPr>
          <w:p w14:paraId="1768F18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30069F4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Платформа для кліматичного моніторингу функціонує та наповнюється</w:t>
            </w:r>
          </w:p>
          <w:p w14:paraId="0918914E"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Щорічно додається не менше 5 нових показників кліматичних змін</w:t>
            </w:r>
          </w:p>
        </w:tc>
      </w:tr>
      <w:tr w:rsidR="00C82386" w14:paraId="3602A582" w14:textId="77777777" w:rsidTr="007F2B4D">
        <w:tc>
          <w:tcPr>
            <w:tcW w:w="1953" w:type="dxa"/>
          </w:tcPr>
          <w:p w14:paraId="069DFDEC"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7622F44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1E9431FD" w14:textId="77777777" w:rsidR="00C82386" w:rsidRDefault="00C82386">
      <w:pPr>
        <w:jc w:val="both"/>
        <w:rPr>
          <w:rFonts w:ascii="Times New Roman" w:eastAsia="Times New Roman" w:hAnsi="Times New Roman" w:cs="Times New Roman"/>
          <w:sz w:val="24"/>
          <w:szCs w:val="24"/>
        </w:rPr>
      </w:pPr>
    </w:p>
    <w:tbl>
      <w:tblPr>
        <w:tblStyle w:val="affffffff6"/>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3"/>
        <w:gridCol w:w="1859"/>
        <w:gridCol w:w="1848"/>
        <w:gridCol w:w="1852"/>
        <w:gridCol w:w="1848"/>
      </w:tblGrid>
      <w:tr w:rsidR="00C82386" w14:paraId="5DEEEB97" w14:textId="77777777" w:rsidTr="007F2B4D">
        <w:tc>
          <w:tcPr>
            <w:tcW w:w="1953" w:type="dxa"/>
          </w:tcPr>
          <w:p w14:paraId="364E6E8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Назва заходу</w:t>
            </w:r>
          </w:p>
        </w:tc>
        <w:tc>
          <w:tcPr>
            <w:tcW w:w="7407" w:type="dxa"/>
            <w:gridSpan w:val="4"/>
          </w:tcPr>
          <w:p w14:paraId="79F24285" w14:textId="77777777" w:rsidR="00C82386" w:rsidRDefault="00E66F64">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4.6 </w:t>
            </w:r>
            <w:r>
              <w:rPr>
                <w:rFonts w:ascii="Times New Roman" w:eastAsia="Times New Roman" w:hAnsi="Times New Roman" w:cs="Times New Roman"/>
                <w:b/>
                <w:sz w:val="24"/>
                <w:szCs w:val="24"/>
              </w:rPr>
              <w:t>Природо орієнтовані</w:t>
            </w:r>
            <w:r>
              <w:rPr>
                <w:rFonts w:ascii="Times New Roman" w:eastAsia="Times New Roman" w:hAnsi="Times New Roman" w:cs="Times New Roman"/>
                <w:b/>
                <w:color w:val="000000"/>
                <w:sz w:val="24"/>
                <w:szCs w:val="24"/>
              </w:rPr>
              <w:t xml:space="preserve"> рішення для </w:t>
            </w:r>
            <w:r>
              <w:rPr>
                <w:rFonts w:ascii="Times New Roman" w:eastAsia="Times New Roman" w:hAnsi="Times New Roman" w:cs="Times New Roman"/>
                <w:b/>
                <w:sz w:val="24"/>
                <w:szCs w:val="24"/>
              </w:rPr>
              <w:t>охолодження</w:t>
            </w:r>
            <w:r>
              <w:rPr>
                <w:rFonts w:ascii="Times New Roman" w:eastAsia="Times New Roman" w:hAnsi="Times New Roman" w:cs="Times New Roman"/>
                <w:sz w:val="24"/>
                <w:szCs w:val="24"/>
              </w:rPr>
              <w:t>: використання рослинності для поліпшення мікроклімату у житловій і громадській забудові</w:t>
            </w:r>
          </w:p>
        </w:tc>
      </w:tr>
      <w:tr w:rsidR="00C82386" w14:paraId="3A578683" w14:textId="77777777" w:rsidTr="007F2B4D">
        <w:tc>
          <w:tcPr>
            <w:tcW w:w="1953" w:type="dxa"/>
          </w:tcPr>
          <w:p w14:paraId="31D0E2B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Відповідальний орган </w:t>
            </w:r>
          </w:p>
        </w:tc>
        <w:tc>
          <w:tcPr>
            <w:tcW w:w="7407" w:type="dxa"/>
            <w:gridSpan w:val="4"/>
          </w:tcPr>
          <w:p w14:paraId="359543D1"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Департамент економічного розвитку Житомирської міської ради</w:t>
            </w:r>
          </w:p>
        </w:tc>
      </w:tr>
      <w:tr w:rsidR="00C82386" w14:paraId="01CE9389" w14:textId="77777777" w:rsidTr="007F2B4D">
        <w:tc>
          <w:tcPr>
            <w:tcW w:w="1953" w:type="dxa"/>
          </w:tcPr>
          <w:p w14:paraId="4AD02469"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w:t>
            </w:r>
          </w:p>
        </w:tc>
        <w:tc>
          <w:tcPr>
            <w:tcW w:w="7407" w:type="dxa"/>
            <w:gridSpan w:val="4"/>
          </w:tcPr>
          <w:p w14:paraId="2E119B4D"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Пріоритизація проектування будівель з використанням природної вентиляції приміщень:</w:t>
            </w:r>
          </w:p>
          <w:p w14:paraId="747F9390" w14:textId="77777777" w:rsidR="00C82386" w:rsidRDefault="00E66F64">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Послідовне впровадження </w:t>
            </w:r>
            <w:r>
              <w:rPr>
                <w:rFonts w:ascii="Times New Roman" w:eastAsia="Times New Roman" w:hAnsi="Times New Roman" w:cs="Times New Roman"/>
                <w:sz w:val="24"/>
                <w:szCs w:val="24"/>
              </w:rPr>
              <w:t>природо орієнтованих</w:t>
            </w:r>
            <w:r>
              <w:rPr>
                <w:rFonts w:ascii="Times New Roman" w:eastAsia="Times New Roman" w:hAnsi="Times New Roman" w:cs="Times New Roman"/>
                <w:color w:val="000000"/>
                <w:sz w:val="24"/>
                <w:szCs w:val="24"/>
              </w:rPr>
              <w:t xml:space="preserve"> рішень для охолодження та регулювання мікроклімату в місті Житомир і селі Вереси.</w:t>
            </w:r>
          </w:p>
          <w:p w14:paraId="5D4CFD29" w14:textId="77777777" w:rsidR="00C82386" w:rsidRDefault="00E66F64">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та реалізація рекомендацій щодо озеленення фасадів і дахів у межах громади під час реновації (термоізоляції) житлової та громадської забудови.</w:t>
            </w:r>
          </w:p>
          <w:p w14:paraId="6D9905DA" w14:textId="77777777" w:rsidR="00C82386" w:rsidRDefault="00E66F64">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Розробка рекомендацій щодо впровадження вертикального озеленення (фасадів і дахів) в новій житловій та громадській забудові.</w:t>
            </w:r>
          </w:p>
          <w:p w14:paraId="228274FB" w14:textId="77777777" w:rsidR="00C82386" w:rsidRDefault="00E66F64">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Підготовка та впровадження рекомендацій стосовно вибору матеріалів для оздоблення фасадів та використання світлих кольорів у житловій і громадській забудові.</w:t>
            </w:r>
          </w:p>
        </w:tc>
      </w:tr>
      <w:tr w:rsidR="00C82386" w14:paraId="57C29486" w14:textId="77777777" w:rsidTr="007F2B4D">
        <w:tc>
          <w:tcPr>
            <w:tcW w:w="1953" w:type="dxa"/>
          </w:tcPr>
          <w:p w14:paraId="6CFE93C8"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Реалізація</w:t>
            </w:r>
            <w:r>
              <w:rPr>
                <w:rFonts w:ascii="Times New Roman" w:eastAsia="Times New Roman" w:hAnsi="Times New Roman" w:cs="Times New Roman"/>
                <w:color w:val="000000"/>
                <w:sz w:val="24"/>
                <w:szCs w:val="24"/>
              </w:rPr>
              <w:t xml:space="preserve">: </w:t>
            </w:r>
          </w:p>
        </w:tc>
        <w:tc>
          <w:tcPr>
            <w:tcW w:w="1859" w:type="dxa"/>
          </w:tcPr>
          <w:p w14:paraId="7D785584"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початок: </w:t>
            </w:r>
          </w:p>
        </w:tc>
        <w:tc>
          <w:tcPr>
            <w:tcW w:w="1848" w:type="dxa"/>
          </w:tcPr>
          <w:p w14:paraId="0C75B57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w:t>
            </w:r>
          </w:p>
        </w:tc>
        <w:tc>
          <w:tcPr>
            <w:tcW w:w="1852" w:type="dxa"/>
          </w:tcPr>
          <w:p w14:paraId="1ABEA012"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кінець</w:t>
            </w:r>
          </w:p>
        </w:tc>
        <w:tc>
          <w:tcPr>
            <w:tcW w:w="1848" w:type="dxa"/>
          </w:tcPr>
          <w:p w14:paraId="1E0F9B3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2030</w:t>
            </w:r>
          </w:p>
        </w:tc>
      </w:tr>
      <w:tr w:rsidR="00C82386" w14:paraId="70F775B9" w14:textId="77777777" w:rsidTr="007F2B4D">
        <w:tc>
          <w:tcPr>
            <w:tcW w:w="1953" w:type="dxa"/>
          </w:tcPr>
          <w:p w14:paraId="5EC8C912"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Стейкхолдери та залучені сторони</w:t>
            </w:r>
          </w:p>
        </w:tc>
        <w:tc>
          <w:tcPr>
            <w:tcW w:w="7407" w:type="dxa"/>
            <w:gridSpan w:val="4"/>
          </w:tcPr>
          <w:p w14:paraId="57D6A30F"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комунального господарства Житомирської міської ради</w:t>
            </w:r>
          </w:p>
          <w:p w14:paraId="603A6963"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 житлового господарства Житомирської міської ради</w:t>
            </w:r>
          </w:p>
          <w:p w14:paraId="3BE9ED3B"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екології та природних ресурсів Житомирської міської ради</w:t>
            </w:r>
          </w:p>
          <w:p w14:paraId="183ECA5A"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 по зв'язках з громадськістю Житомирської міської ради </w:t>
            </w:r>
          </w:p>
          <w:p w14:paraId="3BE590F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«Зеленбуд» Житомирської міської ради </w:t>
            </w:r>
          </w:p>
        </w:tc>
      </w:tr>
      <w:tr w:rsidR="00C82386" w14:paraId="7605C295" w14:textId="77777777" w:rsidTr="007F2B4D">
        <w:tc>
          <w:tcPr>
            <w:tcW w:w="1953" w:type="dxa"/>
          </w:tcPr>
          <w:p w14:paraId="606C2F2B"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Фінансування</w:t>
            </w:r>
          </w:p>
        </w:tc>
        <w:tc>
          <w:tcPr>
            <w:tcW w:w="7407" w:type="dxa"/>
            <w:gridSpan w:val="4"/>
          </w:tcPr>
          <w:p w14:paraId="315A734B" w14:textId="77777777" w:rsidR="00C82386" w:rsidRDefault="00E66F6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межах фінансування міських цільових програм.</w:t>
            </w:r>
          </w:p>
        </w:tc>
      </w:tr>
      <w:tr w:rsidR="00C82386" w14:paraId="1389A77D" w14:textId="77777777" w:rsidTr="007F2B4D">
        <w:tc>
          <w:tcPr>
            <w:tcW w:w="1953" w:type="dxa"/>
          </w:tcPr>
          <w:p w14:paraId="5606D32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Джерело надходження коштів</w:t>
            </w:r>
          </w:p>
        </w:tc>
        <w:tc>
          <w:tcPr>
            <w:tcW w:w="7407" w:type="dxa"/>
            <w:gridSpan w:val="4"/>
          </w:tcPr>
          <w:p w14:paraId="5EDE5C5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місцевий бюджет, регіональні фонди, національні фонди, фонди міжнародної допомоги, бізнес, державно-приватне партнерство</w:t>
            </w:r>
          </w:p>
        </w:tc>
      </w:tr>
      <w:tr w:rsidR="00C82386" w14:paraId="7426F713" w14:textId="77777777" w:rsidTr="007F2B4D">
        <w:tc>
          <w:tcPr>
            <w:tcW w:w="1953" w:type="dxa"/>
          </w:tcPr>
          <w:p w14:paraId="22EB2221"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Кліматичні загрози</w:t>
            </w:r>
          </w:p>
        </w:tc>
        <w:tc>
          <w:tcPr>
            <w:tcW w:w="7407" w:type="dxa"/>
            <w:gridSpan w:val="4"/>
          </w:tcPr>
          <w:p w14:paraId="31891CE9"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 посуха, екстремальні опади</w:t>
            </w:r>
          </w:p>
        </w:tc>
      </w:tr>
      <w:tr w:rsidR="00C82386" w14:paraId="2F461F9C" w14:textId="77777777" w:rsidTr="007F2B4D">
        <w:tc>
          <w:tcPr>
            <w:tcW w:w="1953" w:type="dxa"/>
          </w:tcPr>
          <w:p w14:paraId="15E18B57"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Сектор</w:t>
            </w:r>
          </w:p>
        </w:tc>
        <w:tc>
          <w:tcPr>
            <w:tcW w:w="7407" w:type="dxa"/>
            <w:gridSpan w:val="4"/>
          </w:tcPr>
          <w:p w14:paraId="08AB50C4"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будівлі, навколишнє середовище, біорізноманіття</w:t>
            </w:r>
          </w:p>
        </w:tc>
      </w:tr>
      <w:tr w:rsidR="00C82386" w14:paraId="4AA520ED" w14:textId="77777777" w:rsidTr="007F2B4D">
        <w:tc>
          <w:tcPr>
            <w:tcW w:w="1953" w:type="dxa"/>
          </w:tcPr>
          <w:p w14:paraId="30376430"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Індикатор досягнутого результату</w:t>
            </w:r>
          </w:p>
        </w:tc>
        <w:tc>
          <w:tcPr>
            <w:tcW w:w="7407" w:type="dxa"/>
            <w:gridSpan w:val="4"/>
          </w:tcPr>
          <w:p w14:paraId="580B47F9" w14:textId="77777777" w:rsidR="00C82386" w:rsidRDefault="00E66F64">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Розроблені рекомендації стосовно вибору матеріалів для оздоблення фасадів та використання світлих кольорів у житловій і громадській забудові.</w:t>
            </w:r>
          </w:p>
          <w:p w14:paraId="43D500AF" w14:textId="77777777" w:rsidR="00C82386" w:rsidRPr="0026626A" w:rsidRDefault="00E66F64">
            <w:pPr>
              <w:spacing w:after="0" w:line="240" w:lineRule="auto"/>
              <w:jc w:val="both"/>
              <w:rPr>
                <w:rFonts w:ascii="Times New Roman" w:eastAsia="Times New Roman" w:hAnsi="Times New Roman" w:cs="Times New Roman"/>
                <w:color w:val="000000"/>
                <w:sz w:val="24"/>
                <w:szCs w:val="24"/>
                <w:lang w:val="ru-RU"/>
              </w:rPr>
            </w:pPr>
            <w:r w:rsidRPr="00B83CFC">
              <w:rPr>
                <w:rFonts w:ascii="Times New Roman" w:eastAsia="Times New Roman" w:hAnsi="Times New Roman" w:cs="Times New Roman"/>
                <w:color w:val="000000"/>
                <w:sz w:val="24"/>
                <w:szCs w:val="24"/>
              </w:rPr>
              <w:t xml:space="preserve">Кількість встановлених </w:t>
            </w:r>
            <w:r w:rsidRPr="00B83CFC">
              <w:rPr>
                <w:rFonts w:ascii="Times New Roman" w:eastAsia="Times New Roman" w:hAnsi="Times New Roman" w:cs="Times New Roman"/>
                <w:sz w:val="24"/>
                <w:szCs w:val="24"/>
              </w:rPr>
              <w:t>природо орієнтованих</w:t>
            </w:r>
            <w:r w:rsidRPr="00B83CFC">
              <w:rPr>
                <w:rFonts w:ascii="Times New Roman" w:eastAsia="Times New Roman" w:hAnsi="Times New Roman" w:cs="Times New Roman"/>
                <w:color w:val="000000"/>
                <w:sz w:val="24"/>
                <w:szCs w:val="24"/>
              </w:rPr>
              <w:t xml:space="preserve"> систем охолодження (шт.)</w:t>
            </w:r>
            <w:r w:rsidR="00B83CFC">
              <w:rPr>
                <w:rFonts w:ascii="Times New Roman" w:eastAsia="Times New Roman" w:hAnsi="Times New Roman" w:cs="Times New Roman"/>
                <w:color w:val="000000"/>
                <w:sz w:val="24"/>
                <w:szCs w:val="24"/>
              </w:rPr>
              <w:t>:</w:t>
            </w:r>
            <w:r w:rsidRPr="00B83CFC">
              <w:rPr>
                <w:rFonts w:ascii="Times New Roman" w:eastAsia="Times New Roman" w:hAnsi="Times New Roman" w:cs="Times New Roman"/>
                <w:color w:val="000000"/>
                <w:sz w:val="24"/>
                <w:szCs w:val="24"/>
              </w:rPr>
              <w:t xml:space="preserve"> </w:t>
            </w:r>
            <w:r w:rsidR="00B83CFC" w:rsidRPr="0026626A">
              <w:rPr>
                <w:rFonts w:ascii="Times New Roman" w:eastAsia="Times New Roman" w:hAnsi="Times New Roman" w:cs="Times New Roman"/>
                <w:color w:val="000000"/>
                <w:sz w:val="24"/>
                <w:szCs w:val="24"/>
                <w:lang w:val="ru-RU"/>
              </w:rPr>
              <w:t>[</w:t>
            </w:r>
            <w:r w:rsidRPr="00B83CFC">
              <w:rPr>
                <w:rFonts w:ascii="Times New Roman" w:eastAsia="Times New Roman" w:hAnsi="Times New Roman" w:cs="Times New Roman"/>
                <w:color w:val="000000"/>
                <w:sz w:val="24"/>
                <w:szCs w:val="24"/>
              </w:rPr>
              <w:t>будуть встановл</w:t>
            </w:r>
            <w:r w:rsidR="00B83CFC">
              <w:rPr>
                <w:rFonts w:ascii="Times New Roman" w:eastAsia="Times New Roman" w:hAnsi="Times New Roman" w:cs="Times New Roman"/>
                <w:color w:val="000000"/>
                <w:sz w:val="24"/>
                <w:szCs w:val="24"/>
              </w:rPr>
              <w:t>ені після розробки рекомендації]</w:t>
            </w:r>
            <w:r w:rsidR="00B83CFC" w:rsidRPr="0026626A">
              <w:rPr>
                <w:rFonts w:ascii="Times New Roman" w:eastAsia="Times New Roman" w:hAnsi="Times New Roman" w:cs="Times New Roman"/>
                <w:color w:val="000000"/>
                <w:sz w:val="24"/>
                <w:szCs w:val="24"/>
                <w:lang w:val="ru-RU"/>
              </w:rPr>
              <w:t>.</w:t>
            </w:r>
          </w:p>
          <w:p w14:paraId="5D88229F" w14:textId="77777777" w:rsidR="00C82386" w:rsidRDefault="00E66F64" w:rsidP="00B83CFC">
            <w:pPr>
              <w:spacing w:after="0" w:line="240" w:lineRule="auto"/>
              <w:jc w:val="both"/>
              <w:rPr>
                <w:rFonts w:ascii="Times New Roman" w:eastAsia="Times New Roman" w:hAnsi="Times New Roman" w:cs="Times New Roman"/>
                <w:color w:val="000000"/>
                <w:sz w:val="24"/>
                <w:szCs w:val="24"/>
              </w:rPr>
            </w:pPr>
            <w:r w:rsidRPr="00B83CFC">
              <w:rPr>
                <w:rFonts w:ascii="Times New Roman" w:eastAsia="Times New Roman" w:hAnsi="Times New Roman" w:cs="Times New Roman"/>
                <w:color w:val="000000"/>
                <w:sz w:val="24"/>
                <w:szCs w:val="24"/>
              </w:rPr>
              <w:t>Зменшення використання енергоресурсів на кондиціонування (%)</w:t>
            </w:r>
            <w:r w:rsidR="00B83CFC">
              <w:rPr>
                <w:rFonts w:ascii="Times New Roman" w:eastAsia="Times New Roman" w:hAnsi="Times New Roman" w:cs="Times New Roman"/>
                <w:color w:val="000000"/>
                <w:sz w:val="24"/>
                <w:szCs w:val="24"/>
              </w:rPr>
              <w:t>:</w:t>
            </w:r>
            <w:r w:rsidRPr="00B83CFC">
              <w:rPr>
                <w:rFonts w:ascii="Times New Roman" w:eastAsia="Times New Roman" w:hAnsi="Times New Roman" w:cs="Times New Roman"/>
                <w:color w:val="000000"/>
                <w:sz w:val="24"/>
                <w:szCs w:val="24"/>
              </w:rPr>
              <w:t xml:space="preserve"> </w:t>
            </w:r>
            <w:r w:rsidR="00B83CFC" w:rsidRPr="0026626A">
              <w:rPr>
                <w:rFonts w:ascii="Times New Roman" w:eastAsia="Times New Roman" w:hAnsi="Times New Roman" w:cs="Times New Roman"/>
                <w:color w:val="000000"/>
                <w:sz w:val="24"/>
                <w:szCs w:val="24"/>
                <w:lang w:val="ru-RU"/>
              </w:rPr>
              <w:t>[</w:t>
            </w:r>
            <w:r w:rsidRPr="00B83CFC">
              <w:rPr>
                <w:rFonts w:ascii="Times New Roman" w:eastAsia="Times New Roman" w:hAnsi="Times New Roman" w:cs="Times New Roman"/>
                <w:color w:val="000000"/>
                <w:sz w:val="24"/>
                <w:szCs w:val="24"/>
              </w:rPr>
              <w:t>будуть встановлюватися окремо для кожного об’є</w:t>
            </w:r>
            <w:r w:rsidR="00B83CFC">
              <w:rPr>
                <w:rFonts w:ascii="Times New Roman" w:eastAsia="Times New Roman" w:hAnsi="Times New Roman" w:cs="Times New Roman"/>
                <w:color w:val="000000"/>
                <w:sz w:val="24"/>
                <w:szCs w:val="24"/>
              </w:rPr>
              <w:t>кту]</w:t>
            </w:r>
            <w:r w:rsidRPr="00B83CFC">
              <w:rPr>
                <w:rFonts w:ascii="Times New Roman" w:eastAsia="Times New Roman" w:hAnsi="Times New Roman" w:cs="Times New Roman"/>
                <w:color w:val="000000"/>
                <w:sz w:val="24"/>
                <w:szCs w:val="24"/>
              </w:rPr>
              <w:t>.</w:t>
            </w:r>
          </w:p>
        </w:tc>
      </w:tr>
      <w:tr w:rsidR="00C82386" w14:paraId="10069625" w14:textId="77777777" w:rsidTr="007F2B4D">
        <w:tc>
          <w:tcPr>
            <w:tcW w:w="1953" w:type="dxa"/>
          </w:tcPr>
          <w:p w14:paraId="3BED04E8" w14:textId="77777777" w:rsidR="00C82386" w:rsidRDefault="00E66F64">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Вразливі групи населення</w:t>
            </w:r>
          </w:p>
        </w:tc>
        <w:tc>
          <w:tcPr>
            <w:tcW w:w="7407" w:type="dxa"/>
            <w:gridSpan w:val="4"/>
          </w:tcPr>
          <w:p w14:paraId="0EE205D6" w14:textId="77777777" w:rsidR="00C82386" w:rsidRDefault="00E66F6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w:t>
            </w:r>
          </w:p>
        </w:tc>
      </w:tr>
    </w:tbl>
    <w:p w14:paraId="67BAD425" w14:textId="77777777" w:rsidR="00C82386" w:rsidRDefault="00C82386">
      <w:pPr>
        <w:spacing w:after="0"/>
        <w:jc w:val="both"/>
        <w:rPr>
          <w:rFonts w:ascii="Times New Roman" w:eastAsia="Times New Roman" w:hAnsi="Times New Roman" w:cs="Times New Roman"/>
          <w:sz w:val="24"/>
          <w:szCs w:val="24"/>
        </w:rPr>
      </w:pPr>
    </w:p>
    <w:p w14:paraId="05696CF5" w14:textId="77777777" w:rsidR="00C82386" w:rsidRDefault="00C82386">
      <w:pPr>
        <w:spacing w:after="0"/>
        <w:jc w:val="both"/>
        <w:rPr>
          <w:rFonts w:ascii="Times New Roman" w:eastAsia="Times New Roman" w:hAnsi="Times New Roman" w:cs="Times New Roman"/>
          <w:sz w:val="24"/>
          <w:szCs w:val="24"/>
        </w:rPr>
      </w:pPr>
    </w:p>
    <w:p w14:paraId="38859A7E" w14:textId="77777777" w:rsidR="00C82386" w:rsidRDefault="00C82386">
      <w:pPr>
        <w:jc w:val="both"/>
        <w:rPr>
          <w:rFonts w:ascii="Times New Roman" w:eastAsia="Times New Roman" w:hAnsi="Times New Roman" w:cs="Times New Roman"/>
          <w:sz w:val="24"/>
          <w:szCs w:val="24"/>
        </w:rPr>
        <w:sectPr w:rsidR="00C82386">
          <w:pgSz w:w="11906" w:h="16838"/>
          <w:pgMar w:top="1134" w:right="851" w:bottom="993" w:left="1701" w:header="709" w:footer="563" w:gutter="0"/>
          <w:cols w:space="720"/>
        </w:sectPr>
      </w:pPr>
    </w:p>
    <w:p w14:paraId="7884A30B" w14:textId="77777777" w:rsidR="00C82386" w:rsidRDefault="00E66F64">
      <w:pPr>
        <w:keepNext/>
        <w:keepLines/>
        <w:pBdr>
          <w:top w:val="nil"/>
          <w:left w:val="nil"/>
          <w:bottom w:val="nil"/>
          <w:right w:val="nil"/>
          <w:between w:val="nil"/>
        </w:pBdr>
        <w:spacing w:after="0"/>
        <w:jc w:val="both"/>
        <w:rPr>
          <w:rFonts w:ascii="Times New Roman" w:eastAsia="Times New Roman" w:hAnsi="Times New Roman" w:cs="Times New Roman"/>
          <w:b/>
          <w:color w:val="000000"/>
          <w:sz w:val="28"/>
          <w:szCs w:val="28"/>
        </w:rPr>
      </w:pPr>
      <w:bookmarkStart w:id="106" w:name="_heading=h.zu0gcz" w:colFirst="0" w:colLast="0"/>
      <w:bookmarkEnd w:id="106"/>
      <w:r>
        <w:rPr>
          <w:rFonts w:ascii="Times New Roman" w:eastAsia="Times New Roman" w:hAnsi="Times New Roman" w:cs="Times New Roman"/>
          <w:b/>
          <w:color w:val="000000"/>
          <w:sz w:val="28"/>
          <w:szCs w:val="28"/>
        </w:rPr>
        <w:lastRenderedPageBreak/>
        <w:t xml:space="preserve">РОЗДІЛ 9. ПЛАНУВАННЯ ТЕРИТОРІЇ ГРОМАДИ ТА ЇЇ ВИКОРИСТАННЯ </w:t>
      </w:r>
    </w:p>
    <w:p w14:paraId="136FE3F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Загальна площа громади складає 93,4 км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w:t>
      </w:r>
    </w:p>
    <w:p w14:paraId="468873A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Станом на 2024 рік розроблений Генеральний план м. Житомир. Генплан села Вереси не розроблявся.</w:t>
      </w:r>
    </w:p>
    <w:p w14:paraId="7BC8FAF2"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забезпечення сталого розвитку територій громади, підвищення ефективності використання територій м. Житомира та громади в цілому, наприкінці 2021 року прийнято рішення «Про розроблення Комплексного плану просторового розвитку території Житомирської міської територіальної громади». Станом на кінець 2024 року Комплексний план просторового розвитку території Житомирської МТГ знаходиться в стадії розроблення.</w:t>
      </w:r>
    </w:p>
    <w:p w14:paraId="685001BC"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Крім того з метою стратегічного планування та розвитку території м. Житомир та Житомирської МТГ розроблені наступні документи:</w:t>
      </w:r>
    </w:p>
    <w:p w14:paraId="605F71D2" w14:textId="77777777" w:rsidR="00C82386" w:rsidRDefault="00E66F64">
      <w:pPr>
        <w:numPr>
          <w:ilvl w:val="0"/>
          <w:numId w:val="6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Концепція інтегрованого розвитку м. Житомира до 2030 року,</w:t>
      </w:r>
    </w:p>
    <w:p w14:paraId="489E6E0A" w14:textId="77777777" w:rsidR="00C82386" w:rsidRDefault="00E66F64">
      <w:pPr>
        <w:numPr>
          <w:ilvl w:val="0"/>
          <w:numId w:val="6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 сталої міської мобільності м. Житомира,</w:t>
      </w:r>
    </w:p>
    <w:p w14:paraId="00F04CEE" w14:textId="77777777" w:rsidR="00C82386" w:rsidRDefault="00E66F64">
      <w:pPr>
        <w:numPr>
          <w:ilvl w:val="0"/>
          <w:numId w:val="6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Концепції розвитку велосипедної інфраструктури житомирської міської територіальної громади.</w:t>
      </w:r>
    </w:p>
    <w:p w14:paraId="1DC3EB07"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процесі розробки: Екологічна стратегія Житомирської громади до 2030 року.</w:t>
      </w:r>
    </w:p>
    <w:p w14:paraId="001C379A"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рисунку 8.1. наведена мапа Житомирської МТГ.</w:t>
      </w:r>
    </w:p>
    <w:p w14:paraId="558DB592" w14:textId="77777777" w:rsidR="00C82386" w:rsidRDefault="00E66F64">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ru-RU"/>
        </w:rPr>
        <w:drawing>
          <wp:inline distT="0" distB="0" distL="0" distR="0" wp14:anchorId="2838C59D" wp14:editId="2501D255">
            <wp:extent cx="5525653" cy="4948514"/>
            <wp:effectExtent l="0" t="0" r="0" b="0"/>
            <wp:docPr id="2144251955"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66"/>
                    <a:srcRect/>
                    <a:stretch>
                      <a:fillRect/>
                    </a:stretch>
                  </pic:blipFill>
                  <pic:spPr>
                    <a:xfrm>
                      <a:off x="0" y="0"/>
                      <a:ext cx="5525653" cy="4948514"/>
                    </a:xfrm>
                    <a:prstGeom prst="rect">
                      <a:avLst/>
                    </a:prstGeom>
                    <a:ln/>
                  </pic:spPr>
                </pic:pic>
              </a:graphicData>
            </a:graphic>
          </wp:inline>
        </w:drawing>
      </w:r>
    </w:p>
    <w:p w14:paraId="387B8116"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8.2. Мапа Житомирської міської територіальної громади</w:t>
      </w:r>
    </w:p>
    <w:p w14:paraId="75140DC5"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 рисунку 8.2. наведена структура територій Житомирської громади з розподілом земель за типом використання відповідно до інформації від ГУ Держгеокадастру у Житомирській області (станом на 2016 рік).</w:t>
      </w:r>
    </w:p>
    <w:p w14:paraId="1D61242C" w14:textId="77777777" w:rsidR="00C82386" w:rsidRDefault="00E66F64">
      <w:pPr>
        <w:pBdr>
          <w:top w:val="nil"/>
          <w:left w:val="nil"/>
          <w:bottom w:val="nil"/>
          <w:right w:val="nil"/>
          <w:between w:val="nil"/>
        </w:pBdr>
        <w:spacing w:after="0"/>
        <w:ind w:firstLine="709"/>
        <w:jc w:val="center"/>
        <w:rPr>
          <w:rFonts w:ascii="Times New Roman" w:eastAsia="Times New Roman" w:hAnsi="Times New Roman" w:cs="Times New Roman"/>
          <w:color w:val="000000"/>
          <w:sz w:val="24"/>
          <w:szCs w:val="24"/>
        </w:rPr>
      </w:pPr>
      <w:r>
        <w:rPr>
          <w:noProof/>
          <w:color w:val="000000"/>
          <w:lang w:val="ru-RU"/>
        </w:rPr>
        <w:drawing>
          <wp:inline distT="0" distB="0" distL="0" distR="0" wp14:anchorId="51EEC67E" wp14:editId="5041B1C7">
            <wp:extent cx="4584700" cy="2755900"/>
            <wp:effectExtent l="0" t="0" r="0" b="0"/>
            <wp:docPr id="2144251914" name="Диаграмма 21442519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2B56B26"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 8.1. Структура земельного фонду Житомирської МТГ</w:t>
      </w:r>
    </w:p>
    <w:p w14:paraId="74DC6F5C"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Переважну частину площі громади (44,7%) займає міська забудова. Крім того ще 32,6% складає рілля. До лісів та інших лісовкритих площ відноситься 7,1% від загальної території громади. Ще 3,7% складають багаторічні насадження, 0,5% - болота, 2,6% - в</w:t>
      </w:r>
      <w:r>
        <w:rPr>
          <w:rFonts w:ascii="Times New Roman" w:eastAsia="Times New Roman" w:hAnsi="Times New Roman" w:cs="Times New Roman"/>
          <w:sz w:val="24"/>
          <w:szCs w:val="24"/>
        </w:rPr>
        <w:t>криті водою</w:t>
      </w:r>
      <w:r>
        <w:rPr>
          <w:rFonts w:ascii="Times New Roman" w:eastAsia="Times New Roman" w:hAnsi="Times New Roman" w:cs="Times New Roman"/>
          <w:color w:val="000000"/>
          <w:sz w:val="24"/>
          <w:szCs w:val="24"/>
        </w:rPr>
        <w:t xml:space="preserve"> поверхні (землі водного фонду). Ці території (разом 13,9%) відносяться до міських зелених зон, лісових господарств, заказників, природоохоронних зон, пам’яток природи.</w:t>
      </w:r>
    </w:p>
    <w:p w14:paraId="47A92577"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Міська забудова у Житомирській МТГ має переважно багатоповерховий характер (79,3%). Приватна садибна забудову у м. Житомир складає 20,7%. У селі Вереси присутня переважно приватна садибна забудова. </w:t>
      </w:r>
    </w:p>
    <w:p w14:paraId="3F0F289D"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м. Житомир проживає 99,1% від загального населення громади. Середня щільність населення дорівнює 4380 осіб/км</w:t>
      </w:r>
      <w:r>
        <w:rPr>
          <w:rFonts w:ascii="Times New Roman" w:eastAsia="Times New Roman" w:hAnsi="Times New Roman" w:cs="Times New Roman"/>
          <w:color w:val="000000"/>
          <w:sz w:val="24"/>
          <w:szCs w:val="24"/>
          <w:vertAlign w:val="superscript"/>
        </w:rPr>
        <w:t xml:space="preserve">2 </w:t>
      </w:r>
      <w:r>
        <w:rPr>
          <w:rFonts w:ascii="Times New Roman" w:eastAsia="Times New Roman" w:hAnsi="Times New Roman" w:cs="Times New Roman"/>
          <w:color w:val="000000"/>
          <w:sz w:val="24"/>
          <w:szCs w:val="24"/>
        </w:rPr>
        <w:t>в зонах розселення. В центральних кварталах щільність населення становить 5825-7122 осіб/м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Для зони забудови села Вереси щільність населення складає 2213,3 осіб/км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w:t>
      </w:r>
    </w:p>
    <w:p w14:paraId="4395D578" w14:textId="77777777" w:rsidR="00C82386" w:rsidRDefault="00E66F64">
      <w:pPr>
        <w:pBdr>
          <w:top w:val="nil"/>
          <w:left w:val="nil"/>
          <w:bottom w:val="nil"/>
          <w:right w:val="nil"/>
          <w:between w:val="nil"/>
        </w:pBdr>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Розселення на території громади наведено на рисунку 8.3.</w:t>
      </w:r>
    </w:p>
    <w:p w14:paraId="662B2C8A" w14:textId="77777777" w:rsidR="00C82386" w:rsidRDefault="00E66F64">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lastRenderedPageBreak/>
        <w:drawing>
          <wp:inline distT="0" distB="0" distL="0" distR="0" wp14:anchorId="034E0F9D" wp14:editId="64B9B839">
            <wp:extent cx="5935980" cy="5905500"/>
            <wp:effectExtent l="0" t="0" r="0" b="0"/>
            <wp:docPr id="2144251956"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68"/>
                    <a:srcRect/>
                    <a:stretch>
                      <a:fillRect/>
                    </a:stretch>
                  </pic:blipFill>
                  <pic:spPr>
                    <a:xfrm>
                      <a:off x="0" y="0"/>
                      <a:ext cx="5935980" cy="5905500"/>
                    </a:xfrm>
                    <a:prstGeom prst="rect">
                      <a:avLst/>
                    </a:prstGeom>
                    <a:ln/>
                  </pic:spPr>
                </pic:pic>
              </a:graphicData>
            </a:graphic>
          </wp:inline>
        </w:drawing>
      </w:r>
    </w:p>
    <w:p w14:paraId="2158A312" w14:textId="77777777" w:rsidR="00C82386" w:rsidRDefault="00E66F64">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8.3. Мапа розселення у мікрорайонах м. Житомир станом на 2017 рік, Концепція інтегрованого розвитку м. Житомир</w:t>
      </w:r>
    </w:p>
    <w:p w14:paraId="6074A375"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Генеральний План м. Житомир був оновлений у 2016 році (затверджено рішенням Житомирської міської ради № 454 від 30.11.2016) ДП Українським державним науково-дослідним інститутом </w:t>
      </w:r>
      <w:r>
        <w:rPr>
          <w:rFonts w:ascii="Times New Roman" w:eastAsia="Times New Roman" w:hAnsi="Times New Roman" w:cs="Times New Roman"/>
          <w:sz w:val="24"/>
          <w:szCs w:val="24"/>
        </w:rPr>
        <w:t>проектування</w:t>
      </w:r>
      <w:r>
        <w:rPr>
          <w:rFonts w:ascii="Times New Roman" w:eastAsia="Times New Roman" w:hAnsi="Times New Roman" w:cs="Times New Roman"/>
          <w:color w:val="000000"/>
          <w:sz w:val="24"/>
          <w:szCs w:val="24"/>
        </w:rPr>
        <w:t xml:space="preserve"> міст «ДІПРОМІСТО». Проєкт з оновлення Генплану містить у собі пояснювальну записку і графічну частину: схема розташування міста в системі розселення, генеральний план (основне креслення), модель перспективного розвитку міста, план існуючого використання територій, схема існуючих планувальних обмежень, схема інженерного обладнання територій (теплопостачання та газопостачання; електропостачання, телефонний зв’язок та </w:t>
      </w:r>
      <w:r>
        <w:rPr>
          <w:rFonts w:ascii="Times New Roman" w:eastAsia="Times New Roman" w:hAnsi="Times New Roman" w:cs="Times New Roman"/>
          <w:sz w:val="24"/>
          <w:szCs w:val="24"/>
        </w:rPr>
        <w:t>проводове</w:t>
      </w:r>
      <w:r>
        <w:rPr>
          <w:rFonts w:ascii="Times New Roman" w:eastAsia="Times New Roman" w:hAnsi="Times New Roman" w:cs="Times New Roman"/>
          <w:color w:val="000000"/>
          <w:sz w:val="24"/>
          <w:szCs w:val="24"/>
        </w:rPr>
        <w:t xml:space="preserve"> мовлення; каналізація), схема вулично-дорожньої мережі, схема міського та зовнішнього транспорту, схема інженерної підготовки та захисту територій. Проєкт розроблено на розрахунковий етап до 01.01.2035 р.</w:t>
      </w:r>
    </w:p>
    <w:p w14:paraId="75AFA900"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Окремо у 2017 році рішенням Житомирської міської ради № 579 від 04.04.2017 р. затверджено План Зонування міста Житомира.</w:t>
      </w:r>
    </w:p>
    <w:p w14:paraId="6EF35B9C" w14:textId="77777777" w:rsidR="00C82386" w:rsidRDefault="00E66F64">
      <w:pPr>
        <w:pBdr>
          <w:top w:val="nil"/>
          <w:left w:val="nil"/>
          <w:bottom w:val="nil"/>
          <w:right w:val="nil"/>
          <w:between w:val="nil"/>
        </w:pBdr>
        <w:ind w:firstLine="709"/>
        <w:jc w:val="both"/>
        <w:rPr>
          <w:rFonts w:ascii="Times New Roman" w:eastAsia="Times New Roman" w:hAnsi="Times New Roman" w:cs="Times New Roman"/>
          <w:color w:val="000000"/>
          <w:sz w:val="24"/>
          <w:szCs w:val="24"/>
        </w:rPr>
      </w:pPr>
      <w:r w:rsidRPr="002F6ECB">
        <w:rPr>
          <w:rFonts w:ascii="Times New Roman" w:eastAsia="Times New Roman" w:hAnsi="Times New Roman" w:cs="Times New Roman"/>
          <w:color w:val="000000"/>
          <w:sz w:val="24"/>
          <w:szCs w:val="24"/>
        </w:rPr>
        <w:lastRenderedPageBreak/>
        <w:t xml:space="preserve">Схема водопостачання </w:t>
      </w:r>
      <w:r w:rsidR="002F6ECB" w:rsidRPr="002F6ECB">
        <w:rPr>
          <w:rFonts w:ascii="Times New Roman" w:eastAsia="Times New Roman" w:hAnsi="Times New Roman" w:cs="Times New Roman"/>
          <w:color w:val="000000"/>
          <w:sz w:val="24"/>
          <w:szCs w:val="24"/>
        </w:rPr>
        <w:t xml:space="preserve">міста </w:t>
      </w:r>
      <w:r w:rsidRPr="002F6ECB">
        <w:rPr>
          <w:rFonts w:ascii="Times New Roman" w:eastAsia="Times New Roman" w:hAnsi="Times New Roman" w:cs="Times New Roman"/>
          <w:color w:val="000000"/>
          <w:sz w:val="24"/>
          <w:szCs w:val="24"/>
        </w:rPr>
        <w:t>не розроблялася.</w:t>
      </w:r>
    </w:p>
    <w:p w14:paraId="090E5E32" w14:textId="77777777" w:rsidR="00C82386" w:rsidRDefault="00E66F64">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ru-RU"/>
        </w:rPr>
        <w:drawing>
          <wp:inline distT="0" distB="0" distL="0" distR="0" wp14:anchorId="43DD59C5" wp14:editId="1DC9BD19">
            <wp:extent cx="5939790" cy="5871210"/>
            <wp:effectExtent l="0" t="0" r="0" b="0"/>
            <wp:docPr id="2144251957"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69"/>
                    <a:srcRect/>
                    <a:stretch>
                      <a:fillRect/>
                    </a:stretch>
                  </pic:blipFill>
                  <pic:spPr>
                    <a:xfrm>
                      <a:off x="0" y="0"/>
                      <a:ext cx="5939790" cy="5871210"/>
                    </a:xfrm>
                    <a:prstGeom prst="rect">
                      <a:avLst/>
                    </a:prstGeom>
                    <a:ln/>
                  </pic:spPr>
                </pic:pic>
              </a:graphicData>
            </a:graphic>
          </wp:inline>
        </w:drawing>
      </w:r>
    </w:p>
    <w:p w14:paraId="074054A5" w14:textId="77777777" w:rsidR="00C82386" w:rsidRDefault="00E66F64">
      <w:pPr>
        <w:pBdr>
          <w:top w:val="nil"/>
          <w:left w:val="nil"/>
          <w:bottom w:val="nil"/>
          <w:right w:val="nil"/>
          <w:between w:val="nil"/>
        </w:pBdr>
        <w:spacing w:after="0"/>
        <w:ind w:left="720" w:hanging="72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Рис. 8.4. Мапа Генплану м. Житомир</w:t>
      </w:r>
    </w:p>
    <w:p w14:paraId="49FC056C" w14:textId="77777777" w:rsidR="00C82386" w:rsidRDefault="00E66F64">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Подальший розвиток м. Житомир відбувається згідно перспективного плану розвитку міста. Відбувається забудова і розвиток території як для житлової і громадської забудови так і для територій промислового використання. В перспективному плані планується розширення території міста Житомир через приєднання територій навколишніх територій, які зараз є вже фактично продовженням забудови міста.</w:t>
      </w:r>
    </w:p>
    <w:p w14:paraId="6468E503" w14:textId="77777777" w:rsidR="00C82386" w:rsidRDefault="00E66F64">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ru-RU"/>
        </w:rPr>
        <w:lastRenderedPageBreak/>
        <w:drawing>
          <wp:inline distT="0" distB="0" distL="0" distR="0" wp14:anchorId="5F683C73" wp14:editId="3CE3F5D9">
            <wp:extent cx="5939790" cy="5871210"/>
            <wp:effectExtent l="0" t="0" r="0" b="0"/>
            <wp:docPr id="2144251958"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70"/>
                    <a:srcRect/>
                    <a:stretch>
                      <a:fillRect/>
                    </a:stretch>
                  </pic:blipFill>
                  <pic:spPr>
                    <a:xfrm>
                      <a:off x="0" y="0"/>
                      <a:ext cx="5939790" cy="5871210"/>
                    </a:xfrm>
                    <a:prstGeom prst="rect">
                      <a:avLst/>
                    </a:prstGeom>
                    <a:ln/>
                  </pic:spPr>
                </pic:pic>
              </a:graphicData>
            </a:graphic>
          </wp:inline>
        </w:drawing>
      </w:r>
    </w:p>
    <w:p w14:paraId="272689B2" w14:textId="77777777" w:rsidR="00C82386" w:rsidRDefault="00E66F64">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Рис. 8.5. Модель перспективного розвитку міста Житомир</w:t>
      </w:r>
    </w:p>
    <w:p w14:paraId="0C7D30D5" w14:textId="77777777" w:rsidR="00C82386" w:rsidRDefault="00E66F64">
      <w:pPr>
        <w:rPr>
          <w:rFonts w:ascii="Times New Roman" w:eastAsia="Times New Roman" w:hAnsi="Times New Roman" w:cs="Times New Roman"/>
          <w:sz w:val="24"/>
          <w:szCs w:val="24"/>
        </w:rPr>
      </w:pPr>
      <w:r>
        <w:br w:type="page"/>
      </w:r>
    </w:p>
    <w:p w14:paraId="39C71393" w14:textId="77777777" w:rsidR="00C82386" w:rsidRDefault="00E66F64">
      <w:pPr>
        <w:keepNext/>
        <w:keepLines/>
        <w:pBdr>
          <w:top w:val="nil"/>
          <w:left w:val="nil"/>
          <w:bottom w:val="nil"/>
          <w:right w:val="nil"/>
          <w:between w:val="nil"/>
        </w:pBdr>
        <w:spacing w:after="0"/>
        <w:jc w:val="both"/>
        <w:rPr>
          <w:rFonts w:ascii="Times New Roman" w:eastAsia="Times New Roman" w:hAnsi="Times New Roman" w:cs="Times New Roman"/>
          <w:b/>
          <w:color w:val="000000"/>
          <w:sz w:val="28"/>
          <w:szCs w:val="28"/>
        </w:rPr>
      </w:pPr>
      <w:bookmarkStart w:id="107" w:name="_heading=h.3jtnz0s" w:colFirst="0" w:colLast="0"/>
      <w:bookmarkEnd w:id="107"/>
      <w:r>
        <w:rPr>
          <w:rFonts w:ascii="Times New Roman" w:eastAsia="Times New Roman" w:hAnsi="Times New Roman" w:cs="Times New Roman"/>
          <w:b/>
          <w:color w:val="000000"/>
          <w:sz w:val="28"/>
          <w:szCs w:val="28"/>
        </w:rPr>
        <w:lastRenderedPageBreak/>
        <w:t>РОЗДІЛ 10. ВИЗНАЧЕННЯ ДЖЕРЕЛ ФІНАНСУВАННЯ ЗАПЛАНОВАНИХ ЗАХОДІВ ПДСЕРК</w:t>
      </w:r>
    </w:p>
    <w:p w14:paraId="2546D11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в достатньому обсязі фінансових інвестицій, направлених на реалізацію енергоефективних проектів та проектів з адаптації до змін клімату, є необхідним для успішної реалізації ПДСЕРК.</w:t>
      </w:r>
    </w:p>
    <w:p w14:paraId="28CFF4F0" w14:textId="77777777" w:rsidR="00C82386" w:rsidRDefault="00A642FA">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Розрахунковий</w:t>
      </w:r>
      <w:r w:rsidR="00E66F64">
        <w:rPr>
          <w:rFonts w:ascii="Times New Roman" w:eastAsia="Times New Roman" w:hAnsi="Times New Roman" w:cs="Times New Roman"/>
          <w:sz w:val="24"/>
          <w:szCs w:val="24"/>
        </w:rPr>
        <w:t xml:space="preserve"> обсяг коштів, які необхідно скерувати на реалізацію проектів у обраних секторах ПДСЕРК </w:t>
      </w:r>
      <w:r w:rsidR="0014045D">
        <w:rPr>
          <w:rFonts w:ascii="Times New Roman" w:eastAsia="Times New Roman" w:hAnsi="Times New Roman" w:cs="Times New Roman"/>
          <w:sz w:val="24"/>
          <w:szCs w:val="24"/>
        </w:rPr>
        <w:t>складає</w:t>
      </w:r>
      <w:r w:rsidR="00E66F64">
        <w:rPr>
          <w:rFonts w:ascii="Times New Roman" w:eastAsia="Times New Roman" w:hAnsi="Times New Roman" w:cs="Times New Roman"/>
          <w:sz w:val="24"/>
          <w:szCs w:val="24"/>
        </w:rPr>
        <w:t xml:space="preserve"> </w:t>
      </w:r>
      <w:r w:rsidR="0014045D">
        <w:rPr>
          <w:rFonts w:ascii="Times New Roman" w:eastAsia="Times New Roman" w:hAnsi="Times New Roman" w:cs="Times New Roman"/>
          <w:sz w:val="24"/>
          <w:szCs w:val="24"/>
        </w:rPr>
        <w:t>15 552 684</w:t>
      </w:r>
      <w:r w:rsidR="00E66F64">
        <w:rPr>
          <w:rFonts w:ascii="Times New Roman" w:eastAsia="Times New Roman" w:hAnsi="Times New Roman" w:cs="Times New Roman"/>
          <w:sz w:val="24"/>
          <w:szCs w:val="24"/>
        </w:rPr>
        <w:t xml:space="preserve"> тис. грн. (табл. 9.1.).</w:t>
      </w:r>
    </w:p>
    <w:p w14:paraId="4CF45AA7"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9.1.</w:t>
      </w:r>
    </w:p>
    <w:p w14:paraId="55468CB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 необхідних інвестицій для впровадження заходів з пом’якшення наслідків змін клімату (енергоефективних заходів) </w:t>
      </w:r>
      <w:r>
        <w:rPr>
          <w:rFonts w:ascii="Times New Roman" w:eastAsia="Times New Roman" w:hAnsi="Times New Roman" w:cs="Times New Roman"/>
          <w:sz w:val="24"/>
          <w:szCs w:val="24"/>
        </w:rPr>
        <w:br/>
        <w:t>у Житомирській МТГ для виконання зобов’язань ПДСЕРК</w:t>
      </w:r>
    </w:p>
    <w:p w14:paraId="0E9200DC" w14:textId="77777777" w:rsidR="00962621" w:rsidRDefault="00962621">
      <w:pPr>
        <w:spacing w:after="0"/>
        <w:jc w:val="center"/>
        <w:rPr>
          <w:rFonts w:ascii="Times New Roman" w:eastAsia="Times New Roman" w:hAnsi="Times New Roman" w:cs="Times New Roman"/>
          <w:sz w:val="24"/>
          <w:szCs w:val="24"/>
        </w:rPr>
      </w:pPr>
    </w:p>
    <w:tbl>
      <w:tblPr>
        <w:tblStyle w:val="affffffff7"/>
        <w:tblW w:w="924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1"/>
        <w:gridCol w:w="2340"/>
        <w:gridCol w:w="2127"/>
        <w:gridCol w:w="1904"/>
      </w:tblGrid>
      <w:tr w:rsidR="00C82386" w:rsidRPr="00F5209C" w14:paraId="0712EACB" w14:textId="77777777">
        <w:trPr>
          <w:jc w:val="center"/>
        </w:trPr>
        <w:tc>
          <w:tcPr>
            <w:tcW w:w="2871" w:type="dxa"/>
          </w:tcPr>
          <w:p w14:paraId="1237B55E" w14:textId="77777777" w:rsidR="00C82386" w:rsidRPr="00F5209C" w:rsidRDefault="00E66F64">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color w:val="000000"/>
                <w:sz w:val="24"/>
                <w:szCs w:val="24"/>
              </w:rPr>
              <w:t xml:space="preserve">Сектори </w:t>
            </w:r>
          </w:p>
        </w:tc>
        <w:tc>
          <w:tcPr>
            <w:tcW w:w="2340" w:type="dxa"/>
          </w:tcPr>
          <w:p w14:paraId="7E358886" w14:textId="77777777" w:rsidR="00C82386" w:rsidRPr="00F5209C" w:rsidRDefault="00E66F64" w:rsidP="0014045D">
            <w:pPr>
              <w:spacing w:after="0" w:line="240" w:lineRule="auto"/>
              <w:jc w:val="center"/>
              <w:rPr>
                <w:rFonts w:ascii="Times New Roman" w:eastAsia="Times New Roman" w:hAnsi="Times New Roman" w:cs="Times New Roman"/>
                <w:color w:val="000000"/>
                <w:sz w:val="24"/>
                <w:szCs w:val="24"/>
              </w:rPr>
            </w:pPr>
            <w:r w:rsidRPr="00F5209C">
              <w:rPr>
                <w:rFonts w:ascii="Times New Roman" w:eastAsia="Times New Roman" w:hAnsi="Times New Roman" w:cs="Times New Roman"/>
                <w:color w:val="000000"/>
                <w:sz w:val="24"/>
                <w:szCs w:val="24"/>
              </w:rPr>
              <w:t xml:space="preserve">Виконані інвестиції станом на </w:t>
            </w:r>
            <w:r w:rsidR="00962621" w:rsidRPr="00F5209C">
              <w:rPr>
                <w:rFonts w:ascii="Times New Roman" w:eastAsia="Times New Roman" w:hAnsi="Times New Roman" w:cs="Times New Roman"/>
                <w:color w:val="000000"/>
                <w:sz w:val="24"/>
                <w:szCs w:val="24"/>
              </w:rPr>
              <w:t xml:space="preserve">початок </w:t>
            </w:r>
            <w:r w:rsidRPr="00F5209C">
              <w:rPr>
                <w:rFonts w:ascii="Times New Roman" w:eastAsia="Times New Roman" w:hAnsi="Times New Roman" w:cs="Times New Roman"/>
                <w:color w:val="000000"/>
                <w:sz w:val="24"/>
                <w:szCs w:val="24"/>
              </w:rPr>
              <w:t>202</w:t>
            </w:r>
            <w:r w:rsidR="0014045D" w:rsidRPr="00F5209C">
              <w:rPr>
                <w:rFonts w:ascii="Times New Roman" w:eastAsia="Times New Roman" w:hAnsi="Times New Roman" w:cs="Times New Roman"/>
                <w:color w:val="000000"/>
                <w:sz w:val="24"/>
                <w:szCs w:val="24"/>
              </w:rPr>
              <w:t>5</w:t>
            </w:r>
            <w:r w:rsidRPr="00F5209C">
              <w:rPr>
                <w:rFonts w:ascii="Times New Roman" w:eastAsia="Times New Roman" w:hAnsi="Times New Roman" w:cs="Times New Roman"/>
                <w:color w:val="000000"/>
                <w:sz w:val="24"/>
                <w:szCs w:val="24"/>
              </w:rPr>
              <w:t xml:space="preserve"> р., тис. грн.</w:t>
            </w:r>
          </w:p>
        </w:tc>
        <w:tc>
          <w:tcPr>
            <w:tcW w:w="2127" w:type="dxa"/>
          </w:tcPr>
          <w:p w14:paraId="66C3716A" w14:textId="77777777" w:rsidR="00C82386" w:rsidRPr="00F5209C" w:rsidRDefault="00E66F64">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color w:val="000000"/>
                <w:sz w:val="24"/>
                <w:szCs w:val="24"/>
              </w:rPr>
              <w:t xml:space="preserve">Загальна вартість інвестицій, </w:t>
            </w:r>
            <w:r w:rsidRPr="00F5209C">
              <w:rPr>
                <w:rFonts w:ascii="Times New Roman" w:eastAsia="Times New Roman" w:hAnsi="Times New Roman" w:cs="Times New Roman"/>
                <w:color w:val="000000"/>
                <w:sz w:val="24"/>
                <w:szCs w:val="24"/>
              </w:rPr>
              <w:br/>
              <w:t>тис. грн.</w:t>
            </w:r>
          </w:p>
        </w:tc>
        <w:tc>
          <w:tcPr>
            <w:tcW w:w="1904" w:type="dxa"/>
          </w:tcPr>
          <w:p w14:paraId="72E2EFB5" w14:textId="77777777" w:rsidR="00C82386" w:rsidRPr="00F5209C" w:rsidRDefault="00E66F64">
            <w:pPr>
              <w:spacing w:after="0" w:line="240" w:lineRule="auto"/>
              <w:jc w:val="center"/>
              <w:rPr>
                <w:rFonts w:ascii="Times New Roman" w:eastAsia="Times New Roman" w:hAnsi="Times New Roman" w:cs="Times New Roman"/>
                <w:color w:val="000000"/>
                <w:sz w:val="24"/>
                <w:szCs w:val="24"/>
              </w:rPr>
            </w:pPr>
            <w:r w:rsidRPr="00F5209C">
              <w:rPr>
                <w:rFonts w:ascii="Times New Roman" w:eastAsia="Times New Roman" w:hAnsi="Times New Roman" w:cs="Times New Roman"/>
                <w:color w:val="000000"/>
                <w:sz w:val="24"/>
                <w:szCs w:val="24"/>
              </w:rPr>
              <w:t>Відсоток виконаних інвестицій, %</w:t>
            </w:r>
          </w:p>
        </w:tc>
      </w:tr>
      <w:tr w:rsidR="00C82386" w:rsidRPr="00F5209C" w14:paraId="7AE9D9E5" w14:textId="77777777">
        <w:trPr>
          <w:jc w:val="center"/>
        </w:trPr>
        <w:tc>
          <w:tcPr>
            <w:tcW w:w="9242" w:type="dxa"/>
            <w:gridSpan w:val="4"/>
            <w:shd w:val="clear" w:color="auto" w:fill="F2F2F2"/>
            <w:vAlign w:val="center"/>
          </w:tcPr>
          <w:p w14:paraId="7BC620EB"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Будівлі, обладнання/об'єкти</w:t>
            </w:r>
          </w:p>
        </w:tc>
      </w:tr>
      <w:tr w:rsidR="00C82386" w:rsidRPr="00F5209C" w14:paraId="7E48FF06" w14:textId="77777777">
        <w:trPr>
          <w:jc w:val="center"/>
        </w:trPr>
        <w:tc>
          <w:tcPr>
            <w:tcW w:w="2871" w:type="dxa"/>
            <w:vAlign w:val="center"/>
          </w:tcPr>
          <w:p w14:paraId="78591036"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1. Муніципальні будівлі, обладнання/об'єкти</w:t>
            </w:r>
          </w:p>
        </w:tc>
        <w:tc>
          <w:tcPr>
            <w:tcW w:w="2340" w:type="dxa"/>
            <w:vAlign w:val="center"/>
          </w:tcPr>
          <w:p w14:paraId="0BCFE8B9"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1 498 974,0</w:t>
            </w:r>
          </w:p>
        </w:tc>
        <w:tc>
          <w:tcPr>
            <w:tcW w:w="2127" w:type="dxa"/>
            <w:vAlign w:val="center"/>
          </w:tcPr>
          <w:p w14:paraId="421FB37C"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3 330 398,0</w:t>
            </w:r>
          </w:p>
        </w:tc>
        <w:tc>
          <w:tcPr>
            <w:tcW w:w="1904" w:type="dxa"/>
            <w:vAlign w:val="center"/>
          </w:tcPr>
          <w:p w14:paraId="55357150"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45,0%</w:t>
            </w:r>
          </w:p>
        </w:tc>
      </w:tr>
      <w:tr w:rsidR="00C82386" w:rsidRPr="00F5209C" w14:paraId="3CD131FE" w14:textId="77777777">
        <w:trPr>
          <w:jc w:val="center"/>
        </w:trPr>
        <w:tc>
          <w:tcPr>
            <w:tcW w:w="2871" w:type="dxa"/>
            <w:vAlign w:val="center"/>
          </w:tcPr>
          <w:p w14:paraId="516C77C6"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 xml:space="preserve">2. Муніципальне зовнішнє  освітлення </w:t>
            </w:r>
          </w:p>
        </w:tc>
        <w:tc>
          <w:tcPr>
            <w:tcW w:w="2340" w:type="dxa"/>
            <w:vAlign w:val="center"/>
          </w:tcPr>
          <w:p w14:paraId="493BC4AA"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26 262,0</w:t>
            </w:r>
          </w:p>
        </w:tc>
        <w:tc>
          <w:tcPr>
            <w:tcW w:w="2127" w:type="dxa"/>
            <w:vAlign w:val="center"/>
          </w:tcPr>
          <w:p w14:paraId="14F49084"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40 000,0</w:t>
            </w:r>
          </w:p>
        </w:tc>
        <w:tc>
          <w:tcPr>
            <w:tcW w:w="1904" w:type="dxa"/>
            <w:vAlign w:val="center"/>
          </w:tcPr>
          <w:p w14:paraId="0558DADE"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65,7%</w:t>
            </w:r>
          </w:p>
        </w:tc>
      </w:tr>
      <w:tr w:rsidR="00C82386" w:rsidRPr="00F5209C" w14:paraId="39A0E5CF" w14:textId="77777777">
        <w:trPr>
          <w:jc w:val="center"/>
        </w:trPr>
        <w:tc>
          <w:tcPr>
            <w:tcW w:w="2871" w:type="dxa"/>
            <w:vAlign w:val="center"/>
          </w:tcPr>
          <w:p w14:paraId="4077B1B8"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3. Житлові будівлі</w:t>
            </w:r>
          </w:p>
        </w:tc>
        <w:tc>
          <w:tcPr>
            <w:tcW w:w="2340" w:type="dxa"/>
            <w:vAlign w:val="center"/>
          </w:tcPr>
          <w:p w14:paraId="4AE9AE85" w14:textId="77777777" w:rsidR="00C82386" w:rsidRPr="00F5209C" w:rsidRDefault="00F5209C">
            <w:pPr>
              <w:spacing w:after="0" w:line="240" w:lineRule="auto"/>
              <w:jc w:val="center"/>
              <w:rPr>
                <w:rFonts w:ascii="Times New Roman" w:hAnsi="Times New Roman" w:cs="Times New Roman"/>
                <w:color w:val="000000"/>
              </w:rPr>
            </w:pPr>
            <w:r w:rsidRPr="00F5209C">
              <w:rPr>
                <w:rFonts w:ascii="Times New Roman" w:hAnsi="Times New Roman" w:cs="Times New Roman"/>
                <w:color w:val="000000"/>
              </w:rPr>
              <w:t>110 667,0</w:t>
            </w:r>
          </w:p>
        </w:tc>
        <w:tc>
          <w:tcPr>
            <w:tcW w:w="2127" w:type="dxa"/>
            <w:vAlign w:val="center"/>
          </w:tcPr>
          <w:p w14:paraId="01D8F385" w14:textId="77777777" w:rsidR="00C82386" w:rsidRPr="00F5209C" w:rsidRDefault="00F5209C">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9 639 400,0</w:t>
            </w:r>
          </w:p>
        </w:tc>
        <w:tc>
          <w:tcPr>
            <w:tcW w:w="1904" w:type="dxa"/>
            <w:vAlign w:val="center"/>
          </w:tcPr>
          <w:p w14:paraId="7B02E890" w14:textId="77777777" w:rsidR="00C82386" w:rsidRPr="00F5209C" w:rsidRDefault="00F5209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1,1</w:t>
            </w:r>
            <w:r>
              <w:rPr>
                <w:rFonts w:ascii="Times New Roman" w:eastAsia="Times New Roman" w:hAnsi="Times New Roman" w:cs="Times New Roman"/>
                <w:sz w:val="24"/>
                <w:szCs w:val="24"/>
                <w:lang w:val="en-US"/>
              </w:rPr>
              <w:t>%</w:t>
            </w:r>
          </w:p>
        </w:tc>
      </w:tr>
      <w:tr w:rsidR="00C82386" w:rsidRPr="00F5209C" w14:paraId="435BBA0A" w14:textId="77777777">
        <w:trPr>
          <w:jc w:val="center"/>
        </w:trPr>
        <w:tc>
          <w:tcPr>
            <w:tcW w:w="2871" w:type="dxa"/>
            <w:vAlign w:val="center"/>
          </w:tcPr>
          <w:p w14:paraId="6C9D0C97" w14:textId="77777777" w:rsidR="00C82386" w:rsidRPr="00F5209C" w:rsidRDefault="0096758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E66F64" w:rsidRPr="00F5209C">
              <w:rPr>
                <w:rFonts w:ascii="Times New Roman" w:eastAsia="Times New Roman" w:hAnsi="Times New Roman" w:cs="Times New Roman"/>
                <w:sz w:val="24"/>
                <w:szCs w:val="24"/>
              </w:rPr>
              <w:t xml:space="preserve">. Третинні будівлі, обладнання/об’єкти </w:t>
            </w:r>
          </w:p>
        </w:tc>
        <w:tc>
          <w:tcPr>
            <w:tcW w:w="2340" w:type="dxa"/>
            <w:vAlign w:val="center"/>
          </w:tcPr>
          <w:p w14:paraId="5FF8E741" w14:textId="77777777" w:rsidR="00C82386" w:rsidRPr="00F5209C" w:rsidRDefault="00F5209C">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2127" w:type="dxa"/>
            <w:vAlign w:val="center"/>
          </w:tcPr>
          <w:p w14:paraId="6ACC7FC1" w14:textId="77777777" w:rsidR="00C82386" w:rsidRPr="00F5209C" w:rsidRDefault="00F5209C">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360 000,0</w:t>
            </w:r>
          </w:p>
        </w:tc>
        <w:tc>
          <w:tcPr>
            <w:tcW w:w="1904" w:type="dxa"/>
            <w:vAlign w:val="center"/>
          </w:tcPr>
          <w:p w14:paraId="424DF278" w14:textId="77777777" w:rsidR="00C82386" w:rsidRPr="00F5209C" w:rsidRDefault="00F5209C">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p>
        </w:tc>
      </w:tr>
      <w:tr w:rsidR="00C82386" w:rsidRPr="00F5209C" w14:paraId="703605E5" w14:textId="77777777">
        <w:trPr>
          <w:jc w:val="center"/>
        </w:trPr>
        <w:tc>
          <w:tcPr>
            <w:tcW w:w="9242" w:type="dxa"/>
            <w:gridSpan w:val="4"/>
            <w:shd w:val="clear" w:color="auto" w:fill="F2F2F2"/>
            <w:vAlign w:val="center"/>
          </w:tcPr>
          <w:p w14:paraId="30FCE04F"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Транспорт</w:t>
            </w:r>
          </w:p>
        </w:tc>
      </w:tr>
      <w:tr w:rsidR="00C82386" w:rsidRPr="00F5209C" w14:paraId="12A1800D" w14:textId="77777777">
        <w:trPr>
          <w:jc w:val="center"/>
        </w:trPr>
        <w:tc>
          <w:tcPr>
            <w:tcW w:w="2871" w:type="dxa"/>
            <w:vAlign w:val="center"/>
          </w:tcPr>
          <w:p w14:paraId="638D222B" w14:textId="77777777" w:rsidR="00C82386" w:rsidRPr="00F5209C" w:rsidRDefault="0096758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E66F64" w:rsidRPr="00F5209C">
              <w:rPr>
                <w:rFonts w:ascii="Times New Roman" w:eastAsia="Times New Roman" w:hAnsi="Times New Roman" w:cs="Times New Roman"/>
                <w:sz w:val="24"/>
                <w:szCs w:val="24"/>
              </w:rPr>
              <w:t>. Транспорт</w:t>
            </w:r>
          </w:p>
        </w:tc>
        <w:tc>
          <w:tcPr>
            <w:tcW w:w="2340" w:type="dxa"/>
            <w:vAlign w:val="center"/>
          </w:tcPr>
          <w:p w14:paraId="3864AEC1"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300 110,0</w:t>
            </w:r>
          </w:p>
        </w:tc>
        <w:tc>
          <w:tcPr>
            <w:tcW w:w="2127" w:type="dxa"/>
            <w:vAlign w:val="center"/>
          </w:tcPr>
          <w:p w14:paraId="0990E182"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824 186,0</w:t>
            </w:r>
          </w:p>
        </w:tc>
        <w:tc>
          <w:tcPr>
            <w:tcW w:w="1904" w:type="dxa"/>
            <w:vAlign w:val="center"/>
          </w:tcPr>
          <w:p w14:paraId="1627DEF8"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36,4%</w:t>
            </w:r>
          </w:p>
        </w:tc>
      </w:tr>
      <w:tr w:rsidR="00C82386" w:rsidRPr="00F5209C" w14:paraId="79C833A4" w14:textId="77777777">
        <w:trPr>
          <w:jc w:val="center"/>
        </w:trPr>
        <w:tc>
          <w:tcPr>
            <w:tcW w:w="9242" w:type="dxa"/>
            <w:gridSpan w:val="4"/>
            <w:shd w:val="clear" w:color="auto" w:fill="F2F2F2"/>
            <w:vAlign w:val="center"/>
          </w:tcPr>
          <w:p w14:paraId="58BA2FCA"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Місцеве виробництво енергії</w:t>
            </w:r>
          </w:p>
        </w:tc>
      </w:tr>
      <w:tr w:rsidR="00C82386" w:rsidRPr="00F5209C" w14:paraId="1F359747" w14:textId="77777777">
        <w:trPr>
          <w:jc w:val="center"/>
        </w:trPr>
        <w:tc>
          <w:tcPr>
            <w:tcW w:w="2871" w:type="dxa"/>
            <w:vAlign w:val="center"/>
          </w:tcPr>
          <w:p w14:paraId="107223ED" w14:textId="77777777" w:rsidR="00C82386" w:rsidRPr="00F5209C" w:rsidRDefault="0096758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E66F64" w:rsidRPr="00F5209C">
              <w:rPr>
                <w:rFonts w:ascii="Times New Roman" w:eastAsia="Times New Roman" w:hAnsi="Times New Roman" w:cs="Times New Roman"/>
                <w:sz w:val="24"/>
                <w:szCs w:val="24"/>
              </w:rPr>
              <w:t>.Місцеве виробництво електроенергії</w:t>
            </w:r>
          </w:p>
        </w:tc>
        <w:tc>
          <w:tcPr>
            <w:tcW w:w="2340" w:type="dxa"/>
            <w:vAlign w:val="center"/>
          </w:tcPr>
          <w:p w14:paraId="05D8ECA1"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114 300,0</w:t>
            </w:r>
          </w:p>
        </w:tc>
        <w:tc>
          <w:tcPr>
            <w:tcW w:w="2127" w:type="dxa"/>
            <w:vAlign w:val="center"/>
          </w:tcPr>
          <w:p w14:paraId="6DFA926F"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318 936,0</w:t>
            </w:r>
          </w:p>
        </w:tc>
        <w:tc>
          <w:tcPr>
            <w:tcW w:w="1904" w:type="dxa"/>
            <w:vAlign w:val="center"/>
          </w:tcPr>
          <w:p w14:paraId="40D0A423" w14:textId="77777777" w:rsidR="00C82386" w:rsidRPr="00F5209C" w:rsidRDefault="0096758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35,8%</w:t>
            </w:r>
          </w:p>
        </w:tc>
      </w:tr>
      <w:tr w:rsidR="00C82386" w:rsidRPr="00F5209C" w14:paraId="31D6C30A" w14:textId="77777777">
        <w:trPr>
          <w:jc w:val="center"/>
        </w:trPr>
        <w:tc>
          <w:tcPr>
            <w:tcW w:w="2871" w:type="dxa"/>
            <w:vAlign w:val="center"/>
          </w:tcPr>
          <w:p w14:paraId="65F939FC" w14:textId="77777777" w:rsidR="00C82386" w:rsidRPr="00F5209C" w:rsidRDefault="0096758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E66F64" w:rsidRPr="00F5209C">
              <w:rPr>
                <w:rFonts w:ascii="Times New Roman" w:eastAsia="Times New Roman" w:hAnsi="Times New Roman" w:cs="Times New Roman"/>
                <w:sz w:val="24"/>
                <w:szCs w:val="24"/>
              </w:rPr>
              <w:t>. Місцеве виробництво тепла/холоду</w:t>
            </w:r>
          </w:p>
        </w:tc>
        <w:tc>
          <w:tcPr>
            <w:tcW w:w="2340" w:type="dxa"/>
            <w:vAlign w:val="center"/>
          </w:tcPr>
          <w:p w14:paraId="2532656B"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738 084,0</w:t>
            </w:r>
          </w:p>
        </w:tc>
        <w:tc>
          <w:tcPr>
            <w:tcW w:w="2127" w:type="dxa"/>
            <w:vAlign w:val="center"/>
          </w:tcPr>
          <w:p w14:paraId="196990CA"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967 764,0</w:t>
            </w:r>
          </w:p>
        </w:tc>
        <w:tc>
          <w:tcPr>
            <w:tcW w:w="1904" w:type="dxa"/>
            <w:vAlign w:val="center"/>
          </w:tcPr>
          <w:p w14:paraId="01E463D6" w14:textId="77777777" w:rsidR="00C82386" w:rsidRPr="00F5209C" w:rsidRDefault="008C568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76,3%</w:t>
            </w:r>
          </w:p>
        </w:tc>
      </w:tr>
      <w:tr w:rsidR="00C82386" w:rsidRPr="00F5209C" w14:paraId="393367E6" w14:textId="77777777">
        <w:trPr>
          <w:jc w:val="center"/>
        </w:trPr>
        <w:tc>
          <w:tcPr>
            <w:tcW w:w="9242" w:type="dxa"/>
            <w:gridSpan w:val="4"/>
            <w:shd w:val="clear" w:color="auto" w:fill="F2F2F2"/>
            <w:vAlign w:val="center"/>
          </w:tcPr>
          <w:p w14:paraId="17051641"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Сектора, що не пов’язані з енергетикою</w:t>
            </w:r>
          </w:p>
        </w:tc>
      </w:tr>
      <w:tr w:rsidR="00C82386" w:rsidRPr="00F5209C" w14:paraId="49D79A47" w14:textId="77777777">
        <w:trPr>
          <w:jc w:val="center"/>
        </w:trPr>
        <w:tc>
          <w:tcPr>
            <w:tcW w:w="2871" w:type="dxa"/>
            <w:vAlign w:val="center"/>
          </w:tcPr>
          <w:p w14:paraId="0425A372" w14:textId="77777777" w:rsidR="00C82386" w:rsidRPr="00F5209C" w:rsidRDefault="00E66F64">
            <w:pPr>
              <w:spacing w:after="0" w:line="240" w:lineRule="auto"/>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8. Управління відходами</w:t>
            </w:r>
          </w:p>
        </w:tc>
        <w:tc>
          <w:tcPr>
            <w:tcW w:w="2340" w:type="dxa"/>
            <w:vAlign w:val="center"/>
          </w:tcPr>
          <w:p w14:paraId="32FC0B6E"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48 000,0</w:t>
            </w:r>
          </w:p>
        </w:tc>
        <w:tc>
          <w:tcPr>
            <w:tcW w:w="2127" w:type="dxa"/>
            <w:vAlign w:val="center"/>
          </w:tcPr>
          <w:p w14:paraId="0A4F4B96"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72 000,0</w:t>
            </w:r>
          </w:p>
        </w:tc>
        <w:tc>
          <w:tcPr>
            <w:tcW w:w="1904" w:type="dxa"/>
            <w:vAlign w:val="center"/>
          </w:tcPr>
          <w:p w14:paraId="1F137E0E" w14:textId="77777777" w:rsidR="00C82386" w:rsidRPr="00F5209C" w:rsidRDefault="00F5209C">
            <w:pPr>
              <w:spacing w:after="0" w:line="240" w:lineRule="auto"/>
              <w:jc w:val="center"/>
              <w:rPr>
                <w:rFonts w:ascii="Times New Roman" w:eastAsia="Times New Roman" w:hAnsi="Times New Roman" w:cs="Times New Roman"/>
                <w:sz w:val="24"/>
                <w:szCs w:val="24"/>
              </w:rPr>
            </w:pPr>
            <w:r w:rsidRPr="00F5209C">
              <w:rPr>
                <w:rFonts w:ascii="Times New Roman" w:eastAsia="Times New Roman" w:hAnsi="Times New Roman" w:cs="Times New Roman"/>
                <w:sz w:val="24"/>
                <w:szCs w:val="24"/>
              </w:rPr>
              <w:t>66,7%</w:t>
            </w:r>
          </w:p>
        </w:tc>
      </w:tr>
      <w:tr w:rsidR="00C82386" w:rsidRPr="00F5209C" w14:paraId="58982F8D" w14:textId="77777777">
        <w:trPr>
          <w:jc w:val="center"/>
        </w:trPr>
        <w:tc>
          <w:tcPr>
            <w:tcW w:w="2871" w:type="dxa"/>
            <w:vAlign w:val="center"/>
          </w:tcPr>
          <w:p w14:paraId="6F4682A9" w14:textId="77777777" w:rsidR="00C82386" w:rsidRPr="00F5209C" w:rsidRDefault="00E66F64" w:rsidP="00962621">
            <w:pPr>
              <w:spacing w:after="0" w:line="240" w:lineRule="auto"/>
              <w:jc w:val="right"/>
              <w:rPr>
                <w:rFonts w:ascii="Times New Roman" w:eastAsia="Times New Roman" w:hAnsi="Times New Roman" w:cs="Times New Roman"/>
                <w:b/>
                <w:sz w:val="28"/>
                <w:szCs w:val="28"/>
              </w:rPr>
            </w:pPr>
            <w:r w:rsidRPr="00F5209C">
              <w:rPr>
                <w:rFonts w:ascii="Times New Roman" w:eastAsia="Times New Roman" w:hAnsi="Times New Roman" w:cs="Times New Roman"/>
                <w:b/>
                <w:sz w:val="28"/>
                <w:szCs w:val="24"/>
              </w:rPr>
              <w:t>Всього</w:t>
            </w:r>
          </w:p>
        </w:tc>
        <w:tc>
          <w:tcPr>
            <w:tcW w:w="2340" w:type="dxa"/>
            <w:vAlign w:val="center"/>
          </w:tcPr>
          <w:p w14:paraId="7F0F8AAC" w14:textId="77777777" w:rsidR="00C82386" w:rsidRPr="00F5209C" w:rsidRDefault="00962621">
            <w:pPr>
              <w:spacing w:after="0" w:line="240" w:lineRule="auto"/>
              <w:jc w:val="center"/>
              <w:rPr>
                <w:rFonts w:ascii="Times New Roman" w:eastAsia="Times New Roman" w:hAnsi="Times New Roman" w:cs="Times New Roman"/>
                <w:b/>
                <w:sz w:val="28"/>
                <w:szCs w:val="28"/>
              </w:rPr>
            </w:pPr>
            <w:r w:rsidRPr="00F5209C">
              <w:rPr>
                <w:rFonts w:ascii="Times New Roman" w:eastAsia="Times New Roman" w:hAnsi="Times New Roman" w:cs="Times New Roman"/>
                <w:b/>
                <w:sz w:val="28"/>
                <w:szCs w:val="28"/>
              </w:rPr>
              <w:t>2 836 397</w:t>
            </w:r>
            <w:r w:rsidR="00E66F64" w:rsidRPr="00F5209C">
              <w:rPr>
                <w:rFonts w:ascii="Times New Roman" w:eastAsia="Times New Roman" w:hAnsi="Times New Roman" w:cs="Times New Roman"/>
                <w:b/>
                <w:sz w:val="28"/>
                <w:szCs w:val="28"/>
              </w:rPr>
              <w:t>,0</w:t>
            </w:r>
          </w:p>
        </w:tc>
        <w:tc>
          <w:tcPr>
            <w:tcW w:w="2127" w:type="dxa"/>
            <w:vAlign w:val="center"/>
          </w:tcPr>
          <w:p w14:paraId="1247DD4D" w14:textId="77777777" w:rsidR="00C82386" w:rsidRPr="00F5209C" w:rsidRDefault="00E66F64" w:rsidP="00962621">
            <w:pPr>
              <w:spacing w:after="0" w:line="240" w:lineRule="auto"/>
              <w:jc w:val="center"/>
              <w:rPr>
                <w:rFonts w:ascii="Times New Roman" w:eastAsia="Times New Roman" w:hAnsi="Times New Roman" w:cs="Times New Roman"/>
                <w:b/>
                <w:sz w:val="28"/>
                <w:szCs w:val="28"/>
              </w:rPr>
            </w:pPr>
            <w:r w:rsidRPr="00F5209C">
              <w:rPr>
                <w:rFonts w:ascii="Times New Roman" w:eastAsia="Times New Roman" w:hAnsi="Times New Roman" w:cs="Times New Roman"/>
                <w:b/>
                <w:sz w:val="28"/>
                <w:szCs w:val="28"/>
              </w:rPr>
              <w:t>1</w:t>
            </w:r>
            <w:r w:rsidR="00962621" w:rsidRPr="00F5209C">
              <w:rPr>
                <w:rFonts w:ascii="Times New Roman" w:eastAsia="Times New Roman" w:hAnsi="Times New Roman" w:cs="Times New Roman"/>
                <w:b/>
                <w:sz w:val="28"/>
                <w:szCs w:val="28"/>
              </w:rPr>
              <w:t>5 552 684,0</w:t>
            </w:r>
          </w:p>
        </w:tc>
        <w:tc>
          <w:tcPr>
            <w:tcW w:w="1904" w:type="dxa"/>
            <w:vAlign w:val="center"/>
          </w:tcPr>
          <w:p w14:paraId="6A018D57" w14:textId="77777777" w:rsidR="00C82386" w:rsidRPr="00F5209C" w:rsidRDefault="00962621" w:rsidP="00962621">
            <w:pPr>
              <w:spacing w:after="0" w:line="240" w:lineRule="auto"/>
              <w:jc w:val="center"/>
              <w:rPr>
                <w:rFonts w:ascii="Times New Roman" w:eastAsia="Times New Roman" w:hAnsi="Times New Roman" w:cs="Times New Roman"/>
                <w:b/>
                <w:sz w:val="28"/>
                <w:szCs w:val="28"/>
              </w:rPr>
            </w:pPr>
            <w:r w:rsidRPr="00F5209C">
              <w:rPr>
                <w:rFonts w:ascii="Times New Roman" w:eastAsia="Times New Roman" w:hAnsi="Times New Roman" w:cs="Times New Roman"/>
                <w:b/>
                <w:sz w:val="28"/>
                <w:szCs w:val="28"/>
              </w:rPr>
              <w:t>1</w:t>
            </w:r>
            <w:r w:rsidR="00E66F64" w:rsidRPr="00F5209C">
              <w:rPr>
                <w:rFonts w:ascii="Times New Roman" w:eastAsia="Times New Roman" w:hAnsi="Times New Roman" w:cs="Times New Roman"/>
                <w:b/>
                <w:sz w:val="28"/>
                <w:szCs w:val="28"/>
              </w:rPr>
              <w:t>8,</w:t>
            </w:r>
            <w:r w:rsidRPr="00F5209C">
              <w:rPr>
                <w:rFonts w:ascii="Times New Roman" w:eastAsia="Times New Roman" w:hAnsi="Times New Roman" w:cs="Times New Roman"/>
                <w:b/>
                <w:sz w:val="28"/>
                <w:szCs w:val="28"/>
              </w:rPr>
              <w:t>2</w:t>
            </w:r>
            <w:r w:rsidR="00E66F64" w:rsidRPr="00F5209C">
              <w:rPr>
                <w:rFonts w:ascii="Times New Roman" w:eastAsia="Times New Roman" w:hAnsi="Times New Roman" w:cs="Times New Roman"/>
                <w:b/>
                <w:sz w:val="28"/>
                <w:szCs w:val="28"/>
              </w:rPr>
              <w:t>%</w:t>
            </w:r>
          </w:p>
        </w:tc>
      </w:tr>
    </w:tbl>
    <w:p w14:paraId="6165121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секторі «Муніципальні будівлі, обладнання та споруди», як основне джерело фінансування, розглядаються кредитні та грантові кошти із забезпеченням співфінансування зі сторони бюджету громади. </w:t>
      </w:r>
    </w:p>
    <w:p w14:paraId="7D74867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житлових будівель значну частину фінансування забезпечують мешканці (близько 30-50% співфінансування, залежно від комплексності виконання енергоефективних заходів) та державний бюджет в рамках програм «Енергодім» та «Віднови Дім» (за потреби). Крім того є можливість залучення банківських кредитів, які в мирний час надають українські банки, для впровадження енергоефективних заходів. </w:t>
      </w:r>
    </w:p>
    <w:p w14:paraId="7A58BD8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інших секторів визначальним джерелом фінансування, крім кредитних та грантових коштів, є власні кошти споживачів, установ, організацій та підприємств-постачальників енергетичних ресурсів.</w:t>
      </w:r>
    </w:p>
    <w:p w14:paraId="396BECF0"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Таким чином, для реалізації ПДСЕРК Житомирської МТГ розглядаються наступні джерела фінансування:</w:t>
      </w:r>
    </w:p>
    <w:p w14:paraId="7C6D87A1"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Цільові програми (міський бюджет)</w:t>
      </w:r>
    </w:p>
    <w:p w14:paraId="10F9208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Цільові бюджетні програми громади є основним фінансовим джерелом при плануванні і реалізації заходів малої та середньої вартості. Такі заходи можуть повністю або частково фінансуватися з бюджету громади (міста).</w:t>
      </w:r>
    </w:p>
    <w:p w14:paraId="4061AA64"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Також міській бюджет виступає як джерело, що бере участь співфінансування від 10 до 30% при залученні кредитування або грантових коштів.</w:t>
      </w:r>
    </w:p>
    <w:p w14:paraId="7DD2A5E0"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Однією з дієвих програм із залученням мешканців до планування і реалізації заходів </w:t>
      </w:r>
      <w:r w:rsidR="00B55434">
        <w:rPr>
          <w:rFonts w:ascii="Times New Roman" w:eastAsia="Times New Roman" w:hAnsi="Times New Roman" w:cs="Times New Roman"/>
          <w:sz w:val="24"/>
          <w:szCs w:val="24"/>
        </w:rPr>
        <w:t>була</w:t>
      </w:r>
      <w:r>
        <w:rPr>
          <w:rFonts w:ascii="Times New Roman" w:eastAsia="Times New Roman" w:hAnsi="Times New Roman" w:cs="Times New Roman"/>
          <w:sz w:val="24"/>
          <w:szCs w:val="24"/>
        </w:rPr>
        <w:t xml:space="preserve"> програма «Бюджет участі» (Громадський бюджет), яка дозволя</w:t>
      </w:r>
      <w:r w:rsidR="00B55434">
        <w:rPr>
          <w:rFonts w:ascii="Times New Roman" w:eastAsia="Times New Roman" w:hAnsi="Times New Roman" w:cs="Times New Roman"/>
          <w:sz w:val="24"/>
          <w:szCs w:val="24"/>
        </w:rPr>
        <w:t>ла</w:t>
      </w:r>
      <w:r>
        <w:rPr>
          <w:rFonts w:ascii="Times New Roman" w:eastAsia="Times New Roman" w:hAnsi="Times New Roman" w:cs="Times New Roman"/>
          <w:sz w:val="24"/>
          <w:szCs w:val="24"/>
        </w:rPr>
        <w:t xml:space="preserve"> вирішити нагальні питання міської інфраструктури, екологічні проблеми за ініціативою громадян, запровадити новітні урбаністичні рішення, а також нада</w:t>
      </w:r>
      <w:r w:rsidR="00B55434">
        <w:rPr>
          <w:rFonts w:ascii="Times New Roman" w:eastAsia="Times New Roman" w:hAnsi="Times New Roman" w:cs="Times New Roman"/>
          <w:sz w:val="24"/>
          <w:szCs w:val="24"/>
        </w:rPr>
        <w:t>вала</w:t>
      </w:r>
      <w:r>
        <w:rPr>
          <w:rFonts w:ascii="Times New Roman" w:eastAsia="Times New Roman" w:hAnsi="Times New Roman" w:cs="Times New Roman"/>
          <w:sz w:val="24"/>
          <w:szCs w:val="24"/>
        </w:rPr>
        <w:t xml:space="preserve"> можливість активним мешканцям покращити свої навички у </w:t>
      </w:r>
      <w:r w:rsidR="00B55434">
        <w:rPr>
          <w:rFonts w:ascii="Times New Roman" w:eastAsia="Times New Roman" w:hAnsi="Times New Roman" w:cs="Times New Roman"/>
          <w:sz w:val="24"/>
          <w:szCs w:val="24"/>
        </w:rPr>
        <w:t>в</w:t>
      </w:r>
      <w:r>
        <w:rPr>
          <w:rFonts w:ascii="Times New Roman" w:eastAsia="Times New Roman" w:hAnsi="Times New Roman" w:cs="Times New Roman"/>
          <w:sz w:val="24"/>
          <w:szCs w:val="24"/>
        </w:rPr>
        <w:t>провадженні проектів.</w:t>
      </w:r>
    </w:p>
    <w:p w14:paraId="153283A1"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Державні цільові програми (державний бюджет)</w:t>
      </w:r>
    </w:p>
    <w:p w14:paraId="4DF077B4"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Державні програми, які регулюються Законами України і підзаконними актами. Реалізація державних цільових програм координується міністерствами, або обласними профільними управліннями.</w:t>
      </w:r>
    </w:p>
    <w:p w14:paraId="1D2D016B"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 приклад, до таких програм можна віднести Програму «Е</w:t>
      </w:r>
      <w:r w:rsidR="00B55434">
        <w:rPr>
          <w:rFonts w:ascii="Times New Roman" w:eastAsia="Times New Roman" w:hAnsi="Times New Roman" w:cs="Times New Roman"/>
          <w:sz w:val="24"/>
          <w:szCs w:val="24"/>
        </w:rPr>
        <w:t>НЕРГОДІМ</w:t>
      </w:r>
      <w:r>
        <w:rPr>
          <w:rFonts w:ascii="Times New Roman" w:eastAsia="Times New Roman" w:hAnsi="Times New Roman" w:cs="Times New Roman"/>
          <w:sz w:val="24"/>
          <w:szCs w:val="24"/>
        </w:rPr>
        <w:t>», що реалізує фінансування через  Фонд Енергоефективності, державну програму «Велике будівництво», а також профільну програму Міністерства молоді та спорту з будівництва та реконструкції спортивних споруд.</w:t>
      </w:r>
    </w:p>
    <w:p w14:paraId="629C353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Окремо можна виділити фінансування з Державного </w:t>
      </w:r>
      <w:r w:rsidR="00B55434">
        <w:rPr>
          <w:rFonts w:ascii="Times New Roman" w:eastAsia="Times New Roman" w:hAnsi="Times New Roman" w:cs="Times New Roman"/>
          <w:sz w:val="24"/>
          <w:szCs w:val="24"/>
        </w:rPr>
        <w:t>ф</w:t>
      </w:r>
      <w:r>
        <w:rPr>
          <w:rFonts w:ascii="Times New Roman" w:eastAsia="Times New Roman" w:hAnsi="Times New Roman" w:cs="Times New Roman"/>
          <w:sz w:val="24"/>
          <w:szCs w:val="24"/>
        </w:rPr>
        <w:t xml:space="preserve">онду регіонального розвитку (ДФРР), завдяки якому були виконано </w:t>
      </w:r>
      <w:r w:rsidR="00B55434">
        <w:rPr>
          <w:rFonts w:ascii="Times New Roman" w:eastAsia="Times New Roman" w:hAnsi="Times New Roman" w:cs="Times New Roman"/>
          <w:sz w:val="24"/>
          <w:szCs w:val="24"/>
        </w:rPr>
        <w:t>багато</w:t>
      </w:r>
      <w:r>
        <w:rPr>
          <w:rFonts w:ascii="Times New Roman" w:eastAsia="Times New Roman" w:hAnsi="Times New Roman" w:cs="Times New Roman"/>
          <w:sz w:val="24"/>
          <w:szCs w:val="24"/>
        </w:rPr>
        <w:t xml:space="preserve"> проєктів з</w:t>
      </w:r>
      <w:r w:rsidR="00B55434">
        <w:rPr>
          <w:rFonts w:ascii="Times New Roman" w:eastAsia="Times New Roman" w:hAnsi="Times New Roman" w:cs="Times New Roman"/>
          <w:sz w:val="24"/>
          <w:szCs w:val="24"/>
        </w:rPr>
        <w:t xml:space="preserve"> підвищення</w:t>
      </w:r>
      <w:r>
        <w:rPr>
          <w:rFonts w:ascii="Times New Roman" w:eastAsia="Times New Roman" w:hAnsi="Times New Roman" w:cs="Times New Roman"/>
          <w:sz w:val="24"/>
          <w:szCs w:val="24"/>
        </w:rPr>
        <w:t xml:space="preserve"> енергоефективності по всій Україні.</w:t>
      </w:r>
    </w:p>
    <w:p w14:paraId="1DB28CE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відновлення енергетичної інфраструктури, будівель, що пошкоджені під час повномасштабної агресії росії розпочала діяльність державна </w:t>
      </w:r>
      <w:r w:rsidR="00B55434">
        <w:rPr>
          <w:rFonts w:ascii="Times New Roman" w:eastAsia="Times New Roman" w:hAnsi="Times New Roman" w:cs="Times New Roman"/>
          <w:sz w:val="24"/>
          <w:szCs w:val="24"/>
        </w:rPr>
        <w:t>«</w:t>
      </w:r>
      <w:r>
        <w:rPr>
          <w:rFonts w:ascii="Times New Roman" w:eastAsia="Times New Roman" w:hAnsi="Times New Roman" w:cs="Times New Roman"/>
          <w:sz w:val="24"/>
          <w:szCs w:val="24"/>
        </w:rPr>
        <w:t>Програма з відновлення України</w:t>
      </w:r>
      <w:r w:rsidR="00B55434">
        <w:rPr>
          <w:rFonts w:ascii="Times New Roman" w:eastAsia="Times New Roman" w:hAnsi="Times New Roman" w:cs="Times New Roman"/>
          <w:sz w:val="24"/>
          <w:szCs w:val="24"/>
        </w:rPr>
        <w:t>»</w:t>
      </w:r>
      <w:r>
        <w:rPr>
          <w:rFonts w:ascii="Times New Roman" w:eastAsia="Times New Roman" w:hAnsi="Times New Roman" w:cs="Times New Roman"/>
          <w:sz w:val="24"/>
          <w:szCs w:val="24"/>
        </w:rPr>
        <w:t>, для фінансування якої створюються фонди відновлення (наприклад «Фонд відновлення майна та зруйнованої інфраструктури»).</w:t>
      </w:r>
    </w:p>
    <w:p w14:paraId="65D40814"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Муніципальні облігації (запозичення)</w:t>
      </w:r>
    </w:p>
    <w:p w14:paraId="1246CDC5"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фінансування своїх середньострокових інвестиційних проектів місцева влада може залучати інвестиційні ресурси на внутрішньому, або зовнішніх фінансових ринках шляхом випуску облігацій.</w:t>
      </w:r>
    </w:p>
    <w:p w14:paraId="4150C4A0"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Грантові проекти</w:t>
      </w:r>
    </w:p>
    <w:p w14:paraId="5294019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Зазвичай грантові кошти на впровадження інфраструктурних інвестиційних проектів надаються містам і підприємствам-учасникам проектів міжнародної технічної допомоги. Оскільки грант є безповоротним цільовим фінансуванням, то виділення грантових коштів для фінансування інвестиційних проектів від більшості грантодавців має невеликі обсяги і здебільшого спрямовані на фінансування невеликих демонстраційних проектів, та/або на проведення передпроектної підготовки (енергоаудити, складання ПКД, бізнес-планів, консультаційна допомога експертів).</w:t>
      </w:r>
    </w:p>
    <w:p w14:paraId="130E0B66"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рахунок підвищення ефективності роботи системи енергоменеджменту значно зростає ймовірність залучення грантових коштів у короткостроковому і середньостроковому періоді для фінансування м'яких заходів, демонстраційних та пілотних проектів. Це найбільш бажане джерело в короткостроковому періоді, тому громаді </w:t>
      </w:r>
      <w:r>
        <w:rPr>
          <w:rFonts w:ascii="Times New Roman" w:eastAsia="Times New Roman" w:hAnsi="Times New Roman" w:cs="Times New Roman"/>
          <w:sz w:val="24"/>
          <w:szCs w:val="24"/>
        </w:rPr>
        <w:lastRenderedPageBreak/>
        <w:t>необхідно активізувати роботу із залучення максимального обсягу грантових коштів у проєкти з енергоефективності та зеленого відновлення.</w:t>
      </w:r>
    </w:p>
    <w:p w14:paraId="1CD8001B" w14:textId="77777777" w:rsidR="00C82386" w:rsidRDefault="00E66F64">
      <w:pPr>
        <w:tabs>
          <w:tab w:val="left" w:pos="284"/>
        </w:tabs>
        <w:spacing w:before="240" w:after="0"/>
        <w:ind w:firstLine="709"/>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Залучення коштів міжнародних фінансових інституцій і програм</w:t>
      </w:r>
    </w:p>
    <w:p w14:paraId="2588BA3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м. Житомир упродовж останніх років джерела фінансування енергоефективних проектів значною частиною забезпечуються за рахунок залучення кредитних та грантових ресурсів міжнародних фінансових інституцій і програм.</w:t>
      </w:r>
    </w:p>
    <w:p w14:paraId="095BADF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Очевидним є те, що обсяги коштів, що можуть бути виділені з міського бюджету (зокрема з бюджету розвитку), або грантові кошти, які залучені від міжнародних фінансових інституцій, є недостатніми, особливо для впровадження проектів глибокої термомодернізації будівель. </w:t>
      </w:r>
    </w:p>
    <w:p w14:paraId="1D2E81A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раціонального використання можливостей міського бюджету кошти мають бути скеровані здебільшого на забезпечення необхідної частки співфінансування енергоефективних проектів в рамках залучення низько-відсоткових кредитів міжнародних організації. </w:t>
      </w:r>
    </w:p>
    <w:p w14:paraId="1C2FB23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Можливими варіантами співпраці для реалізації майбутніх енергоефективних проектів вважаються наступні міжнародні фінансові інституції: NEFCO (Північна екологічна фінансова корпорація</w:t>
      </w:r>
      <w:r w:rsidR="00B5543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НЕФКО), UNDP (Програма розвитку ООН в Україні), IFC</w:t>
      </w:r>
      <w:r w:rsidR="00B5543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(Міжнародна фінансова корпорація), EBRD (Європейський банк реконструкції та розвитку), E5P - Eastern Europe Energy Efficiency and Environmental Partnership (Східна Європа «Енергоефективність» та Екологічне партнерство), WB (Світовий банк) та інші.</w:t>
      </w:r>
    </w:p>
    <w:p w14:paraId="6CD5A334"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Власні кошти підприємств та установ</w:t>
      </w:r>
    </w:p>
    <w:p w14:paraId="5AE2E1F3"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використанні власних коштів можна виділити наступні популярні варіанти:</w:t>
      </w:r>
    </w:p>
    <w:p w14:paraId="4D02FC05" w14:textId="77777777" w:rsidR="00C82386" w:rsidRDefault="00E66F64">
      <w:pPr>
        <w:numPr>
          <w:ilvl w:val="0"/>
          <w:numId w:val="20"/>
        </w:numPr>
        <w:pBdr>
          <w:top w:val="nil"/>
          <w:left w:val="nil"/>
          <w:bottom w:val="nil"/>
          <w:right w:val="nil"/>
          <w:between w:val="nil"/>
        </w:pBdr>
        <w:spacing w:after="0"/>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власних коштів підприємствами, що здійснюють діяльність у сфері виробництва та транспортування теплової енергії, а також мають енергоємне виробництво,</w:t>
      </w:r>
    </w:p>
    <w:p w14:paraId="068B365E" w14:textId="77777777" w:rsidR="00C82386" w:rsidRDefault="00E66F64">
      <w:pPr>
        <w:numPr>
          <w:ilvl w:val="0"/>
          <w:numId w:val="20"/>
        </w:numPr>
        <w:pBdr>
          <w:top w:val="nil"/>
          <w:left w:val="nil"/>
          <w:bottom w:val="nil"/>
          <w:right w:val="nil"/>
          <w:between w:val="nil"/>
        </w:pBdr>
        <w:spacing w:after="0"/>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власних коштів установами і організаціями освіти та культури для виконання маловитратних заходів,</w:t>
      </w:r>
    </w:p>
    <w:p w14:paraId="25B172DE" w14:textId="77777777" w:rsidR="00C82386" w:rsidRDefault="00E66F64">
      <w:pPr>
        <w:numPr>
          <w:ilvl w:val="0"/>
          <w:numId w:val="20"/>
        </w:numPr>
        <w:pBdr>
          <w:top w:val="nil"/>
          <w:left w:val="nil"/>
          <w:bottom w:val="nil"/>
          <w:right w:val="nil"/>
          <w:between w:val="nil"/>
        </w:pBdr>
        <w:spacing w:after="0"/>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використання амортизаційних відрахувань і власного прибутку, переважно є найдешевшими і найбільш надійними і доступними джерелами фінансування швидкоокупних капітальних інвестицій.</w:t>
      </w:r>
    </w:p>
    <w:p w14:paraId="23906366"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Залучення приватного капіталу на умовах ЕСКО</w:t>
      </w:r>
    </w:p>
    <w:p w14:paraId="7542151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Залучення приватного капіталу до фінансування довгострокових інвестиційних проектів може здійснюватися таким чином:</w:t>
      </w:r>
    </w:p>
    <w:p w14:paraId="03304025" w14:textId="77777777" w:rsidR="00C82386" w:rsidRDefault="00E66F64">
      <w:pPr>
        <w:tabs>
          <w:tab w:val="left" w:pos="284"/>
        </w:tabs>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фінансування залучає компанія (ЕСКО), яка проводить роботи з термомодернізації будівлі, а далі надає комунальні послуги в житловому будинку</w:t>
      </w:r>
      <w:r>
        <w:rPr>
          <w:rFonts w:ascii="Times New Roman" w:eastAsia="Times New Roman" w:hAnsi="Times New Roman" w:cs="Times New Roman"/>
          <w:strike/>
          <w:sz w:val="24"/>
          <w:szCs w:val="24"/>
        </w:rPr>
        <w:t>, або в бюджетному закладі</w:t>
      </w:r>
      <w:r>
        <w:rPr>
          <w:rFonts w:ascii="Times New Roman" w:eastAsia="Times New Roman" w:hAnsi="Times New Roman" w:cs="Times New Roman"/>
          <w:sz w:val="24"/>
          <w:szCs w:val="24"/>
        </w:rPr>
        <w:t xml:space="preserve"> відповідно до довгострокового ЕСКО-договору. </w:t>
      </w:r>
    </w:p>
    <w:p w14:paraId="6D1979D2"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Цільові внески співвласників багатоквартирних будинків</w:t>
      </w:r>
    </w:p>
    <w:p w14:paraId="056357D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інженерних систем і капітального ремонту будинку. Хоча обсяг коштів, який таким чином можна мобілізувати в короткий час, досить обмежений, є можливість поєднувати це джерело з іншими джерелами на умовах співфінансування.</w:t>
      </w:r>
    </w:p>
    <w:p w14:paraId="4F2DA8E6"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Банківські кредити</w:t>
      </w:r>
    </w:p>
    <w:p w14:paraId="25B55892"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Найпоширенішою формою фінансування інвестиційних проектів у житловій сфері та сфері виробництва, транспортування та споживання теплової енергії можуть стати банківські кредити від українських банків для фінансування як короткострокових проектів, так і середньострокових проектів, а також кредити міжнародних фінансових інститутів та іноземних державних установ, таких як Світовий банк, МФК, ЄБРР, ЄІБ, КФВ та ін. (для середньострокових і довгострокових інвестиційних проектів).</w:t>
      </w:r>
    </w:p>
    <w:p w14:paraId="3913AAC9" w14:textId="77777777" w:rsidR="00C82386" w:rsidRDefault="00E66F64">
      <w:pPr>
        <w:spacing w:before="240" w:after="0"/>
        <w:ind w:firstLine="708"/>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Комерційний (товарний) кредит</w:t>
      </w:r>
    </w:p>
    <w:p w14:paraId="428BC161"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Комерційний кредит - це товарна форма кредиту, який надається продавцями для покупців у вигляді відстрочки платежу за продані товари, надані послуги. У покупця завдяки комерційному кредиту досягається тимчасова економія грошових коштів, скорочується потреба в банківському кредиті. Комерційний кредит, в більшості випадків, має короткостроковий характер. Конкретні терміни і розмір кредиту залежать від виду та вартості товару, фінансового стану контрагентів та кон'юнктури ринку.</w:t>
      </w:r>
    </w:p>
    <w:p w14:paraId="06867059" w14:textId="77777777" w:rsidR="00C82386" w:rsidRDefault="00E66F64">
      <w:pPr>
        <w:spacing w:before="240" w:after="0"/>
        <w:ind w:firstLine="708"/>
        <w:jc w:val="both"/>
        <w:rPr>
          <w:rFonts w:ascii="Times New Roman" w:eastAsia="Times New Roman" w:hAnsi="Times New Roman" w:cs="Times New Roman"/>
          <w:sz w:val="24"/>
          <w:szCs w:val="24"/>
          <w:u w:val="single"/>
        </w:rPr>
      </w:pPr>
      <w:r>
        <w:rPr>
          <w:rFonts w:ascii="Times New Roman" w:eastAsia="Times New Roman" w:hAnsi="Times New Roman" w:cs="Times New Roman"/>
          <w:b/>
          <w:sz w:val="24"/>
          <w:szCs w:val="24"/>
          <w:u w:val="single"/>
        </w:rPr>
        <w:t>Фінансовий лізинг</w:t>
      </w:r>
    </w:p>
    <w:p w14:paraId="6E90AC18" w14:textId="77777777" w:rsidR="00C82386" w:rsidRDefault="00E66F6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Фінансовий лізинг є одним з найбільш надійних законодавчо регламентованих інструментів залучення фінансування середньострокових інвестиційних проектів у сфері виробництва, транспортування та постачання теплової енергії.</w:t>
      </w:r>
    </w:p>
    <w:p w14:paraId="3F27038A" w14:textId="77777777" w:rsidR="00C82386" w:rsidRDefault="00C82386">
      <w:pPr>
        <w:pBdr>
          <w:top w:val="nil"/>
          <w:left w:val="nil"/>
          <w:bottom w:val="nil"/>
          <w:right w:val="nil"/>
          <w:between w:val="nil"/>
        </w:pBdr>
        <w:ind w:left="720" w:hanging="720"/>
        <w:rPr>
          <w:rFonts w:ascii="Times New Roman" w:eastAsia="Times New Roman" w:hAnsi="Times New Roman" w:cs="Times New Roman"/>
          <w:color w:val="000000"/>
          <w:sz w:val="24"/>
          <w:szCs w:val="24"/>
        </w:rPr>
      </w:pPr>
    </w:p>
    <w:p w14:paraId="56BF917C" w14:textId="77777777" w:rsidR="00C82386" w:rsidRDefault="00E66F64">
      <w:pPr>
        <w:rPr>
          <w:rFonts w:ascii="Times New Roman" w:eastAsia="Times New Roman" w:hAnsi="Times New Roman" w:cs="Times New Roman"/>
          <w:b/>
          <w:sz w:val="24"/>
          <w:szCs w:val="24"/>
        </w:rPr>
      </w:pPr>
      <w:r>
        <w:br w:type="page"/>
      </w:r>
    </w:p>
    <w:p w14:paraId="0E3D1F69" w14:textId="77777777" w:rsidR="00C82386"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08" w:name="_heading=h.1yyy98l" w:colFirst="0" w:colLast="0"/>
      <w:bookmarkEnd w:id="108"/>
      <w:r>
        <w:rPr>
          <w:rFonts w:ascii="Times New Roman" w:eastAsia="Times New Roman" w:hAnsi="Times New Roman" w:cs="Times New Roman"/>
          <w:b/>
          <w:color w:val="000000"/>
          <w:sz w:val="24"/>
          <w:szCs w:val="24"/>
        </w:rPr>
        <w:lastRenderedPageBreak/>
        <w:t xml:space="preserve">ДОДАТОК 1. </w:t>
      </w:r>
      <w:r>
        <w:rPr>
          <w:rFonts w:ascii="Times New Roman" w:eastAsia="Times New Roman" w:hAnsi="Times New Roman" w:cs="Times New Roman"/>
          <w:b/>
          <w:color w:val="000000"/>
          <w:sz w:val="24"/>
          <w:szCs w:val="24"/>
        </w:rPr>
        <w:br/>
        <w:t>Методика визначення енергоспоживання та викидів СО2 у секторі «Транспорт»</w:t>
      </w:r>
    </w:p>
    <w:p w14:paraId="59EABF0F"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Загальні річні викиди в транспортному секторі </w:t>
      </w:r>
      <w:r>
        <w:rPr>
          <w:rFonts w:ascii="Symbol" w:eastAsia="Symbol" w:hAnsi="Symbol" w:cs="Symbol"/>
          <w:sz w:val="24"/>
          <w:szCs w:val="24"/>
        </w:rPr>
        <w:t></w:t>
      </w:r>
      <w:r>
        <w:rPr>
          <w:rFonts w:ascii="Times New Roman" w:eastAsia="Times New Roman" w:hAnsi="Times New Roman" w:cs="Times New Roman"/>
          <w:sz w:val="24"/>
          <w:szCs w:val="24"/>
        </w:rPr>
        <w:t>1</w:t>
      </w:r>
      <w:r>
        <w:rPr>
          <w:rFonts w:ascii="Symbol" w:eastAsia="Symbol" w:hAnsi="Symbol" w:cs="Symbol"/>
          <w:sz w:val="24"/>
          <w:szCs w:val="24"/>
        </w:rPr>
        <w:t></w:t>
      </w:r>
    </w:p>
    <w:p w14:paraId="1DB079F8" w14:textId="77777777" w:rsidR="00C82386" w:rsidRDefault="00CE13D9">
      <w:pPr>
        <w:shd w:val="clear" w:color="auto" w:fill="FFFFFF"/>
        <w:jc w:val="right"/>
        <w:rPr>
          <w:sz w:val="46"/>
          <w:szCs w:val="46"/>
          <w:vertAlign w:val="subscript"/>
        </w:rPr>
      </w:pPr>
      <w:r>
        <w:rPr>
          <w:sz w:val="40"/>
          <w:szCs w:val="40"/>
          <w:vertAlign w:val="subscript"/>
        </w:rPr>
        <w:object w:dxaOrig="7040" w:dyaOrig="820" w14:anchorId="105B59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42pt;mso-width-percent:0;mso-height-percent:0;mso-width-percent:0;mso-height-percent:0" o:ole="" filled="t">
            <v:fill color2="black"/>
            <v:imagedata r:id="rId71" o:title=""/>
          </v:shape>
          <o:OLEObject Type="Embed" ProgID="Equation.3" ShapeID="_x0000_i1025" DrawAspect="Content" ObjectID="_1804495188" r:id="rId72"/>
        </w:object>
      </w:r>
      <w:r w:rsidR="00E66F64">
        <w:rPr>
          <w:sz w:val="24"/>
          <w:szCs w:val="24"/>
        </w:rPr>
        <w:t>,</w:t>
      </w:r>
      <w:r w:rsidR="00E66F64">
        <w:rPr>
          <w:sz w:val="24"/>
          <w:szCs w:val="24"/>
        </w:rPr>
        <w:tab/>
      </w:r>
      <w:r w:rsidR="00E66F64">
        <w:rPr>
          <w:sz w:val="24"/>
          <w:szCs w:val="24"/>
        </w:rPr>
        <w:tab/>
        <w:t>(1)</w:t>
      </w:r>
    </w:p>
    <w:p w14:paraId="1643D891"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w:t>
      </w:r>
    </w:p>
    <w:p w14:paraId="43D7F25D"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840" w:dyaOrig="300" w14:anchorId="1B780669">
          <v:shape id="_x0000_i1026" type="#_x0000_t75" alt="" style="width:42pt;height:18pt;mso-width-percent:0;mso-height-percent:0;mso-width-percent:0;mso-height-percent:0" o:ole="">
            <v:imagedata r:id="rId73" o:title=""/>
          </v:shape>
          <o:OLEObject Type="Embed" ProgID="Equation.3" ShapeID="_x0000_i1026" DrawAspect="Content" ObjectID="_1804495189" r:id="rId74"/>
        </w:object>
      </w:r>
      <w:r>
        <w:rPr>
          <w:rFonts w:ascii="Times New Roman" w:eastAsia="Times New Roman" w:hAnsi="Times New Roman" w:cs="Times New Roman"/>
          <w:sz w:val="24"/>
          <w:szCs w:val="24"/>
        </w:rPr>
        <w:t>–  спосіб (транспортний засіб) пересування/перевезення вантажу;</w:t>
      </w:r>
    </w:p>
    <w:p w14:paraId="4E79C2C2" w14:textId="77777777" w:rsidR="00C82386" w:rsidRDefault="00E66F64">
      <w:pPr>
        <w:spacing w:after="120"/>
        <w:jc w:val="both"/>
        <w:rPr>
          <w:rFonts w:ascii="Times New Roman" w:eastAsia="Times New Roman" w:hAnsi="Times New Roman" w:cs="Times New Roman"/>
          <w:i/>
          <w:sz w:val="24"/>
          <w:szCs w:val="24"/>
        </w:rPr>
      </w:pPr>
      <w:r>
        <w:rPr>
          <w:rFonts w:ascii="Times New Roman" w:eastAsia="Times New Roman" w:hAnsi="Times New Roman" w:cs="Times New Roman"/>
          <w:sz w:val="40"/>
          <w:szCs w:val="40"/>
          <w:vertAlign w:val="subscript"/>
        </w:rPr>
        <w:object w:dxaOrig="640" w:dyaOrig="380" w14:anchorId="669AAA6E">
          <v:shape id="_x0000_i1027" type="#_x0000_t75" alt="" style="width:30pt;height:18pt;mso-width-percent:0;mso-height-percent:0;mso-width-percent:0;mso-height-percent:0" o:ole="">
            <v:imagedata r:id="rId75" o:title=""/>
          </v:shape>
          <o:OLEObject Type="Embed" ProgID="Equation.3" ShapeID="_x0000_i1027" DrawAspect="Content" ObjectID="_1804495190" r:id="rId76"/>
        </w:object>
      </w:r>
      <w:r>
        <w:rPr>
          <w:rFonts w:ascii="Times New Roman" w:eastAsia="Times New Roman" w:hAnsi="Times New Roman" w:cs="Times New Roman"/>
          <w:sz w:val="24"/>
          <w:szCs w:val="24"/>
        </w:rPr>
        <w:t xml:space="preserve"> –  вид палива на якому працює транспортний засіб;</w:t>
      </w:r>
    </w:p>
    <w:p w14:paraId="303178AD"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760" w:dyaOrig="380" w14:anchorId="56893851">
          <v:shape id="_x0000_i1028" type="#_x0000_t75" alt="" style="width:90pt;height:18pt;mso-width-percent:0;mso-height-percent:0;mso-width-percent:0;mso-height-percent:0" o:ole="">
            <v:imagedata r:id="rId77" o:title=""/>
          </v:shape>
          <o:OLEObject Type="Embed" ProgID="Equation.3" ShapeID="_x0000_i1028" DrawAspect="Content" ObjectID="_1804495191" r:id="rId78"/>
        </w:object>
      </w:r>
      <w:r>
        <w:rPr>
          <w:rFonts w:ascii="Times New Roman" w:eastAsia="Times New Roman" w:hAnsi="Times New Roman" w:cs="Times New Roman"/>
          <w:sz w:val="24"/>
          <w:szCs w:val="24"/>
        </w:rPr>
        <w:t xml:space="preserve"> – коефіцієнт викидів CO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що в кількісному плані вимірює</w:t>
      </w:r>
    </w:p>
    <w:p w14:paraId="74EF4369"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викиди на одиницю діяльності ;</w:t>
      </w:r>
    </w:p>
    <w:p w14:paraId="19FA06B0"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00" w:dyaOrig="300" w14:anchorId="69426D04">
          <v:shape id="_x0000_i1029" type="#_x0000_t75" alt="" style="width:30pt;height:18pt;mso-width-percent:0;mso-height-percent:0;mso-width-percent:0;mso-height-percent:0" o:ole="">
            <v:imagedata r:id="rId79" o:title=""/>
          </v:shape>
          <o:OLEObject Type="Embed" ProgID="Equation.3" ShapeID="_x0000_i1029" DrawAspect="Content" ObjectID="_1804495192" r:id="rId80"/>
        </w:object>
      </w:r>
      <w:r>
        <w:rPr>
          <w:rFonts w:ascii="Times New Roman" w:eastAsia="Times New Roman" w:hAnsi="Times New Roman" w:cs="Times New Roman"/>
          <w:sz w:val="24"/>
          <w:szCs w:val="24"/>
        </w:rPr>
        <w:t xml:space="preserve"> – річний обсяг транспортної роботи від якого залежать витрати палива;</w:t>
      </w:r>
    </w:p>
    <w:p w14:paraId="27DF4503"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860" w:dyaOrig="380" w14:anchorId="345D1A61">
          <v:shape id="_x0000_i1030" type="#_x0000_t75" alt="" style="width:96pt;height:18pt;mso-width-percent:0;mso-height-percent:0;mso-width-percent:0;mso-height-percent:0" o:ole="">
            <v:imagedata r:id="rId81" o:title=""/>
          </v:shape>
          <o:OLEObject Type="Embed" ProgID="Equation.3" ShapeID="_x0000_i1030" DrawAspect="Content" ObjectID="_1804495193" r:id="rId82"/>
        </w:object>
      </w:r>
      <w:r>
        <w:rPr>
          <w:rFonts w:ascii="Times New Roman" w:eastAsia="Times New Roman" w:hAnsi="Times New Roman" w:cs="Times New Roman"/>
          <w:sz w:val="24"/>
          <w:szCs w:val="24"/>
        </w:rPr>
        <w:t xml:space="preserve">– витрати палива на одиницю транспортної роботи (питоме споживання моторного палива); </w:t>
      </w:r>
    </w:p>
    <w:p w14:paraId="3B674AF9"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Згідно рекомендацій </w:t>
      </w:r>
      <w:r>
        <w:rPr>
          <w:rFonts w:ascii="Symbol" w:eastAsia="Symbol" w:hAnsi="Symbol" w:cs="Symbol"/>
          <w:sz w:val="24"/>
          <w:szCs w:val="24"/>
        </w:rPr>
        <w:t></w:t>
      </w:r>
      <w:r>
        <w:rPr>
          <w:rFonts w:ascii="Times New Roman" w:eastAsia="Times New Roman" w:hAnsi="Times New Roman" w:cs="Times New Roman"/>
          <w:sz w:val="24"/>
          <w:szCs w:val="24"/>
        </w:rPr>
        <w:t>1</w:t>
      </w:r>
      <w:r>
        <w:rPr>
          <w:rFonts w:ascii="Symbol" w:eastAsia="Symbol" w:hAnsi="Symbol" w:cs="Symbol"/>
          <w:sz w:val="24"/>
          <w:szCs w:val="24"/>
        </w:rPr>
        <w:t></w:t>
      </w:r>
      <w:r>
        <w:rPr>
          <w:rFonts w:ascii="Times New Roman" w:eastAsia="Times New Roman" w:hAnsi="Times New Roman" w:cs="Times New Roman"/>
          <w:sz w:val="24"/>
          <w:szCs w:val="24"/>
        </w:rPr>
        <w:t xml:space="preserve"> транспортний парк має щонайменше розділятися на відповідні категорії:</w:t>
      </w:r>
    </w:p>
    <w:p w14:paraId="04B405DB" w14:textId="77777777" w:rsidR="00C82386" w:rsidRDefault="00E66F64">
      <w:pPr>
        <w:numPr>
          <w:ilvl w:val="0"/>
          <w:numId w:val="57"/>
        </w:numPr>
        <w:pBdr>
          <w:top w:val="nil"/>
          <w:left w:val="nil"/>
          <w:bottom w:val="nil"/>
          <w:right w:val="nil"/>
          <w:between w:val="nil"/>
        </w:pBdr>
        <w:spacing w:after="0"/>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пасажирські автомобілі і таксі;</w:t>
      </w:r>
    </w:p>
    <w:p w14:paraId="09515C68" w14:textId="77777777" w:rsidR="00C82386" w:rsidRDefault="00E66F64">
      <w:pPr>
        <w:numPr>
          <w:ilvl w:val="0"/>
          <w:numId w:val="57"/>
        </w:numPr>
        <w:pBdr>
          <w:top w:val="nil"/>
          <w:left w:val="nil"/>
          <w:bottom w:val="nil"/>
          <w:right w:val="nil"/>
          <w:between w:val="nil"/>
        </w:pBdr>
        <w:spacing w:after="0"/>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великотонажні</w:t>
      </w:r>
      <w:r>
        <w:rPr>
          <w:rFonts w:ascii="Times New Roman" w:eastAsia="Times New Roman" w:hAnsi="Times New Roman" w:cs="Times New Roman"/>
          <w:color w:val="000000"/>
          <w:sz w:val="24"/>
          <w:szCs w:val="24"/>
        </w:rPr>
        <w:t xml:space="preserve"> автомобілі і малотоннажні транспортні засоби;</w:t>
      </w:r>
    </w:p>
    <w:p w14:paraId="1152BDF4" w14:textId="77777777" w:rsidR="00C82386" w:rsidRDefault="00E66F64">
      <w:pPr>
        <w:numPr>
          <w:ilvl w:val="0"/>
          <w:numId w:val="57"/>
        </w:numPr>
        <w:pBdr>
          <w:top w:val="nil"/>
          <w:left w:val="nil"/>
          <w:bottom w:val="nil"/>
          <w:right w:val="nil"/>
          <w:between w:val="nil"/>
        </w:pBdr>
        <w:spacing w:after="0"/>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автобуси і інші транспортні засоби, що використовуються для надання послуг громадського транспорту;</w:t>
      </w:r>
    </w:p>
    <w:p w14:paraId="2E4DE7A6" w14:textId="77777777" w:rsidR="00C82386" w:rsidRDefault="00E66F64">
      <w:pPr>
        <w:numPr>
          <w:ilvl w:val="0"/>
          <w:numId w:val="57"/>
        </w:numPr>
        <w:pBdr>
          <w:top w:val="nil"/>
          <w:left w:val="nil"/>
          <w:bottom w:val="nil"/>
          <w:right w:val="nil"/>
          <w:between w:val="nil"/>
        </w:pBdr>
        <w:spacing w:after="0"/>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двоколісні транспортні засоби.</w:t>
      </w:r>
    </w:p>
    <w:p w14:paraId="7DBC930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Оцінки викидів парникових газів від дорожнього транспорту можуть ґрунтуватися на двох незалежних наборах даних: продажу палива і пробігу транспортних засобів. Якщо доступні обидва набори даних, важливо перевірити їх порівнянність </w:t>
      </w:r>
      <w:r>
        <w:rPr>
          <w:rFonts w:ascii="Symbol" w:eastAsia="Symbol" w:hAnsi="Symbol" w:cs="Symbol"/>
          <w:sz w:val="24"/>
          <w:szCs w:val="24"/>
        </w:rPr>
        <w:t></w:t>
      </w:r>
      <w:r>
        <w:rPr>
          <w:rFonts w:ascii="Times New Roman" w:eastAsia="Times New Roman" w:hAnsi="Times New Roman" w:cs="Times New Roman"/>
          <w:sz w:val="24"/>
          <w:szCs w:val="24"/>
        </w:rPr>
        <w:t>2</w:t>
      </w:r>
      <w:r>
        <w:rPr>
          <w:rFonts w:ascii="Symbol" w:eastAsia="Symbol" w:hAnsi="Symbol" w:cs="Symbol"/>
          <w:sz w:val="24"/>
          <w:szCs w:val="24"/>
        </w:rPr>
        <w:t></w:t>
      </w:r>
      <w:r>
        <w:rPr>
          <w:rFonts w:ascii="Times New Roman" w:eastAsia="Times New Roman" w:hAnsi="Times New Roman" w:cs="Times New Roman"/>
          <w:sz w:val="24"/>
          <w:szCs w:val="24"/>
        </w:rPr>
        <w:t>.</w:t>
      </w:r>
    </w:p>
    <w:p w14:paraId="4660AD6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викидів здійснюється на основі даних про пробіг для різних видів транспорту для кожного виду палива.</w:t>
      </w:r>
    </w:p>
    <w:p w14:paraId="05E96E6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до вимог методики Угоди мерів до складання «Плану сталого енергетичного розвитку та клімат» та Базового кадастру викидів (БКВ) розглянемо наступні сектори транспорту:</w:t>
      </w:r>
    </w:p>
    <w:p w14:paraId="673C8C40"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муніципальний транспорт; </w:t>
      </w:r>
    </w:p>
    <w:p w14:paraId="18DD6D9C"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громадський транспорт; </w:t>
      </w:r>
    </w:p>
    <w:p w14:paraId="01C2C4E7" w14:textId="77777777" w:rsidR="00C82386" w:rsidRDefault="00E66F64">
      <w:pPr>
        <w:numPr>
          <w:ilvl w:val="0"/>
          <w:numId w:val="40"/>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приватний і комерційний транспорт.</w:t>
      </w:r>
    </w:p>
    <w:p w14:paraId="2808937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Розрахунки викидів від транспортних засобів ґрунтуються на даних про загальне споживання палива. Для кожного типу палива в розрахунках використовуються відповідні характеристики - питома теплота згоряння і коефіцієнт викидів парникових газів. Для оцінки викидів від сфери транспорту враховані наступні види палива:</w:t>
      </w:r>
    </w:p>
    <w:p w14:paraId="6C0EAD0D"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бензин;</w:t>
      </w:r>
    </w:p>
    <w:p w14:paraId="0A11B4A0"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дизельне паливо;</w:t>
      </w:r>
    </w:p>
    <w:p w14:paraId="644B1CFD"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скраплений нафтовий газ;</w:t>
      </w:r>
    </w:p>
    <w:p w14:paraId="30A3FEF6"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стиснений природний газ;</w:t>
      </w:r>
    </w:p>
    <w:p w14:paraId="1E78F02C"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електроенергія;</w:t>
      </w:r>
    </w:p>
    <w:p w14:paraId="20A2826E" w14:textId="77777777" w:rsidR="00C82386" w:rsidRDefault="00E66F64">
      <w:pPr>
        <w:numPr>
          <w:ilvl w:val="0"/>
          <w:numId w:val="51"/>
        </w:numPr>
        <w:pBdr>
          <w:top w:val="nil"/>
          <w:left w:val="nil"/>
          <w:bottom w:val="nil"/>
          <w:right w:val="nil"/>
          <w:between w:val="nil"/>
        </w:pBdr>
        <w:tabs>
          <w:tab w:val="left" w:pos="426"/>
        </w:tabs>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біопаливо (біо-дизельне паливо, біо-бензин інші рідкі біопалива).</w:t>
      </w:r>
    </w:p>
    <w:p w14:paraId="1572838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викидів діоксиду вуглецю від спалювання палива в двигунах внутрішнього згоряння рекомендується проводити на основі врахування видів палива і типів двигуна. Викиди вуглекислого газу за цим методом оцінюються наступним чином. Спочатку оцінюється споживання кожного виду палива за типами транспорту (легковий, вантажний, автобуси, спецмашини). Потім оцінюються загальні викиди СO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шляхом множення кількості спожитого палива на фактор викидів для кожного типу палива і типу транспортних засобів. Річні викиди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від спалювання палива і-ого типу:</w:t>
      </w:r>
    </w:p>
    <w:p w14:paraId="652C125A" w14:textId="77777777" w:rsidR="00C82386" w:rsidRDefault="00E66F64">
      <w:pPr>
        <w:spacing w:after="0"/>
        <w:jc w:val="right"/>
        <w:rPr>
          <w:rFonts w:ascii="Times New Roman" w:eastAsia="Times New Roman" w:hAnsi="Times New Roman" w:cs="Times New Roman"/>
        </w:rPr>
      </w:pPr>
      <w:r>
        <w:rPr>
          <w:rFonts w:ascii="Times New Roman" w:eastAsia="Times New Roman" w:hAnsi="Times New Roman" w:cs="Times New Roman"/>
          <w:sz w:val="36"/>
          <w:szCs w:val="36"/>
          <w:vertAlign w:val="subscript"/>
        </w:rPr>
        <w:object w:dxaOrig="3420" w:dyaOrig="520" w14:anchorId="72C9D29A">
          <v:shape id="_x0000_i1031" type="#_x0000_t75" alt="" style="width:174pt;height:24pt;mso-width-percent:0;mso-height-percent:0;mso-width-percent:0;mso-height-percent:0" o:ole="" filled="t">
            <v:fill color2="black"/>
            <v:imagedata r:id="rId83" o:title=""/>
          </v:shape>
          <o:OLEObject Type="Embed" ProgID="Equation.3" ShapeID="_x0000_i1031" DrawAspect="Content" ObjectID="_1804495194" r:id="rId84"/>
        </w:object>
      </w:r>
      <w:r>
        <w:rPr>
          <w:rFonts w:ascii="Times New Roman" w:eastAsia="Times New Roman" w:hAnsi="Times New Roman" w:cs="Times New Roman"/>
        </w:rPr>
        <w:t>,</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(2)</w:t>
      </w:r>
    </w:p>
    <w:p w14:paraId="66C8F7C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w:t>
      </w:r>
    </w:p>
    <w:p w14:paraId="46D5D15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00" w:dyaOrig="460" w14:anchorId="43A15635">
          <v:shape id="_x0000_i1032" type="#_x0000_t75" alt="" style="width:30pt;height:24pt;mso-width-percent:0;mso-height-percent:0;mso-width-percent:0;mso-height-percent:0" o:ole="">
            <v:imagedata r:id="rId85" o:title=""/>
          </v:shape>
          <o:OLEObject Type="Embed" ProgID="Equation.3" ShapeID="_x0000_i1032" DrawAspect="Content" ObjectID="_1804495195" r:id="rId86"/>
        </w:object>
      </w:r>
      <w:r>
        <w:rPr>
          <w:rFonts w:ascii="Times New Roman" w:eastAsia="Times New Roman" w:hAnsi="Times New Roman" w:cs="Times New Roman"/>
          <w:sz w:val="24"/>
          <w:szCs w:val="24"/>
        </w:rPr>
        <w:t xml:space="preserve"> – дані про обсяг спалювання і-ого типу палива за рік, т/рік;</w:t>
      </w:r>
    </w:p>
    <w:p w14:paraId="13CD378D"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40" w:dyaOrig="400" w14:anchorId="1F74F743">
          <v:shape id="_x0000_i1033" type="#_x0000_t75" alt="" style="width:30pt;height:18pt;mso-width-percent:0;mso-height-percent:0;mso-width-percent:0;mso-height-percent:0" o:ole="" filled="t">
            <v:fill color2="black"/>
            <v:imagedata r:id="rId87" o:title=""/>
          </v:shape>
          <o:OLEObject Type="Embed" ProgID="Equation.3" ShapeID="_x0000_i1033" DrawAspect="Content" ObjectID="_1804495196" r:id="rId88"/>
        </w:object>
      </w:r>
      <w:r>
        <w:rPr>
          <w:rFonts w:ascii="Times New Roman" w:eastAsia="Times New Roman" w:hAnsi="Times New Roman" w:cs="Times New Roman"/>
          <w:sz w:val="24"/>
          <w:szCs w:val="24"/>
        </w:rPr>
        <w:t xml:space="preserve"> – нижча теплотворна здатність палива і-ого типу,  МВт.год/т. Надано в додатку А.</w:t>
      </w:r>
    </w:p>
    <w:p w14:paraId="42D8C522"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520" w:dyaOrig="400" w14:anchorId="653E8E2B">
          <v:shape id="_x0000_i1034" type="#_x0000_t75" alt="" style="width:24pt;height:18pt;mso-width-percent:0;mso-height-percent:0;mso-width-percent:0;mso-height-percent:0" o:ole="" filled="t">
            <v:fill color2="black"/>
            <v:imagedata r:id="rId89" o:title=""/>
          </v:shape>
          <o:OLEObject Type="Embed" ProgID="Equation.3" ShapeID="_x0000_i1034" DrawAspect="Content" ObjectID="_1804495197" r:id="rId90"/>
        </w:object>
      </w:r>
      <w:r>
        <w:rPr>
          <w:rFonts w:ascii="Times New Roman" w:eastAsia="Times New Roman" w:hAnsi="Times New Roman" w:cs="Times New Roman"/>
          <w:sz w:val="24"/>
          <w:szCs w:val="24"/>
        </w:rPr>
        <w:t xml:space="preserve"> – коефіцієнт викидів СО2 , т CO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/МВт.год, (таблицях 1-2 </w:t>
      </w:r>
      <w:r>
        <w:rPr>
          <w:rFonts w:ascii="Symbol" w:eastAsia="Symbol" w:hAnsi="Symbol" w:cs="Symbol"/>
          <w:sz w:val="24"/>
          <w:szCs w:val="24"/>
        </w:rPr>
        <w:t></w:t>
      </w:r>
      <w:r>
        <w:rPr>
          <w:rFonts w:ascii="Times New Roman" w:eastAsia="Times New Roman" w:hAnsi="Times New Roman" w:cs="Times New Roman"/>
          <w:sz w:val="24"/>
          <w:szCs w:val="24"/>
        </w:rPr>
        <w:t>2</w:t>
      </w:r>
      <w:r>
        <w:rPr>
          <w:rFonts w:ascii="Symbol" w:eastAsia="Symbol" w:hAnsi="Symbol" w:cs="Symbol"/>
          <w:sz w:val="24"/>
          <w:szCs w:val="24"/>
        </w:rPr>
        <w:t></w:t>
      </w:r>
      <w:r>
        <w:rPr>
          <w:rFonts w:ascii="Times New Roman" w:eastAsia="Times New Roman" w:hAnsi="Times New Roman" w:cs="Times New Roman"/>
          <w:sz w:val="24"/>
          <w:szCs w:val="24"/>
        </w:rPr>
        <w:t>);</w:t>
      </w:r>
    </w:p>
    <w:p w14:paraId="110F89F0"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520" w:dyaOrig="400" w14:anchorId="2BE0F6BE">
          <v:shape id="_x0000_i1035" type="#_x0000_t75" alt="" style="width:24pt;height:18pt;mso-width-percent:0;mso-height-percent:0;mso-width-percent:0;mso-height-percent:0" o:ole="" filled="t">
            <v:fill color2="black"/>
            <v:imagedata r:id="rId91" o:title=""/>
          </v:shape>
          <o:OLEObject Type="Embed" ProgID="Equation.3" ShapeID="_x0000_i1035" DrawAspect="Content" ObjectID="_1804495198" r:id="rId92"/>
        </w:object>
      </w:r>
      <w:r>
        <w:rPr>
          <w:rFonts w:ascii="Times New Roman" w:eastAsia="Times New Roman" w:hAnsi="Times New Roman" w:cs="Times New Roman"/>
          <w:sz w:val="24"/>
          <w:szCs w:val="24"/>
        </w:rPr>
        <w:t xml:space="preserve"> – коефіцієнт окислення вуглецю в паливі і-ого типу (показує частку згорілого вуглецю), (таблиця 1-2 ).</w:t>
      </w:r>
    </w:p>
    <w:p w14:paraId="1C2B74D6" w14:textId="77777777" w:rsidR="00C82386" w:rsidRDefault="00E66F64">
      <w:pPr>
        <w:pBdr>
          <w:top w:val="single" w:sz="4" w:space="1" w:color="000000"/>
          <w:left w:val="single" w:sz="4" w:space="4" w:color="000000"/>
          <w:bottom w:val="single" w:sz="4" w:space="1" w:color="000000"/>
          <w:right w:val="single" w:sz="4" w:space="4" w:color="000000"/>
          <w:between w:val="single" w:sz="4" w:space="1" w:color="000000"/>
        </w:pBdr>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1 - Коефіцієнти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для викопного палива </w:t>
      </w:r>
      <w:r>
        <w:rPr>
          <w:rFonts w:ascii="Symbol" w:eastAsia="Symbol" w:hAnsi="Symbol" w:cs="Symbol"/>
          <w:sz w:val="24"/>
          <w:szCs w:val="24"/>
        </w:rPr>
        <w:t></w:t>
      </w:r>
      <w:r>
        <w:rPr>
          <w:rFonts w:ascii="Times New Roman" w:eastAsia="Times New Roman" w:hAnsi="Times New Roman" w:cs="Times New Roman"/>
          <w:sz w:val="24"/>
          <w:szCs w:val="24"/>
        </w:rPr>
        <w:t>2</w:t>
      </w:r>
      <w:r>
        <w:rPr>
          <w:rFonts w:ascii="Symbol" w:eastAsia="Symbol" w:hAnsi="Symbol" w:cs="Symbol"/>
          <w:sz w:val="24"/>
          <w:szCs w:val="24"/>
        </w:rPr>
        <w:t></w:t>
      </w:r>
    </w:p>
    <w:tbl>
      <w:tblPr>
        <w:tblStyle w:val="affffffff8"/>
        <w:tblW w:w="957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5"/>
        <w:gridCol w:w="2241"/>
        <w:gridCol w:w="1417"/>
        <w:gridCol w:w="1559"/>
        <w:gridCol w:w="1418"/>
        <w:gridCol w:w="1240"/>
      </w:tblGrid>
      <w:tr w:rsidR="00C82386" w14:paraId="1D51EAF3" w14:textId="77777777">
        <w:trPr>
          <w:cantSplit/>
        </w:trPr>
        <w:tc>
          <w:tcPr>
            <w:tcW w:w="3936" w:type="dxa"/>
            <w:gridSpan w:val="2"/>
          </w:tcPr>
          <w:p w14:paraId="4A2DF582"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Енергоносії</w:t>
            </w:r>
          </w:p>
        </w:tc>
        <w:tc>
          <w:tcPr>
            <w:tcW w:w="2976" w:type="dxa"/>
            <w:gridSpan w:val="2"/>
          </w:tcPr>
          <w:p w14:paraId="603045CE" w14:textId="77777777" w:rsidR="00C82386" w:rsidRDefault="00E66F64">
            <w:pPr>
              <w:keepNext/>
              <w:keepLines/>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Міжурядова група експертів зі зміни клімату (IPCC , МГЕЗК)</w:t>
            </w:r>
          </w:p>
        </w:tc>
        <w:tc>
          <w:tcPr>
            <w:tcW w:w="2658" w:type="dxa"/>
            <w:gridSpan w:val="2"/>
          </w:tcPr>
          <w:p w14:paraId="36F2D7EA" w14:textId="77777777" w:rsidR="00C82386" w:rsidRDefault="00E66F64">
            <w:pPr>
              <w:keepNext/>
              <w:keepLines/>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Оцінка життєвого циклу (LCA)</w:t>
            </w:r>
          </w:p>
        </w:tc>
      </w:tr>
      <w:tr w:rsidR="00C82386" w14:paraId="38BA487A" w14:textId="77777777">
        <w:trPr>
          <w:cantSplit/>
        </w:trPr>
        <w:tc>
          <w:tcPr>
            <w:tcW w:w="1695" w:type="dxa"/>
          </w:tcPr>
          <w:p w14:paraId="6AAF35EE" w14:textId="77777777" w:rsidR="00C82386" w:rsidRDefault="00E66F64">
            <w:pPr>
              <w:spacing w:after="0"/>
              <w:rPr>
                <w:rFonts w:ascii="Times New Roman" w:eastAsia="Times New Roman" w:hAnsi="Times New Roman" w:cs="Times New Roman"/>
              </w:rPr>
            </w:pPr>
            <w:bookmarkStart w:id="109" w:name="_heading=h.4iylrwe" w:colFirst="0" w:colLast="0"/>
            <w:bookmarkEnd w:id="109"/>
            <w:r>
              <w:rPr>
                <w:rFonts w:ascii="Times New Roman" w:eastAsia="Times New Roman" w:hAnsi="Times New Roman" w:cs="Times New Roman"/>
              </w:rPr>
              <w:t>Визначення ПДСЕРК (SECAP)</w:t>
            </w:r>
          </w:p>
        </w:tc>
        <w:tc>
          <w:tcPr>
            <w:tcW w:w="2241" w:type="dxa"/>
          </w:tcPr>
          <w:p w14:paraId="5EB4DA81"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Стандартне визначення МГЕЗК</w:t>
            </w:r>
          </w:p>
        </w:tc>
        <w:tc>
          <w:tcPr>
            <w:tcW w:w="1417" w:type="dxa"/>
          </w:tcPr>
          <w:p w14:paraId="5B2F680B"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тCO</w:t>
            </w:r>
            <w:r>
              <w:rPr>
                <w:rFonts w:ascii="Times New Roman" w:eastAsia="Times New Roman" w:hAnsi="Times New Roman" w:cs="Times New Roman"/>
                <w:vertAlign w:val="subscript"/>
              </w:rPr>
              <w:t>2</w:t>
            </w:r>
            <w:r>
              <w:rPr>
                <w:rFonts w:ascii="Times New Roman" w:eastAsia="Times New Roman" w:hAnsi="Times New Roman" w:cs="Times New Roman"/>
              </w:rPr>
              <w:t>/ МВт.год</w:t>
            </w:r>
          </w:p>
        </w:tc>
        <w:tc>
          <w:tcPr>
            <w:tcW w:w="1559" w:type="dxa"/>
          </w:tcPr>
          <w:p w14:paraId="44B75E63"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тCO</w:t>
            </w:r>
            <w:r>
              <w:rPr>
                <w:rFonts w:ascii="Times New Roman" w:eastAsia="Times New Roman" w:hAnsi="Times New Roman" w:cs="Times New Roman"/>
                <w:vertAlign w:val="subscript"/>
              </w:rPr>
              <w:t>2</w:t>
            </w:r>
            <w:r>
              <w:rPr>
                <w:rFonts w:ascii="Times New Roman" w:eastAsia="Times New Roman" w:hAnsi="Times New Roman" w:cs="Times New Roman"/>
              </w:rPr>
              <w:t>-</w:t>
            </w:r>
          </w:p>
          <w:p w14:paraId="49ACE77D"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екв./МВт.год.</w:t>
            </w:r>
          </w:p>
        </w:tc>
        <w:tc>
          <w:tcPr>
            <w:tcW w:w="1418" w:type="dxa"/>
          </w:tcPr>
          <w:p w14:paraId="093972FE"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тCO</w:t>
            </w:r>
            <w:r>
              <w:rPr>
                <w:rFonts w:ascii="Times New Roman" w:eastAsia="Times New Roman" w:hAnsi="Times New Roman" w:cs="Times New Roman"/>
                <w:vertAlign w:val="subscript"/>
              </w:rPr>
              <w:t>2</w:t>
            </w:r>
            <w:r>
              <w:rPr>
                <w:rFonts w:ascii="Times New Roman" w:eastAsia="Times New Roman" w:hAnsi="Times New Roman" w:cs="Times New Roman"/>
              </w:rPr>
              <w:t>/ МВт.год.</w:t>
            </w:r>
          </w:p>
        </w:tc>
        <w:tc>
          <w:tcPr>
            <w:tcW w:w="1240" w:type="dxa"/>
          </w:tcPr>
          <w:p w14:paraId="7BFD1FCF"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тCO</w:t>
            </w:r>
            <w:r>
              <w:rPr>
                <w:rFonts w:ascii="Times New Roman" w:eastAsia="Times New Roman" w:hAnsi="Times New Roman" w:cs="Times New Roman"/>
                <w:vertAlign w:val="subscript"/>
              </w:rPr>
              <w:t>2</w:t>
            </w:r>
            <w:r>
              <w:rPr>
                <w:rFonts w:ascii="Times New Roman" w:eastAsia="Times New Roman" w:hAnsi="Times New Roman" w:cs="Times New Roman"/>
              </w:rPr>
              <w:t>-екв./ МВт.год.</w:t>
            </w:r>
          </w:p>
        </w:tc>
      </w:tr>
      <w:tr w:rsidR="00C82386" w14:paraId="7B1F93C6" w14:textId="77777777">
        <w:trPr>
          <w:cantSplit/>
        </w:trPr>
        <w:tc>
          <w:tcPr>
            <w:tcW w:w="1695" w:type="dxa"/>
          </w:tcPr>
          <w:p w14:paraId="5D7B48F6"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Природній газ</w:t>
            </w:r>
          </w:p>
        </w:tc>
        <w:tc>
          <w:tcPr>
            <w:tcW w:w="2241" w:type="dxa"/>
          </w:tcPr>
          <w:p w14:paraId="5DAADAA2" w14:textId="77777777" w:rsidR="00C82386" w:rsidRDefault="00E66F64">
            <w:pPr>
              <w:keepNext/>
              <w:keepLines/>
              <w:spacing w:after="0"/>
              <w:rPr>
                <w:rFonts w:ascii="Times New Roman" w:eastAsia="Times New Roman" w:hAnsi="Times New Roman" w:cs="Times New Roman"/>
                <w:sz w:val="20"/>
                <w:szCs w:val="20"/>
              </w:rPr>
            </w:pPr>
            <w:r>
              <w:rPr>
                <w:rFonts w:ascii="Times New Roman" w:eastAsia="Times New Roman" w:hAnsi="Times New Roman" w:cs="Times New Roman"/>
              </w:rPr>
              <w:t>Природній газ</w:t>
            </w:r>
          </w:p>
        </w:tc>
        <w:tc>
          <w:tcPr>
            <w:tcW w:w="1417" w:type="dxa"/>
          </w:tcPr>
          <w:p w14:paraId="7E926DD0"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0,202</w:t>
            </w:r>
          </w:p>
        </w:tc>
        <w:tc>
          <w:tcPr>
            <w:tcW w:w="1559" w:type="dxa"/>
          </w:tcPr>
          <w:p w14:paraId="528BB328"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0,202</w:t>
            </w:r>
          </w:p>
        </w:tc>
        <w:tc>
          <w:tcPr>
            <w:tcW w:w="1418" w:type="dxa"/>
          </w:tcPr>
          <w:p w14:paraId="5464E344"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0,201</w:t>
            </w:r>
          </w:p>
        </w:tc>
        <w:tc>
          <w:tcPr>
            <w:tcW w:w="1240" w:type="dxa"/>
          </w:tcPr>
          <w:p w14:paraId="3D6F8A76"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0,237</w:t>
            </w:r>
          </w:p>
        </w:tc>
      </w:tr>
      <w:tr w:rsidR="00C82386" w14:paraId="5E92F730" w14:textId="77777777">
        <w:trPr>
          <w:cantSplit/>
        </w:trPr>
        <w:tc>
          <w:tcPr>
            <w:tcW w:w="1695" w:type="dxa"/>
            <w:vMerge w:val="restart"/>
            <w:vAlign w:val="center"/>
          </w:tcPr>
          <w:p w14:paraId="05751B01"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Скраплений газ</w:t>
            </w:r>
          </w:p>
        </w:tc>
        <w:tc>
          <w:tcPr>
            <w:tcW w:w="2241" w:type="dxa"/>
          </w:tcPr>
          <w:p w14:paraId="7899A371" w14:textId="77777777" w:rsidR="00C82386" w:rsidRDefault="00E66F64">
            <w:pPr>
              <w:keepNext/>
              <w:keepLines/>
              <w:spacing w:after="0"/>
              <w:rPr>
                <w:rFonts w:ascii="Times New Roman" w:eastAsia="Times New Roman" w:hAnsi="Times New Roman" w:cs="Times New Roman"/>
                <w:sz w:val="20"/>
                <w:szCs w:val="20"/>
              </w:rPr>
            </w:pPr>
            <w:r>
              <w:rPr>
                <w:rFonts w:ascii="Times New Roman" w:eastAsia="Times New Roman" w:hAnsi="Times New Roman" w:cs="Times New Roman"/>
              </w:rPr>
              <w:t>Скраплений нафтовий газ</w:t>
            </w:r>
          </w:p>
        </w:tc>
        <w:tc>
          <w:tcPr>
            <w:tcW w:w="1417" w:type="dxa"/>
          </w:tcPr>
          <w:p w14:paraId="39201B17"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0,227</w:t>
            </w:r>
          </w:p>
        </w:tc>
        <w:tc>
          <w:tcPr>
            <w:tcW w:w="1559" w:type="dxa"/>
          </w:tcPr>
          <w:p w14:paraId="1FBC10B5"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0,227</w:t>
            </w:r>
          </w:p>
        </w:tc>
        <w:tc>
          <w:tcPr>
            <w:tcW w:w="1418" w:type="dxa"/>
          </w:tcPr>
          <w:p w14:paraId="0CD9B0F2"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1240" w:type="dxa"/>
          </w:tcPr>
          <w:p w14:paraId="1665E871"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w:t>
            </w:r>
          </w:p>
        </w:tc>
      </w:tr>
      <w:tr w:rsidR="00C82386" w14:paraId="65828BAF" w14:textId="77777777">
        <w:trPr>
          <w:cantSplit/>
        </w:trPr>
        <w:tc>
          <w:tcPr>
            <w:tcW w:w="1695" w:type="dxa"/>
            <w:vMerge/>
            <w:vAlign w:val="center"/>
          </w:tcPr>
          <w:p w14:paraId="4721D8D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rPr>
            </w:pPr>
          </w:p>
        </w:tc>
        <w:tc>
          <w:tcPr>
            <w:tcW w:w="2241" w:type="dxa"/>
          </w:tcPr>
          <w:p w14:paraId="78894364" w14:textId="77777777" w:rsidR="00C82386" w:rsidRDefault="00E66F64">
            <w:pPr>
              <w:keepNext/>
              <w:keepLines/>
              <w:spacing w:after="0"/>
              <w:rPr>
                <w:rFonts w:ascii="Times New Roman" w:eastAsia="Times New Roman" w:hAnsi="Times New Roman" w:cs="Times New Roman"/>
                <w:sz w:val="20"/>
                <w:szCs w:val="20"/>
              </w:rPr>
            </w:pPr>
            <w:r>
              <w:rPr>
                <w:rFonts w:ascii="Times New Roman" w:eastAsia="Times New Roman" w:hAnsi="Times New Roman" w:cs="Times New Roman"/>
              </w:rPr>
              <w:t>Стиснений природний газ</w:t>
            </w:r>
          </w:p>
        </w:tc>
        <w:tc>
          <w:tcPr>
            <w:tcW w:w="1417" w:type="dxa"/>
          </w:tcPr>
          <w:p w14:paraId="44EB3A81"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0,231</w:t>
            </w:r>
          </w:p>
        </w:tc>
        <w:tc>
          <w:tcPr>
            <w:tcW w:w="1559" w:type="dxa"/>
          </w:tcPr>
          <w:p w14:paraId="0F30455A"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0,232</w:t>
            </w:r>
          </w:p>
        </w:tc>
        <w:tc>
          <w:tcPr>
            <w:tcW w:w="1418" w:type="dxa"/>
          </w:tcPr>
          <w:p w14:paraId="49E1430B"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w:t>
            </w:r>
          </w:p>
        </w:tc>
        <w:tc>
          <w:tcPr>
            <w:tcW w:w="1240" w:type="dxa"/>
          </w:tcPr>
          <w:p w14:paraId="61D5E36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w:t>
            </w:r>
          </w:p>
        </w:tc>
      </w:tr>
      <w:tr w:rsidR="00C82386" w14:paraId="7A283F0B" w14:textId="77777777">
        <w:trPr>
          <w:cantSplit/>
        </w:trPr>
        <w:tc>
          <w:tcPr>
            <w:tcW w:w="1695" w:type="dxa"/>
          </w:tcPr>
          <w:p w14:paraId="5C35B687"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Топковий мазут</w:t>
            </w:r>
          </w:p>
        </w:tc>
        <w:tc>
          <w:tcPr>
            <w:tcW w:w="2241" w:type="dxa"/>
          </w:tcPr>
          <w:p w14:paraId="13A83FD9"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Дизельне паливо</w:t>
            </w:r>
          </w:p>
        </w:tc>
        <w:tc>
          <w:tcPr>
            <w:tcW w:w="1417" w:type="dxa"/>
          </w:tcPr>
          <w:p w14:paraId="38A62367"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0,267</w:t>
            </w:r>
          </w:p>
        </w:tc>
        <w:tc>
          <w:tcPr>
            <w:tcW w:w="1559" w:type="dxa"/>
          </w:tcPr>
          <w:p w14:paraId="58A8E967"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0,268</w:t>
            </w:r>
          </w:p>
        </w:tc>
        <w:tc>
          <w:tcPr>
            <w:tcW w:w="1418" w:type="dxa"/>
          </w:tcPr>
          <w:p w14:paraId="630EFD17"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0,292</w:t>
            </w:r>
          </w:p>
        </w:tc>
        <w:tc>
          <w:tcPr>
            <w:tcW w:w="1240" w:type="dxa"/>
          </w:tcPr>
          <w:p w14:paraId="5110520B"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0,305</w:t>
            </w:r>
          </w:p>
        </w:tc>
      </w:tr>
      <w:tr w:rsidR="00C82386" w14:paraId="5DA35E37" w14:textId="77777777">
        <w:trPr>
          <w:cantSplit/>
        </w:trPr>
        <w:tc>
          <w:tcPr>
            <w:tcW w:w="1695" w:type="dxa"/>
          </w:tcPr>
          <w:p w14:paraId="75077B09"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Дизельне паливо</w:t>
            </w:r>
          </w:p>
        </w:tc>
        <w:tc>
          <w:tcPr>
            <w:tcW w:w="2241" w:type="dxa"/>
          </w:tcPr>
          <w:p w14:paraId="3B07F3CB"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Моторне дизельне паливо</w:t>
            </w:r>
          </w:p>
        </w:tc>
        <w:tc>
          <w:tcPr>
            <w:tcW w:w="1417" w:type="dxa"/>
          </w:tcPr>
          <w:p w14:paraId="3B207F66"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0,267</w:t>
            </w:r>
          </w:p>
        </w:tc>
        <w:tc>
          <w:tcPr>
            <w:tcW w:w="1559" w:type="dxa"/>
          </w:tcPr>
          <w:p w14:paraId="68C43EE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0,268</w:t>
            </w:r>
            <w:r>
              <w:rPr>
                <w:rFonts w:ascii="Times New Roman" w:eastAsia="Times New Roman" w:hAnsi="Times New Roman" w:cs="Times New Roman"/>
                <w:vertAlign w:val="superscript"/>
              </w:rPr>
              <w:t>а)</w:t>
            </w:r>
          </w:p>
        </w:tc>
        <w:tc>
          <w:tcPr>
            <w:tcW w:w="1418" w:type="dxa"/>
          </w:tcPr>
          <w:p w14:paraId="4BAEDFE4"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0,292</w:t>
            </w:r>
          </w:p>
        </w:tc>
        <w:tc>
          <w:tcPr>
            <w:tcW w:w="1240" w:type="dxa"/>
          </w:tcPr>
          <w:p w14:paraId="0ED006D9"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0,305</w:t>
            </w:r>
          </w:p>
        </w:tc>
      </w:tr>
      <w:tr w:rsidR="00C82386" w14:paraId="07136916" w14:textId="77777777">
        <w:trPr>
          <w:cantSplit/>
        </w:trPr>
        <w:tc>
          <w:tcPr>
            <w:tcW w:w="1695" w:type="dxa"/>
          </w:tcPr>
          <w:p w14:paraId="5F624456"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Бензин</w:t>
            </w:r>
          </w:p>
        </w:tc>
        <w:tc>
          <w:tcPr>
            <w:tcW w:w="2241" w:type="dxa"/>
          </w:tcPr>
          <w:p w14:paraId="57E487B5"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Бензин</w:t>
            </w:r>
          </w:p>
        </w:tc>
        <w:tc>
          <w:tcPr>
            <w:tcW w:w="1417" w:type="dxa"/>
          </w:tcPr>
          <w:p w14:paraId="75371D3E"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0,249</w:t>
            </w:r>
          </w:p>
        </w:tc>
        <w:tc>
          <w:tcPr>
            <w:tcW w:w="1559" w:type="dxa"/>
          </w:tcPr>
          <w:p w14:paraId="5E69C257" w14:textId="77777777" w:rsidR="00C82386" w:rsidRDefault="00E66F64">
            <w:pPr>
              <w:keepNext/>
              <w:keepLines/>
              <w:spacing w:after="0"/>
              <w:jc w:val="center"/>
              <w:rPr>
                <w:rFonts w:ascii="Times New Roman" w:eastAsia="Times New Roman" w:hAnsi="Times New Roman" w:cs="Times New Roman"/>
                <w:vertAlign w:val="superscript"/>
              </w:rPr>
            </w:pPr>
            <w:r>
              <w:rPr>
                <w:rFonts w:ascii="Times New Roman" w:eastAsia="Times New Roman" w:hAnsi="Times New Roman" w:cs="Times New Roman"/>
              </w:rPr>
              <w:t>0,250</w:t>
            </w:r>
            <w:r>
              <w:rPr>
                <w:rFonts w:ascii="Times New Roman" w:eastAsia="Times New Roman" w:hAnsi="Times New Roman" w:cs="Times New Roman"/>
                <w:vertAlign w:val="superscript"/>
              </w:rPr>
              <w:t>а)</w:t>
            </w:r>
          </w:p>
        </w:tc>
        <w:tc>
          <w:tcPr>
            <w:tcW w:w="1418" w:type="dxa"/>
          </w:tcPr>
          <w:p w14:paraId="1A517653"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0,299</w:t>
            </w:r>
          </w:p>
        </w:tc>
        <w:tc>
          <w:tcPr>
            <w:tcW w:w="1240" w:type="dxa"/>
          </w:tcPr>
          <w:p w14:paraId="42350526"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0,307</w:t>
            </w:r>
          </w:p>
        </w:tc>
      </w:tr>
      <w:tr w:rsidR="00C82386" w14:paraId="53C7D340" w14:textId="77777777">
        <w:trPr>
          <w:cantSplit/>
        </w:trPr>
        <w:tc>
          <w:tcPr>
            <w:tcW w:w="1695" w:type="dxa"/>
          </w:tcPr>
          <w:p w14:paraId="0EB32226"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Лігніт</w:t>
            </w:r>
          </w:p>
        </w:tc>
        <w:tc>
          <w:tcPr>
            <w:tcW w:w="2241" w:type="dxa"/>
          </w:tcPr>
          <w:p w14:paraId="0931C547"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Лігніт (буре вугілля)</w:t>
            </w:r>
          </w:p>
        </w:tc>
        <w:tc>
          <w:tcPr>
            <w:tcW w:w="1417" w:type="dxa"/>
          </w:tcPr>
          <w:p w14:paraId="5569F47B"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0,364</w:t>
            </w:r>
          </w:p>
        </w:tc>
        <w:tc>
          <w:tcPr>
            <w:tcW w:w="1559" w:type="dxa"/>
          </w:tcPr>
          <w:p w14:paraId="5CD4FBA8"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0,365</w:t>
            </w:r>
          </w:p>
        </w:tc>
        <w:tc>
          <w:tcPr>
            <w:tcW w:w="1418" w:type="dxa"/>
          </w:tcPr>
          <w:p w14:paraId="71C7483A"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0,368</w:t>
            </w:r>
          </w:p>
        </w:tc>
        <w:tc>
          <w:tcPr>
            <w:tcW w:w="1240" w:type="dxa"/>
          </w:tcPr>
          <w:p w14:paraId="052ABE01"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0,375</w:t>
            </w:r>
          </w:p>
        </w:tc>
      </w:tr>
      <w:tr w:rsidR="00C82386" w14:paraId="7F9F6808" w14:textId="77777777">
        <w:trPr>
          <w:cantSplit/>
        </w:trPr>
        <w:tc>
          <w:tcPr>
            <w:tcW w:w="1695" w:type="dxa"/>
          </w:tcPr>
          <w:p w14:paraId="34002281"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Вугілля</w:t>
            </w:r>
          </w:p>
        </w:tc>
        <w:tc>
          <w:tcPr>
            <w:tcW w:w="2241" w:type="dxa"/>
          </w:tcPr>
          <w:p w14:paraId="04388A0E"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Антрацит</w:t>
            </w:r>
          </w:p>
        </w:tc>
        <w:tc>
          <w:tcPr>
            <w:tcW w:w="1417" w:type="dxa"/>
          </w:tcPr>
          <w:p w14:paraId="0814F0BD"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0,354</w:t>
            </w:r>
          </w:p>
        </w:tc>
        <w:tc>
          <w:tcPr>
            <w:tcW w:w="1559" w:type="dxa"/>
          </w:tcPr>
          <w:p w14:paraId="2664383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0,356</w:t>
            </w:r>
          </w:p>
        </w:tc>
        <w:tc>
          <w:tcPr>
            <w:tcW w:w="1418" w:type="dxa"/>
          </w:tcPr>
          <w:p w14:paraId="6DCE2AC3"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0,379</w:t>
            </w:r>
          </w:p>
        </w:tc>
        <w:tc>
          <w:tcPr>
            <w:tcW w:w="1240" w:type="dxa"/>
          </w:tcPr>
          <w:p w14:paraId="194B7A4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0,393</w:t>
            </w:r>
          </w:p>
        </w:tc>
      </w:tr>
      <w:tr w:rsidR="00C82386" w14:paraId="79962149" w14:textId="77777777">
        <w:trPr>
          <w:cantSplit/>
        </w:trPr>
        <w:tc>
          <w:tcPr>
            <w:tcW w:w="1695" w:type="dxa"/>
          </w:tcPr>
          <w:p w14:paraId="2167047A" w14:textId="77777777" w:rsidR="00C82386" w:rsidRDefault="00C82386">
            <w:pPr>
              <w:spacing w:after="0"/>
              <w:rPr>
                <w:rFonts w:ascii="Times New Roman" w:eastAsia="Times New Roman" w:hAnsi="Times New Roman" w:cs="Times New Roman"/>
                <w:sz w:val="20"/>
                <w:szCs w:val="20"/>
              </w:rPr>
            </w:pPr>
          </w:p>
        </w:tc>
        <w:tc>
          <w:tcPr>
            <w:tcW w:w="2241" w:type="dxa"/>
          </w:tcPr>
          <w:p w14:paraId="082382AF"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Інше кам’яне (бітумінозне) вугілля</w:t>
            </w:r>
          </w:p>
        </w:tc>
        <w:tc>
          <w:tcPr>
            <w:tcW w:w="1417" w:type="dxa"/>
          </w:tcPr>
          <w:p w14:paraId="55591631"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0,341</w:t>
            </w:r>
          </w:p>
        </w:tc>
        <w:tc>
          <w:tcPr>
            <w:tcW w:w="1559" w:type="dxa"/>
          </w:tcPr>
          <w:p w14:paraId="55B52C7E"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0,34</w:t>
            </w:r>
          </w:p>
        </w:tc>
        <w:tc>
          <w:tcPr>
            <w:tcW w:w="1418" w:type="dxa"/>
          </w:tcPr>
          <w:p w14:paraId="2278BDAF"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0,366</w:t>
            </w:r>
          </w:p>
        </w:tc>
        <w:tc>
          <w:tcPr>
            <w:tcW w:w="1240" w:type="dxa"/>
          </w:tcPr>
          <w:p w14:paraId="0D11A93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0,385</w:t>
            </w:r>
          </w:p>
        </w:tc>
      </w:tr>
      <w:tr w:rsidR="00C82386" w14:paraId="619711F4" w14:textId="77777777">
        <w:trPr>
          <w:cantSplit/>
        </w:trPr>
        <w:tc>
          <w:tcPr>
            <w:tcW w:w="1695" w:type="dxa"/>
          </w:tcPr>
          <w:p w14:paraId="0F87DA18" w14:textId="77777777" w:rsidR="00C82386" w:rsidRDefault="00C82386">
            <w:pPr>
              <w:spacing w:after="0"/>
              <w:rPr>
                <w:rFonts w:ascii="Times New Roman" w:eastAsia="Times New Roman" w:hAnsi="Times New Roman" w:cs="Times New Roman"/>
                <w:sz w:val="20"/>
                <w:szCs w:val="20"/>
              </w:rPr>
            </w:pPr>
          </w:p>
        </w:tc>
        <w:tc>
          <w:tcPr>
            <w:tcW w:w="2241" w:type="dxa"/>
          </w:tcPr>
          <w:p w14:paraId="69C685D6"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Суббітумінозне вугілля</w:t>
            </w:r>
          </w:p>
        </w:tc>
        <w:tc>
          <w:tcPr>
            <w:tcW w:w="1417" w:type="dxa"/>
          </w:tcPr>
          <w:p w14:paraId="000948A6"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0,346</w:t>
            </w:r>
          </w:p>
        </w:tc>
        <w:tc>
          <w:tcPr>
            <w:tcW w:w="1559" w:type="dxa"/>
          </w:tcPr>
          <w:p w14:paraId="7F34BCFA"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0,348</w:t>
            </w:r>
          </w:p>
        </w:tc>
        <w:tc>
          <w:tcPr>
            <w:tcW w:w="1418" w:type="dxa"/>
          </w:tcPr>
          <w:p w14:paraId="2542B743"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0,371</w:t>
            </w:r>
          </w:p>
        </w:tc>
        <w:tc>
          <w:tcPr>
            <w:tcW w:w="1240" w:type="dxa"/>
          </w:tcPr>
          <w:p w14:paraId="0B7D50F2"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0,385</w:t>
            </w:r>
          </w:p>
        </w:tc>
      </w:tr>
      <w:tr w:rsidR="00C82386" w14:paraId="65FDE19F" w14:textId="77777777">
        <w:trPr>
          <w:cantSplit/>
        </w:trPr>
        <w:tc>
          <w:tcPr>
            <w:tcW w:w="1695" w:type="dxa"/>
          </w:tcPr>
          <w:p w14:paraId="7B98A6C3"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lastRenderedPageBreak/>
              <w:t>Інші невідновлювані види палива</w:t>
            </w:r>
          </w:p>
        </w:tc>
        <w:tc>
          <w:tcPr>
            <w:tcW w:w="2241" w:type="dxa"/>
          </w:tcPr>
          <w:p w14:paraId="2A4280FA"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Муніципальні</w:t>
            </w:r>
          </w:p>
          <w:p w14:paraId="545AAD4B"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відходи (фракція, не біомаси)</w:t>
            </w:r>
          </w:p>
        </w:tc>
        <w:tc>
          <w:tcPr>
            <w:tcW w:w="1417" w:type="dxa"/>
          </w:tcPr>
          <w:p w14:paraId="35B6F21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0,330</w:t>
            </w:r>
          </w:p>
        </w:tc>
        <w:tc>
          <w:tcPr>
            <w:tcW w:w="1559" w:type="dxa"/>
          </w:tcPr>
          <w:p w14:paraId="4672EA2C"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0,337</w:t>
            </w:r>
          </w:p>
        </w:tc>
        <w:tc>
          <w:tcPr>
            <w:tcW w:w="1418" w:type="dxa"/>
          </w:tcPr>
          <w:p w14:paraId="418E7732"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0,181</w:t>
            </w:r>
          </w:p>
        </w:tc>
        <w:tc>
          <w:tcPr>
            <w:tcW w:w="1240" w:type="dxa"/>
          </w:tcPr>
          <w:p w14:paraId="117F9182"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0,174</w:t>
            </w:r>
          </w:p>
        </w:tc>
      </w:tr>
      <w:tr w:rsidR="00C82386" w14:paraId="66661C18" w14:textId="77777777">
        <w:trPr>
          <w:cantSplit/>
        </w:trPr>
        <w:tc>
          <w:tcPr>
            <w:tcW w:w="1695" w:type="dxa"/>
          </w:tcPr>
          <w:p w14:paraId="57C56FD8" w14:textId="77777777" w:rsidR="00C82386" w:rsidRDefault="00C82386">
            <w:pPr>
              <w:spacing w:after="0"/>
              <w:rPr>
                <w:rFonts w:ascii="Times New Roman" w:eastAsia="Times New Roman" w:hAnsi="Times New Roman" w:cs="Times New Roman"/>
                <w:sz w:val="20"/>
                <w:szCs w:val="20"/>
              </w:rPr>
            </w:pPr>
          </w:p>
        </w:tc>
        <w:tc>
          <w:tcPr>
            <w:tcW w:w="2241" w:type="dxa"/>
          </w:tcPr>
          <w:p w14:paraId="4C609E90" w14:textId="77777777" w:rsidR="00C82386" w:rsidRDefault="00E66F64">
            <w:pPr>
              <w:keepNext/>
              <w:keepLines/>
              <w:spacing w:after="0"/>
              <w:rPr>
                <w:rFonts w:ascii="Times New Roman" w:eastAsia="Times New Roman" w:hAnsi="Times New Roman" w:cs="Times New Roman"/>
              </w:rPr>
            </w:pPr>
            <w:r>
              <w:rPr>
                <w:rFonts w:ascii="Times New Roman" w:eastAsia="Times New Roman" w:hAnsi="Times New Roman" w:cs="Times New Roman"/>
              </w:rPr>
              <w:t>Торф</w:t>
            </w:r>
          </w:p>
        </w:tc>
        <w:tc>
          <w:tcPr>
            <w:tcW w:w="1417" w:type="dxa"/>
          </w:tcPr>
          <w:p w14:paraId="31AFE623"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0,382</w:t>
            </w:r>
          </w:p>
        </w:tc>
        <w:tc>
          <w:tcPr>
            <w:tcW w:w="1559" w:type="dxa"/>
          </w:tcPr>
          <w:p w14:paraId="441C8ECD"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0,383</w:t>
            </w:r>
          </w:p>
        </w:tc>
        <w:tc>
          <w:tcPr>
            <w:tcW w:w="1418" w:type="dxa"/>
          </w:tcPr>
          <w:p w14:paraId="169F3042"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0,386</w:t>
            </w:r>
          </w:p>
        </w:tc>
        <w:tc>
          <w:tcPr>
            <w:tcW w:w="1240" w:type="dxa"/>
          </w:tcPr>
          <w:p w14:paraId="740B0906" w14:textId="77777777" w:rsidR="00C82386" w:rsidRDefault="00E66F64">
            <w:pPr>
              <w:keepNext/>
              <w:keepLines/>
              <w:spacing w:after="0"/>
              <w:jc w:val="center"/>
              <w:rPr>
                <w:rFonts w:ascii="Times New Roman" w:eastAsia="Times New Roman" w:hAnsi="Times New Roman" w:cs="Times New Roman"/>
              </w:rPr>
            </w:pPr>
            <w:r>
              <w:rPr>
                <w:rFonts w:ascii="Times New Roman" w:eastAsia="Times New Roman" w:hAnsi="Times New Roman" w:cs="Times New Roman"/>
              </w:rPr>
              <w:t>0,392</w:t>
            </w:r>
          </w:p>
        </w:tc>
      </w:tr>
    </w:tbl>
    <w:p w14:paraId="7650BABA" w14:textId="77777777" w:rsidR="00C82386" w:rsidRDefault="00E66F64">
      <w:pPr>
        <w:spacing w:after="0"/>
        <w:jc w:val="both"/>
        <w:rPr>
          <w:rFonts w:ascii="Times New Roman" w:eastAsia="Times New Roman" w:hAnsi="Times New Roman" w:cs="Times New Roman"/>
        </w:rPr>
      </w:pPr>
      <w:r>
        <w:rPr>
          <w:rFonts w:ascii="Times New Roman" w:eastAsia="Times New Roman" w:hAnsi="Times New Roman" w:cs="Times New Roman"/>
        </w:rPr>
        <w:t>Примітка. а) коефіцієнти викидів для транспортного сектора на 3% перевищують наведені значення, характерні для стаціонарних джерел</w:t>
      </w:r>
    </w:p>
    <w:p w14:paraId="121874FF" w14:textId="77777777" w:rsidR="00C82386" w:rsidRDefault="00C82386">
      <w:pPr>
        <w:spacing w:after="0"/>
        <w:jc w:val="both"/>
        <w:rPr>
          <w:rFonts w:ascii="Times New Roman" w:eastAsia="Times New Roman" w:hAnsi="Times New Roman" w:cs="Times New Roman"/>
          <w:sz w:val="24"/>
          <w:szCs w:val="24"/>
        </w:rPr>
      </w:pPr>
    </w:p>
    <w:p w14:paraId="4F4D2531" w14:textId="77777777" w:rsidR="00C82386" w:rsidRDefault="00E66F64">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Таблиця 2 - Коефіцієнти викидів для енергетичних джерел, що відновлюються </w:t>
      </w:r>
      <w:r>
        <w:rPr>
          <w:rFonts w:ascii="Symbol" w:eastAsia="Symbol" w:hAnsi="Symbol" w:cs="Symbol"/>
          <w:sz w:val="24"/>
          <w:szCs w:val="24"/>
        </w:rPr>
        <w:t></w:t>
      </w:r>
      <w:r>
        <w:rPr>
          <w:rFonts w:ascii="Times New Roman" w:eastAsia="Times New Roman" w:hAnsi="Times New Roman" w:cs="Times New Roman"/>
          <w:sz w:val="24"/>
          <w:szCs w:val="24"/>
        </w:rPr>
        <w:t>2</w:t>
      </w:r>
      <w:r>
        <w:rPr>
          <w:rFonts w:ascii="Symbol" w:eastAsia="Symbol" w:hAnsi="Symbol" w:cs="Symbol"/>
          <w:sz w:val="24"/>
          <w:szCs w:val="24"/>
        </w:rPr>
        <w:t></w:t>
      </w:r>
    </w:p>
    <w:tbl>
      <w:tblPr>
        <w:tblStyle w:val="affffffff9"/>
        <w:tblW w:w="9575"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21"/>
        <w:gridCol w:w="2073"/>
        <w:gridCol w:w="996"/>
        <w:gridCol w:w="1389"/>
        <w:gridCol w:w="1241"/>
        <w:gridCol w:w="1314"/>
        <w:gridCol w:w="1241"/>
      </w:tblGrid>
      <w:tr w:rsidR="00C82386" w14:paraId="6DCDD109" w14:textId="77777777">
        <w:tc>
          <w:tcPr>
            <w:tcW w:w="3394" w:type="dxa"/>
            <w:gridSpan w:val="2"/>
          </w:tcPr>
          <w:p w14:paraId="5D989860" w14:textId="77777777" w:rsidR="00C82386" w:rsidRDefault="00E66F64">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Енергоносії</w:t>
            </w:r>
          </w:p>
        </w:tc>
        <w:tc>
          <w:tcPr>
            <w:tcW w:w="996" w:type="dxa"/>
            <w:vMerge w:val="restart"/>
          </w:tcPr>
          <w:p w14:paraId="421A70F8" w14:textId="77777777" w:rsidR="00C82386" w:rsidRDefault="00E66F64">
            <w:pPr>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Критерій сталості</w:t>
            </w:r>
            <w:r>
              <w:rPr>
                <w:rFonts w:ascii="Times New Roman" w:eastAsia="Times New Roman" w:hAnsi="Times New Roman" w:cs="Times New Roman"/>
                <w:sz w:val="20"/>
                <w:szCs w:val="20"/>
                <w:vertAlign w:val="superscript"/>
              </w:rPr>
              <w:t>)</w:t>
            </w:r>
          </w:p>
        </w:tc>
        <w:tc>
          <w:tcPr>
            <w:tcW w:w="2630" w:type="dxa"/>
            <w:gridSpan w:val="2"/>
          </w:tcPr>
          <w:p w14:paraId="0B6CA89F" w14:textId="77777777" w:rsidR="00C82386" w:rsidRDefault="00E66F64">
            <w:pPr>
              <w:rPr>
                <w:rFonts w:ascii="Times New Roman" w:eastAsia="Times New Roman" w:hAnsi="Times New Roman" w:cs="Times New Roman"/>
                <w:sz w:val="20"/>
                <w:szCs w:val="20"/>
              </w:rPr>
            </w:pPr>
            <w:r>
              <w:rPr>
                <w:rFonts w:ascii="Times New Roman" w:eastAsia="Times New Roman" w:hAnsi="Times New Roman" w:cs="Times New Roman"/>
                <w:sz w:val="20"/>
                <w:szCs w:val="20"/>
              </w:rPr>
              <w:t>Міжурядова група експертів зі зміни клімату (IPCC , МГЕЗК)</w:t>
            </w:r>
          </w:p>
        </w:tc>
        <w:tc>
          <w:tcPr>
            <w:tcW w:w="2555" w:type="dxa"/>
            <w:gridSpan w:val="2"/>
          </w:tcPr>
          <w:p w14:paraId="628D9D06" w14:textId="77777777" w:rsidR="00C82386" w:rsidRDefault="00E66F64">
            <w:pPr>
              <w:rPr>
                <w:rFonts w:ascii="Times New Roman" w:eastAsia="Times New Roman" w:hAnsi="Times New Roman" w:cs="Times New Roman"/>
                <w:sz w:val="20"/>
                <w:szCs w:val="20"/>
              </w:rPr>
            </w:pPr>
            <w:r>
              <w:rPr>
                <w:rFonts w:ascii="Times New Roman" w:eastAsia="Times New Roman" w:hAnsi="Times New Roman" w:cs="Times New Roman"/>
                <w:sz w:val="20"/>
                <w:szCs w:val="20"/>
              </w:rPr>
              <w:t>Оцінка життєвого циклу (LCA)</w:t>
            </w:r>
          </w:p>
        </w:tc>
      </w:tr>
      <w:tr w:rsidR="00C82386" w14:paraId="46D997E9" w14:textId="77777777">
        <w:tc>
          <w:tcPr>
            <w:tcW w:w="1321" w:type="dxa"/>
          </w:tcPr>
          <w:p w14:paraId="0BD928A7"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Визначення ПДСЕРК (SECAP)</w:t>
            </w:r>
          </w:p>
        </w:tc>
        <w:tc>
          <w:tcPr>
            <w:tcW w:w="2073" w:type="dxa"/>
          </w:tcPr>
          <w:p w14:paraId="24F9552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Стандартне визначення МГЕЗК</w:t>
            </w:r>
          </w:p>
        </w:tc>
        <w:tc>
          <w:tcPr>
            <w:tcW w:w="996" w:type="dxa"/>
            <w:vMerge/>
          </w:tcPr>
          <w:p w14:paraId="0C45764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1389" w:type="dxa"/>
            <w:vAlign w:val="center"/>
          </w:tcPr>
          <w:p w14:paraId="5FD6DD27"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тCO2/МВт.год.</w:t>
            </w:r>
          </w:p>
          <w:p w14:paraId="50EF01D3" w14:textId="77777777" w:rsidR="00C82386" w:rsidRDefault="00C82386">
            <w:pPr>
              <w:spacing w:after="0"/>
              <w:jc w:val="center"/>
              <w:rPr>
                <w:rFonts w:ascii="Times New Roman" w:eastAsia="Times New Roman" w:hAnsi="Times New Roman" w:cs="Times New Roman"/>
                <w:sz w:val="18"/>
                <w:szCs w:val="18"/>
              </w:rPr>
            </w:pPr>
          </w:p>
        </w:tc>
        <w:tc>
          <w:tcPr>
            <w:tcW w:w="1241" w:type="dxa"/>
            <w:vAlign w:val="center"/>
          </w:tcPr>
          <w:p w14:paraId="7C25E1A0"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тCO</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-екв/</w:t>
            </w:r>
            <w:r>
              <w:rPr>
                <w:rFonts w:ascii="Times New Roman" w:eastAsia="Times New Roman" w:hAnsi="Times New Roman" w:cs="Times New Roman"/>
                <w:sz w:val="18"/>
                <w:szCs w:val="18"/>
              </w:rPr>
              <w:br/>
              <w:t>МВт.год.</w:t>
            </w:r>
          </w:p>
        </w:tc>
        <w:tc>
          <w:tcPr>
            <w:tcW w:w="1314" w:type="dxa"/>
            <w:vAlign w:val="center"/>
          </w:tcPr>
          <w:p w14:paraId="544DBF7E"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 CO</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w:t>
            </w:r>
            <w:r>
              <w:rPr>
                <w:rFonts w:ascii="Times New Roman" w:eastAsia="Times New Roman" w:hAnsi="Times New Roman" w:cs="Times New Roman"/>
                <w:sz w:val="18"/>
                <w:szCs w:val="18"/>
              </w:rPr>
              <w:br/>
              <w:t>МВт.год.</w:t>
            </w:r>
          </w:p>
        </w:tc>
        <w:tc>
          <w:tcPr>
            <w:tcW w:w="1241" w:type="dxa"/>
            <w:vAlign w:val="center"/>
          </w:tcPr>
          <w:p w14:paraId="45B83517" w14:textId="77777777" w:rsidR="00C82386" w:rsidRDefault="00E66F64">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 CO</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-екв/</w:t>
            </w:r>
            <w:r>
              <w:rPr>
                <w:rFonts w:ascii="Times New Roman" w:eastAsia="Times New Roman" w:hAnsi="Times New Roman" w:cs="Times New Roman"/>
                <w:sz w:val="18"/>
                <w:szCs w:val="18"/>
              </w:rPr>
              <w:br/>
              <w:t>МВт.год.</w:t>
            </w:r>
          </w:p>
        </w:tc>
      </w:tr>
      <w:tr w:rsidR="00C82386" w14:paraId="52E5F554" w14:textId="77777777">
        <w:tc>
          <w:tcPr>
            <w:tcW w:w="1321" w:type="dxa"/>
            <w:vMerge w:val="restart"/>
          </w:tcPr>
          <w:p w14:paraId="24A59658"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Рослинне масло</w:t>
            </w:r>
          </w:p>
        </w:tc>
        <w:tc>
          <w:tcPr>
            <w:tcW w:w="2073" w:type="dxa"/>
            <w:vMerge w:val="restart"/>
          </w:tcPr>
          <w:p w14:paraId="7F85797E"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Інші рідкі біопалива</w:t>
            </w:r>
          </w:p>
        </w:tc>
        <w:tc>
          <w:tcPr>
            <w:tcW w:w="996" w:type="dxa"/>
          </w:tcPr>
          <w:p w14:paraId="3E92DA93"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w:t>
            </w:r>
          </w:p>
        </w:tc>
        <w:tc>
          <w:tcPr>
            <w:tcW w:w="1389" w:type="dxa"/>
          </w:tcPr>
          <w:p w14:paraId="22D8005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41" w:type="dxa"/>
          </w:tcPr>
          <w:p w14:paraId="5392A3C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0,001</w:t>
            </w:r>
          </w:p>
        </w:tc>
        <w:tc>
          <w:tcPr>
            <w:tcW w:w="1314" w:type="dxa"/>
            <w:vMerge w:val="restart"/>
          </w:tcPr>
          <w:p w14:paraId="3BA2321B"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0,171</w:t>
            </w:r>
          </w:p>
        </w:tc>
        <w:tc>
          <w:tcPr>
            <w:tcW w:w="1241" w:type="dxa"/>
            <w:vMerge w:val="restart"/>
          </w:tcPr>
          <w:p w14:paraId="586918B6"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0,182</w:t>
            </w:r>
          </w:p>
        </w:tc>
      </w:tr>
      <w:tr w:rsidR="00C82386" w14:paraId="0C3B2E42" w14:textId="77777777">
        <w:tc>
          <w:tcPr>
            <w:tcW w:w="1321" w:type="dxa"/>
            <w:vMerge/>
          </w:tcPr>
          <w:p w14:paraId="5B0170F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tcPr>
          <w:p w14:paraId="6158226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996" w:type="dxa"/>
          </w:tcPr>
          <w:p w14:paraId="0D2BAAE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ns</w:t>
            </w:r>
          </w:p>
        </w:tc>
        <w:tc>
          <w:tcPr>
            <w:tcW w:w="1389" w:type="dxa"/>
          </w:tcPr>
          <w:p w14:paraId="5F46F95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0,287</w:t>
            </w:r>
          </w:p>
        </w:tc>
        <w:tc>
          <w:tcPr>
            <w:tcW w:w="1241" w:type="dxa"/>
          </w:tcPr>
          <w:p w14:paraId="40D94225"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0,302</w:t>
            </w:r>
          </w:p>
        </w:tc>
        <w:tc>
          <w:tcPr>
            <w:tcW w:w="1314" w:type="dxa"/>
            <w:vMerge/>
          </w:tcPr>
          <w:p w14:paraId="69CB6BB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1241" w:type="dxa"/>
            <w:vMerge/>
          </w:tcPr>
          <w:p w14:paraId="3BF0495C"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r>
      <w:tr w:rsidR="00C82386" w14:paraId="1F17422C" w14:textId="77777777">
        <w:tc>
          <w:tcPr>
            <w:tcW w:w="1321" w:type="dxa"/>
            <w:vMerge w:val="restart"/>
          </w:tcPr>
          <w:p w14:paraId="556A59AA"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Біопаливо</w:t>
            </w:r>
          </w:p>
        </w:tc>
        <w:tc>
          <w:tcPr>
            <w:tcW w:w="2073" w:type="dxa"/>
            <w:vMerge w:val="restart"/>
          </w:tcPr>
          <w:p w14:paraId="6BFEB7BB"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Біо бензин</w:t>
            </w:r>
          </w:p>
        </w:tc>
        <w:tc>
          <w:tcPr>
            <w:tcW w:w="996" w:type="dxa"/>
          </w:tcPr>
          <w:p w14:paraId="25DB6D2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w:t>
            </w:r>
          </w:p>
        </w:tc>
        <w:tc>
          <w:tcPr>
            <w:tcW w:w="1389" w:type="dxa"/>
          </w:tcPr>
          <w:p w14:paraId="6DF66FEA"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41" w:type="dxa"/>
          </w:tcPr>
          <w:p w14:paraId="2230578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0,001</w:t>
            </w:r>
          </w:p>
        </w:tc>
        <w:tc>
          <w:tcPr>
            <w:tcW w:w="1314" w:type="dxa"/>
            <w:vMerge w:val="restart"/>
          </w:tcPr>
          <w:p w14:paraId="339B734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0,194</w:t>
            </w:r>
          </w:p>
        </w:tc>
        <w:tc>
          <w:tcPr>
            <w:tcW w:w="1241" w:type="dxa"/>
            <w:vMerge w:val="restart"/>
          </w:tcPr>
          <w:p w14:paraId="6DA2F17D"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0,206</w:t>
            </w:r>
          </w:p>
        </w:tc>
      </w:tr>
      <w:tr w:rsidR="00C82386" w14:paraId="7E636178" w14:textId="77777777">
        <w:tc>
          <w:tcPr>
            <w:tcW w:w="1321" w:type="dxa"/>
            <w:vMerge/>
          </w:tcPr>
          <w:p w14:paraId="5A524BE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tcPr>
          <w:p w14:paraId="2236C66B"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996" w:type="dxa"/>
          </w:tcPr>
          <w:p w14:paraId="2A66C71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ns</w:t>
            </w:r>
          </w:p>
        </w:tc>
        <w:tc>
          <w:tcPr>
            <w:tcW w:w="1389" w:type="dxa"/>
          </w:tcPr>
          <w:p w14:paraId="43F1B858"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0,255</w:t>
            </w:r>
          </w:p>
        </w:tc>
        <w:tc>
          <w:tcPr>
            <w:tcW w:w="1241" w:type="dxa"/>
          </w:tcPr>
          <w:p w14:paraId="2B39D7C5"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0,256</w:t>
            </w:r>
          </w:p>
        </w:tc>
        <w:tc>
          <w:tcPr>
            <w:tcW w:w="1314" w:type="dxa"/>
            <w:vMerge/>
          </w:tcPr>
          <w:p w14:paraId="6517653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1241" w:type="dxa"/>
            <w:vMerge/>
          </w:tcPr>
          <w:p w14:paraId="4D923E0D"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r>
      <w:tr w:rsidR="00C82386" w14:paraId="241366B1" w14:textId="77777777">
        <w:tc>
          <w:tcPr>
            <w:tcW w:w="1321" w:type="dxa"/>
            <w:vMerge/>
          </w:tcPr>
          <w:p w14:paraId="459F364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val="restart"/>
          </w:tcPr>
          <w:p w14:paraId="07F10042"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Біо дизельне паливо</w:t>
            </w:r>
          </w:p>
        </w:tc>
        <w:tc>
          <w:tcPr>
            <w:tcW w:w="996" w:type="dxa"/>
          </w:tcPr>
          <w:p w14:paraId="43A390A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w:t>
            </w:r>
          </w:p>
        </w:tc>
        <w:tc>
          <w:tcPr>
            <w:tcW w:w="1389" w:type="dxa"/>
          </w:tcPr>
          <w:p w14:paraId="74F07A94"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41" w:type="dxa"/>
          </w:tcPr>
          <w:p w14:paraId="489B76E7"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0,001</w:t>
            </w:r>
          </w:p>
        </w:tc>
        <w:tc>
          <w:tcPr>
            <w:tcW w:w="1314" w:type="dxa"/>
            <w:vMerge w:val="restart"/>
          </w:tcPr>
          <w:p w14:paraId="0F2D4E91"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0,147</w:t>
            </w:r>
          </w:p>
        </w:tc>
        <w:tc>
          <w:tcPr>
            <w:tcW w:w="1241" w:type="dxa"/>
            <w:vMerge w:val="restart"/>
          </w:tcPr>
          <w:p w14:paraId="582BD19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0,156</w:t>
            </w:r>
          </w:p>
        </w:tc>
      </w:tr>
      <w:tr w:rsidR="00C82386" w14:paraId="04913CD2" w14:textId="77777777">
        <w:tc>
          <w:tcPr>
            <w:tcW w:w="1321" w:type="dxa"/>
            <w:vMerge/>
          </w:tcPr>
          <w:p w14:paraId="175764ED"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tcPr>
          <w:p w14:paraId="0EC79CA9"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996" w:type="dxa"/>
          </w:tcPr>
          <w:p w14:paraId="1AD1BA97"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ns</w:t>
            </w:r>
          </w:p>
        </w:tc>
        <w:tc>
          <w:tcPr>
            <w:tcW w:w="1389" w:type="dxa"/>
          </w:tcPr>
          <w:p w14:paraId="7AEFF95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0,255</w:t>
            </w:r>
          </w:p>
        </w:tc>
        <w:tc>
          <w:tcPr>
            <w:tcW w:w="1241" w:type="dxa"/>
          </w:tcPr>
          <w:p w14:paraId="633E3BB3"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0,256</w:t>
            </w:r>
          </w:p>
        </w:tc>
        <w:tc>
          <w:tcPr>
            <w:tcW w:w="1314" w:type="dxa"/>
            <w:vMerge/>
          </w:tcPr>
          <w:p w14:paraId="658536D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1241" w:type="dxa"/>
            <w:vMerge/>
          </w:tcPr>
          <w:p w14:paraId="4295B6C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r>
      <w:tr w:rsidR="00C82386" w14:paraId="37B49D41" w14:textId="77777777">
        <w:tc>
          <w:tcPr>
            <w:tcW w:w="1321" w:type="dxa"/>
            <w:vMerge w:val="restart"/>
          </w:tcPr>
          <w:p w14:paraId="52D6FFEE"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Інша біомаса</w:t>
            </w:r>
            <w:r>
              <w:rPr>
                <w:rFonts w:ascii="Times New Roman" w:eastAsia="Times New Roman" w:hAnsi="Times New Roman" w:cs="Times New Roman"/>
              </w:rPr>
              <w:t xml:space="preserve"> </w:t>
            </w:r>
          </w:p>
        </w:tc>
        <w:tc>
          <w:tcPr>
            <w:tcW w:w="2073" w:type="dxa"/>
          </w:tcPr>
          <w:p w14:paraId="1D253DC8"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Біо газ</w:t>
            </w:r>
          </w:p>
        </w:tc>
        <w:tc>
          <w:tcPr>
            <w:tcW w:w="996" w:type="dxa"/>
          </w:tcPr>
          <w:p w14:paraId="38BFDFD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389" w:type="dxa"/>
          </w:tcPr>
          <w:p w14:paraId="33FB5888"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0,197</w:t>
            </w:r>
          </w:p>
        </w:tc>
        <w:tc>
          <w:tcPr>
            <w:tcW w:w="1241" w:type="dxa"/>
          </w:tcPr>
          <w:p w14:paraId="4C8024E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0,197</w:t>
            </w:r>
          </w:p>
        </w:tc>
        <w:tc>
          <w:tcPr>
            <w:tcW w:w="1314" w:type="dxa"/>
          </w:tcPr>
          <w:p w14:paraId="6B15C24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41" w:type="dxa"/>
          </w:tcPr>
          <w:p w14:paraId="3CCA4B3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C82386" w14:paraId="58850242" w14:textId="77777777">
        <w:tc>
          <w:tcPr>
            <w:tcW w:w="1321" w:type="dxa"/>
            <w:vMerge/>
          </w:tcPr>
          <w:p w14:paraId="27018E65"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tcPr>
          <w:p w14:paraId="01C092FC"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Муніципальні</w:t>
            </w:r>
          </w:p>
          <w:p w14:paraId="53D37C4D"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відходи (фракція</w:t>
            </w:r>
          </w:p>
          <w:p w14:paraId="73547D00" w14:textId="77777777" w:rsidR="00C82386" w:rsidRDefault="00E66F64">
            <w:pPr>
              <w:spacing w:after="0"/>
              <w:rPr>
                <w:rFonts w:ascii="Times New Roman" w:eastAsia="Times New Roman" w:hAnsi="Times New Roman" w:cs="Times New Roman"/>
                <w:sz w:val="20"/>
                <w:szCs w:val="20"/>
              </w:rPr>
            </w:pPr>
            <w:r>
              <w:rPr>
                <w:rFonts w:ascii="Times New Roman" w:eastAsia="Times New Roman" w:hAnsi="Times New Roman" w:cs="Times New Roman"/>
              </w:rPr>
              <w:t>біомаси)</w:t>
            </w:r>
          </w:p>
        </w:tc>
        <w:tc>
          <w:tcPr>
            <w:tcW w:w="996" w:type="dxa"/>
          </w:tcPr>
          <w:p w14:paraId="0B4C507B"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389" w:type="dxa"/>
          </w:tcPr>
          <w:p w14:paraId="09B82C5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41" w:type="dxa"/>
          </w:tcPr>
          <w:p w14:paraId="7988EAA7"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0,007</w:t>
            </w:r>
          </w:p>
        </w:tc>
        <w:tc>
          <w:tcPr>
            <w:tcW w:w="1314" w:type="dxa"/>
          </w:tcPr>
          <w:p w14:paraId="149EF09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0,107</w:t>
            </w:r>
          </w:p>
        </w:tc>
        <w:tc>
          <w:tcPr>
            <w:tcW w:w="1241" w:type="dxa"/>
          </w:tcPr>
          <w:p w14:paraId="3080CEA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0,106</w:t>
            </w:r>
          </w:p>
        </w:tc>
      </w:tr>
      <w:tr w:rsidR="00C82386" w14:paraId="1C624F13" w14:textId="77777777">
        <w:tc>
          <w:tcPr>
            <w:tcW w:w="1321" w:type="dxa"/>
            <w:vMerge/>
          </w:tcPr>
          <w:p w14:paraId="01B48827"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val="restart"/>
          </w:tcPr>
          <w:p w14:paraId="05D80269"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Деревина</w:t>
            </w:r>
          </w:p>
        </w:tc>
        <w:tc>
          <w:tcPr>
            <w:tcW w:w="996" w:type="dxa"/>
          </w:tcPr>
          <w:p w14:paraId="4AE11923"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w:t>
            </w:r>
          </w:p>
        </w:tc>
        <w:tc>
          <w:tcPr>
            <w:tcW w:w="1389" w:type="dxa"/>
          </w:tcPr>
          <w:p w14:paraId="388E3DE1"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41" w:type="dxa"/>
          </w:tcPr>
          <w:p w14:paraId="43E8BA0E"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0,007</w:t>
            </w:r>
          </w:p>
        </w:tc>
        <w:tc>
          <w:tcPr>
            <w:tcW w:w="1314" w:type="dxa"/>
          </w:tcPr>
          <w:p w14:paraId="52367258"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0,006</w:t>
            </w:r>
          </w:p>
        </w:tc>
        <w:tc>
          <w:tcPr>
            <w:tcW w:w="1241" w:type="dxa"/>
          </w:tcPr>
          <w:p w14:paraId="0DCD69D8"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0,013</w:t>
            </w:r>
          </w:p>
        </w:tc>
      </w:tr>
      <w:tr w:rsidR="00C82386" w14:paraId="2608D3CE" w14:textId="77777777">
        <w:tc>
          <w:tcPr>
            <w:tcW w:w="1321" w:type="dxa"/>
            <w:vMerge/>
          </w:tcPr>
          <w:p w14:paraId="028049F2"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vMerge/>
          </w:tcPr>
          <w:p w14:paraId="0EA18BA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996" w:type="dxa"/>
          </w:tcPr>
          <w:p w14:paraId="66783F9E"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ns</w:t>
            </w:r>
          </w:p>
        </w:tc>
        <w:tc>
          <w:tcPr>
            <w:tcW w:w="1389" w:type="dxa"/>
          </w:tcPr>
          <w:p w14:paraId="2E2D8417"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0,403</w:t>
            </w:r>
          </w:p>
        </w:tc>
        <w:tc>
          <w:tcPr>
            <w:tcW w:w="1241" w:type="dxa"/>
          </w:tcPr>
          <w:p w14:paraId="23312B37"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0,410</w:t>
            </w:r>
          </w:p>
        </w:tc>
        <w:tc>
          <w:tcPr>
            <w:tcW w:w="1314" w:type="dxa"/>
          </w:tcPr>
          <w:p w14:paraId="3053B40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0,409</w:t>
            </w:r>
          </w:p>
        </w:tc>
        <w:tc>
          <w:tcPr>
            <w:tcW w:w="1241" w:type="dxa"/>
          </w:tcPr>
          <w:p w14:paraId="162F0CC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0,416</w:t>
            </w:r>
          </w:p>
        </w:tc>
      </w:tr>
      <w:tr w:rsidR="00C82386" w14:paraId="140D29C9" w14:textId="77777777">
        <w:tc>
          <w:tcPr>
            <w:tcW w:w="1321" w:type="dxa"/>
            <w:vMerge/>
          </w:tcPr>
          <w:p w14:paraId="3BB24633"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tcPr>
          <w:p w14:paraId="413BED7E"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Деревні відходи</w:t>
            </w:r>
          </w:p>
        </w:tc>
        <w:tc>
          <w:tcPr>
            <w:tcW w:w="996" w:type="dxa"/>
          </w:tcPr>
          <w:p w14:paraId="3312C1E2"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389" w:type="dxa"/>
          </w:tcPr>
          <w:p w14:paraId="71A4BD09"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0,403</w:t>
            </w:r>
          </w:p>
        </w:tc>
        <w:tc>
          <w:tcPr>
            <w:tcW w:w="1241" w:type="dxa"/>
          </w:tcPr>
          <w:p w14:paraId="57F4FC7A"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0,410</w:t>
            </w:r>
          </w:p>
        </w:tc>
        <w:tc>
          <w:tcPr>
            <w:tcW w:w="1314" w:type="dxa"/>
          </w:tcPr>
          <w:p w14:paraId="6C86B80C"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0,193</w:t>
            </w:r>
          </w:p>
        </w:tc>
        <w:tc>
          <w:tcPr>
            <w:tcW w:w="1241" w:type="dxa"/>
          </w:tcPr>
          <w:p w14:paraId="074F9B8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0,184</w:t>
            </w:r>
          </w:p>
        </w:tc>
      </w:tr>
      <w:tr w:rsidR="00C82386" w14:paraId="55BD550F" w14:textId="77777777">
        <w:tc>
          <w:tcPr>
            <w:tcW w:w="1321" w:type="dxa"/>
            <w:vMerge/>
          </w:tcPr>
          <w:p w14:paraId="5808C4E8"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2073" w:type="dxa"/>
          </w:tcPr>
          <w:p w14:paraId="6376DDA8" w14:textId="77777777" w:rsidR="00C82386" w:rsidRDefault="00E66F64">
            <w:pPr>
              <w:spacing w:after="0"/>
              <w:rPr>
                <w:rFonts w:ascii="Times New Roman" w:eastAsia="Times New Roman" w:hAnsi="Times New Roman" w:cs="Times New Roman"/>
              </w:rPr>
            </w:pPr>
            <w:r>
              <w:rPr>
                <w:rFonts w:ascii="Times New Roman" w:eastAsia="Times New Roman" w:hAnsi="Times New Roman" w:cs="Times New Roman"/>
              </w:rPr>
              <w:t>Інша первинна тверда біомаса</w:t>
            </w:r>
          </w:p>
        </w:tc>
        <w:tc>
          <w:tcPr>
            <w:tcW w:w="996" w:type="dxa"/>
          </w:tcPr>
          <w:p w14:paraId="62226D04"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389" w:type="dxa"/>
          </w:tcPr>
          <w:p w14:paraId="5DBD1D60"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0,306</w:t>
            </w:r>
          </w:p>
        </w:tc>
        <w:tc>
          <w:tcPr>
            <w:tcW w:w="1241" w:type="dxa"/>
          </w:tcPr>
          <w:p w14:paraId="3B1CCD6F"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0,367</w:t>
            </w:r>
          </w:p>
        </w:tc>
        <w:tc>
          <w:tcPr>
            <w:tcW w:w="1314" w:type="dxa"/>
          </w:tcPr>
          <w:p w14:paraId="5B01E1D5"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41" w:type="dxa"/>
          </w:tcPr>
          <w:p w14:paraId="72417F4B" w14:textId="77777777" w:rsidR="00C82386" w:rsidRDefault="00E66F64">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bl>
    <w:p w14:paraId="5B75012E" w14:textId="77777777" w:rsidR="00C82386" w:rsidRDefault="00E66F64">
      <w:pPr>
        <w:spacing w:after="0"/>
        <w:jc w:val="both"/>
        <w:rPr>
          <w:rFonts w:ascii="Times New Roman" w:eastAsia="Times New Roman" w:hAnsi="Times New Roman" w:cs="Times New Roman"/>
        </w:rPr>
      </w:pPr>
      <w:r>
        <w:rPr>
          <w:rFonts w:ascii="Times New Roman" w:eastAsia="Times New Roman" w:hAnsi="Times New Roman" w:cs="Times New Roman"/>
        </w:rPr>
        <w:t>Примітка. а) – коефіцієнти викидів можуть враховуватися нульовими якщо біопаливо/біомаса має критерій сталості (s); у випадку, коли біопаливо/біомаса не відповідає критерію сталості (ns) замість цього використовуються викиди викопного палива</w:t>
      </w:r>
    </w:p>
    <w:p w14:paraId="32BB2EA8"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noProof/>
          <w:sz w:val="20"/>
          <w:szCs w:val="20"/>
          <w:lang w:val="ru-RU"/>
        </w:rPr>
        <w:drawing>
          <wp:inline distT="0" distB="0" distL="0" distR="0" wp14:anchorId="706698CF" wp14:editId="2B012979">
            <wp:extent cx="5940425" cy="1514475"/>
            <wp:effectExtent l="0" t="0" r="0" b="0"/>
            <wp:docPr id="2144251965"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93"/>
                    <a:srcRect/>
                    <a:stretch>
                      <a:fillRect/>
                    </a:stretch>
                  </pic:blipFill>
                  <pic:spPr>
                    <a:xfrm>
                      <a:off x="0" y="0"/>
                      <a:ext cx="5940425" cy="1514475"/>
                    </a:xfrm>
                    <a:prstGeom prst="rect">
                      <a:avLst/>
                    </a:prstGeom>
                    <a:ln/>
                  </pic:spPr>
                </pic:pic>
              </a:graphicData>
            </a:graphic>
          </wp:inline>
        </w:drawing>
      </w:r>
    </w:p>
    <w:p w14:paraId="51F9C0E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спалювання і-ого типу палива за рік визначається окремо для кожної категорії транспортних засобів на основі (3) і визначаються як</w:t>
      </w:r>
    </w:p>
    <w:p w14:paraId="756AC1B2" w14:textId="77777777" w:rsidR="00C82386" w:rsidRDefault="00C82386">
      <w:pPr>
        <w:spacing w:after="0"/>
        <w:ind w:firstLine="709"/>
        <w:jc w:val="both"/>
        <w:rPr>
          <w:rFonts w:ascii="Times New Roman" w:eastAsia="Times New Roman" w:hAnsi="Times New Roman" w:cs="Times New Roman"/>
          <w:sz w:val="24"/>
          <w:szCs w:val="24"/>
        </w:rPr>
      </w:pPr>
    </w:p>
    <w:p w14:paraId="1B95D110"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260" w:dyaOrig="460" w14:anchorId="66A0CC90">
          <v:shape id="_x0000_i1036" type="#_x0000_t75" alt="" style="width:114pt;height:24pt;mso-width-percent:0;mso-height-percent:0;mso-width-percent:0;mso-height-percent:0" o:ole="" filled="t">
            <v:fill color2="black"/>
            <v:imagedata r:id="rId94" o:title=""/>
          </v:shape>
          <o:OLEObject Type="Embed" ProgID="Equation.3" ShapeID="_x0000_i1036" DrawAspect="Content" ObjectID="_1804495199" r:id="rId95"/>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(3)</w:t>
      </w:r>
    </w:p>
    <w:p w14:paraId="5D820EF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520" w:dyaOrig="400" w14:anchorId="41D4A6B3">
          <v:shape id="_x0000_i1037" type="#_x0000_t75" alt="" style="width:24pt;height:18pt;mso-width-percent:0;mso-height-percent:0;mso-width-percent:0;mso-height-percent:0" o:ole="" filled="t">
            <v:fill color2="black"/>
            <v:imagedata r:id="rId96" o:title=""/>
          </v:shape>
          <o:OLEObject Type="Embed" ProgID="Equation.3" ShapeID="_x0000_i1037" DrawAspect="Content" ObjectID="_1804495200" r:id="rId97"/>
        </w:object>
      </w:r>
      <w:r>
        <w:rPr>
          <w:rFonts w:ascii="Times New Roman" w:eastAsia="Times New Roman" w:hAnsi="Times New Roman" w:cs="Times New Roman"/>
          <w:sz w:val="24"/>
          <w:szCs w:val="24"/>
        </w:rPr>
        <w:t xml:space="preserve"> -  річний пробіг, км;</w:t>
      </w:r>
    </w:p>
    <w:p w14:paraId="6185878D"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920" w:dyaOrig="400" w14:anchorId="160BFA92">
          <v:shape id="_x0000_i1038" type="#_x0000_t75" alt="" style="width:48pt;height:18pt;mso-width-percent:0;mso-height-percent:0;mso-width-percent:0;mso-height-percent:0" o:ole="" filled="t">
            <v:fill color2="black"/>
            <v:imagedata r:id="rId98" o:title=""/>
          </v:shape>
          <o:OLEObject Type="Embed" ProgID="Equation.3" ShapeID="_x0000_i1038" DrawAspect="Content" ObjectID="_1804495201" r:id="rId99"/>
        </w:object>
      </w:r>
      <w:r>
        <w:rPr>
          <w:rFonts w:ascii="Times New Roman" w:eastAsia="Times New Roman" w:hAnsi="Times New Roman" w:cs="Times New Roman"/>
          <w:sz w:val="24"/>
          <w:szCs w:val="24"/>
        </w:rPr>
        <w:t xml:space="preserve"> - питоме споживання моторного палива, л/100 км.</w:t>
      </w:r>
    </w:p>
    <w:p w14:paraId="5AAE1A4A" w14:textId="77777777" w:rsidR="00C82386" w:rsidRDefault="00C82386">
      <w:pPr>
        <w:spacing w:after="0"/>
        <w:jc w:val="both"/>
        <w:rPr>
          <w:rFonts w:ascii="Times New Roman" w:eastAsia="Times New Roman" w:hAnsi="Times New Roman" w:cs="Times New Roman"/>
          <w:sz w:val="24"/>
          <w:szCs w:val="24"/>
        </w:rPr>
      </w:pPr>
    </w:p>
    <w:p w14:paraId="64338291" w14:textId="77777777" w:rsidR="00C82386" w:rsidRDefault="00E66F64">
      <w:pPr>
        <w:spacing w:after="0"/>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річного пробігу транспортних засобів залежить від наявності даних та відбувається окремо для кожної  групи типу рухомого складу. Нижче приведено методологію визначення річного пробігу для різних категорій.</w:t>
      </w:r>
    </w:p>
    <w:p w14:paraId="2724CDEB" w14:textId="77777777" w:rsidR="00C82386" w:rsidRDefault="00E66F64">
      <w:pPr>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Визначення викидів СО</w:t>
      </w:r>
      <w:r>
        <w:rPr>
          <w:rFonts w:ascii="Times New Roman" w:eastAsia="Times New Roman" w:hAnsi="Times New Roman" w:cs="Times New Roman"/>
          <w:b/>
          <w:sz w:val="24"/>
          <w:szCs w:val="24"/>
          <w:vertAlign w:val="subscript"/>
        </w:rPr>
        <w:t>2</w:t>
      </w:r>
      <w:r w:rsidR="00CE13D9">
        <w:rPr>
          <w:rFonts w:ascii="Times New Roman" w:eastAsia="Times New Roman" w:hAnsi="Times New Roman" w:cs="Times New Roman"/>
          <w:b/>
          <w:sz w:val="24"/>
          <w:szCs w:val="24"/>
        </w:rPr>
        <w:t xml:space="preserve"> по муні</w:t>
      </w:r>
      <w:r>
        <w:rPr>
          <w:rFonts w:ascii="Times New Roman" w:eastAsia="Times New Roman" w:hAnsi="Times New Roman" w:cs="Times New Roman"/>
          <w:b/>
          <w:sz w:val="24"/>
          <w:szCs w:val="24"/>
        </w:rPr>
        <w:t>ципальному парку транспортних засобів</w:t>
      </w:r>
    </w:p>
    <w:p w14:paraId="49FC70A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Найбільший точні дані доступні органам місцевого самоврядування є інформація про парк муніципального транспорту. Дана інформація може бути зібрана з рівнем деталізації до транспортного засобу. </w:t>
      </w:r>
    </w:p>
    <w:p w14:paraId="747AD763" w14:textId="77777777" w:rsidR="00C82386" w:rsidRDefault="00C82386">
      <w:pPr>
        <w:spacing w:after="0"/>
        <w:jc w:val="both"/>
        <w:rPr>
          <w:rFonts w:ascii="Times New Roman" w:eastAsia="Times New Roman" w:hAnsi="Times New Roman" w:cs="Times New Roman"/>
          <w:sz w:val="24"/>
          <w:szCs w:val="24"/>
        </w:rPr>
      </w:pPr>
    </w:p>
    <w:p w14:paraId="27A5E28F"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по роботі муніципального парку надається розпорядниками інформації по кожному транспортному засобу, який знаходиться на балансі,  та містить інформацію про наступні параметри:</w:t>
      </w:r>
    </w:p>
    <w:p w14:paraId="21F14983"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тип автомобіля / механізму;</w:t>
      </w:r>
    </w:p>
    <w:p w14:paraId="409DFDF5"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марка;</w:t>
      </w:r>
    </w:p>
    <w:p w14:paraId="082471E7"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середньорічний пробіг, км;</w:t>
      </w:r>
    </w:p>
    <w:p w14:paraId="793272D9"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питоме споживання моторного палива, л/100 км (бензин, дизельне паливо), м</w:t>
      </w:r>
      <w:r>
        <w:rPr>
          <w:rFonts w:ascii="Times New Roman" w:eastAsia="Times New Roman" w:hAnsi="Times New Roman" w:cs="Times New Roman"/>
          <w:color w:val="000000"/>
          <w:sz w:val="24"/>
          <w:szCs w:val="24"/>
          <w:vertAlign w:val="superscript"/>
        </w:rPr>
        <w:t>3</w:t>
      </w:r>
      <w:r>
        <w:rPr>
          <w:rFonts w:ascii="Times New Roman" w:eastAsia="Times New Roman" w:hAnsi="Times New Roman" w:cs="Times New Roman"/>
          <w:color w:val="000000"/>
          <w:sz w:val="24"/>
          <w:szCs w:val="24"/>
        </w:rPr>
        <w:t>/100 км (скраплений газ);</w:t>
      </w:r>
    </w:p>
    <w:p w14:paraId="1F6CD70F"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тип палива (бензин, дизельне паливо, скраплений газ);</w:t>
      </w:r>
    </w:p>
    <w:p w14:paraId="2D832767"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рік державної реєстрації; </w:t>
      </w:r>
    </w:p>
    <w:p w14:paraId="1B8B62CD"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об’єм двигуна, см³;</w:t>
      </w:r>
    </w:p>
    <w:p w14:paraId="4D5A17C8"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машино-години роботи (для механізму):</w:t>
      </w:r>
    </w:p>
    <w:p w14:paraId="144F2E2C" w14:textId="77777777" w:rsidR="00C82386" w:rsidRDefault="00E66F64">
      <w:pPr>
        <w:numPr>
          <w:ilvl w:val="0"/>
          <w:numId w:val="68"/>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примітка, поточний стан транспортного засобу (наприклад, списання з балансу).</w:t>
      </w:r>
    </w:p>
    <w:p w14:paraId="3CAB11A5"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Згідно з бланком базового збору даних серед муніципального транспорту виділяються наступні типи автомобілів та машино-механізмів:</w:t>
      </w:r>
    </w:p>
    <w:p w14:paraId="09D0C19C"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легкові машини на бензині;</w:t>
      </w:r>
    </w:p>
    <w:p w14:paraId="28A028E8"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легкові машини на дизпаливі;</w:t>
      </w:r>
    </w:p>
    <w:p w14:paraId="234E1EB4"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легкові машини на газі;</w:t>
      </w:r>
    </w:p>
    <w:p w14:paraId="06FCB1BE"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вантажні машини на бензині;</w:t>
      </w:r>
    </w:p>
    <w:p w14:paraId="273B6B0A"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вантажні машини на дизпаливі;</w:t>
      </w:r>
    </w:p>
    <w:p w14:paraId="2D862E22"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вантажні машини на газі;</w:t>
      </w:r>
    </w:p>
    <w:p w14:paraId="0FA49D7B"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сміттєзбиральні машини;</w:t>
      </w:r>
    </w:p>
    <w:p w14:paraId="393A23F8"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сміттєрозподільчі машини;</w:t>
      </w:r>
    </w:p>
    <w:p w14:paraId="0682A1FC"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машини швидкої допомоги;</w:t>
      </w:r>
    </w:p>
    <w:p w14:paraId="5C8CFF8F"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поліцейські автомашини;</w:t>
      </w:r>
    </w:p>
    <w:p w14:paraId="283507F0"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дорожньо-будівельні машини;</w:t>
      </w:r>
    </w:p>
    <w:p w14:paraId="157E46C0"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автокрани;</w:t>
      </w:r>
    </w:p>
    <w:p w14:paraId="286CEEF2" w14:textId="77777777" w:rsidR="00C82386" w:rsidRDefault="00E66F64">
      <w:pPr>
        <w:numPr>
          <w:ilvl w:val="0"/>
          <w:numId w:val="2"/>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інші </w:t>
      </w:r>
      <w:r>
        <w:rPr>
          <w:rFonts w:ascii="Times New Roman" w:eastAsia="Times New Roman" w:hAnsi="Times New Roman" w:cs="Times New Roman"/>
          <w:sz w:val="24"/>
          <w:szCs w:val="24"/>
        </w:rPr>
        <w:t>машини</w:t>
      </w:r>
      <w:r>
        <w:rPr>
          <w:rFonts w:ascii="Times New Roman" w:eastAsia="Times New Roman" w:hAnsi="Times New Roman" w:cs="Times New Roman"/>
          <w:color w:val="000000"/>
          <w:sz w:val="24"/>
          <w:szCs w:val="24"/>
        </w:rPr>
        <w:t>-механізми.</w:t>
      </w:r>
    </w:p>
    <w:p w14:paraId="7617806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викиди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по муніципальному парку транспортних засобів визначаються в залежності від таких показників  транспортної роботи, як загальний пробіг транспортних засобів і загальний час роботи механізмів.</w:t>
      </w:r>
    </w:p>
    <w:p w14:paraId="7EA6862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механізмів (екскаватори, автокрани, ін.) основні витрати палива – на виконання робіт (машино-години роботи фіксуються; пробіг може бути при самостійному русі спецтехніки на об’єкти виконання робіт, або бути відсутнім при транспортуванні автотранспортом:</w:t>
      </w:r>
    </w:p>
    <w:p w14:paraId="5575549E"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4000" w:dyaOrig="440" w14:anchorId="649868D6">
          <v:shape id="_x0000_i1039" type="#_x0000_t75" alt="" style="width:198pt;height:24pt;mso-width-percent:0;mso-height-percent:0;mso-width-percent:0;mso-height-percent:0" o:ole="" filled="t">
            <v:fill color2="black"/>
            <v:imagedata r:id="rId100" o:title=""/>
          </v:shape>
          <o:OLEObject Type="Embed" ProgID="Equation.3" ShapeID="_x0000_i1039" DrawAspect="Content" ObjectID="_1804495202" r:id="rId101"/>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(4)</w:t>
      </w:r>
    </w:p>
    <w:p w14:paraId="113C1222" w14:textId="77777777" w:rsidR="00C82386" w:rsidRDefault="00E66F64">
      <w:pPr>
        <w:spacing w:after="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де:</w:t>
      </w:r>
    </w:p>
    <w:p w14:paraId="489068E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20" w:dyaOrig="440" w14:anchorId="45FAC39E">
          <v:shape id="_x0000_i1040" type="#_x0000_t75" alt="" style="width:30pt;height:24pt;mso-width-percent:0;mso-height-percent:0;mso-width-percent:0;mso-height-percent:0" o:ole="" filled="t">
            <v:fill color2="black"/>
            <v:imagedata r:id="rId102" o:title=""/>
          </v:shape>
          <o:OLEObject Type="Embed" ProgID="Equation.3" ShapeID="_x0000_i1040" DrawAspect="Content" ObjectID="_1804495203" r:id="rId103"/>
        </w:object>
      </w:r>
      <w:r>
        <w:rPr>
          <w:rFonts w:ascii="Times New Roman" w:eastAsia="Times New Roman" w:hAnsi="Times New Roman" w:cs="Times New Roman"/>
          <w:sz w:val="24"/>
          <w:szCs w:val="24"/>
        </w:rPr>
        <w:t>–  машино-години роботи за рік, год.</w:t>
      </w:r>
    </w:p>
    <w:p w14:paraId="671676B5"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840" w:dyaOrig="400" w14:anchorId="402F5120">
          <v:shape id="_x0000_i1041" type="#_x0000_t75" alt="" style="width:42pt;height:18pt;mso-width-percent:0;mso-height-percent:0;mso-width-percent:0;mso-height-percent:0" o:ole="" filled="t">
            <v:fill color2="black"/>
            <v:imagedata r:id="rId104" o:title=""/>
          </v:shape>
          <o:OLEObject Type="Embed" ProgID="Equation.3" ShapeID="_x0000_i1041" DrawAspect="Content" ObjectID="_1804495204" r:id="rId105"/>
        </w:object>
      </w:r>
      <w:r>
        <w:rPr>
          <w:rFonts w:ascii="Times New Roman" w:eastAsia="Times New Roman" w:hAnsi="Times New Roman" w:cs="Times New Roman"/>
          <w:sz w:val="24"/>
          <w:szCs w:val="24"/>
        </w:rPr>
        <w:t xml:space="preserve"> –  питоме споживання моторного палива, л/год. </w:t>
      </w:r>
    </w:p>
    <w:p w14:paraId="63D4EE7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палива розраховуються по кожному типу транспортних засобів</w:t>
      </w:r>
    </w:p>
    <w:p w14:paraId="7ACC6C71"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760" w:dyaOrig="820" w14:anchorId="72481276">
          <v:shape id="_x0000_i1042" type="#_x0000_t75" alt="" style="width:90pt;height:42pt;mso-width-percent:0;mso-height-percent:0;mso-width-percent:0;mso-height-percent:0" o:ole="">
            <v:imagedata r:id="rId106" o:title=""/>
          </v:shape>
          <o:OLEObject Type="Embed" ProgID="Equation.3" ShapeID="_x0000_i1042" DrawAspect="Content" ObjectID="_1804495205" r:id="rId107"/>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(5)</w:t>
      </w:r>
    </w:p>
    <w:p w14:paraId="0F6933E0"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180" w:dyaOrig="260" w14:anchorId="51F930E7">
          <v:shape id="_x0000_i1043" type="#_x0000_t75" alt="" style="width:12pt;height:12pt;mso-width-percent:0;mso-height-percent:0;mso-width-percent:0;mso-height-percent:0" o:ole="">
            <v:imagedata r:id="rId108" o:title=""/>
          </v:shape>
          <o:OLEObject Type="Embed" ProgID="Equation.3" ShapeID="_x0000_i1043" DrawAspect="Content" ObjectID="_1804495206" r:id="rId109"/>
        </w:object>
      </w:r>
      <w:r>
        <w:rPr>
          <w:rFonts w:ascii="Times New Roman" w:eastAsia="Times New Roman" w:hAnsi="Times New Roman" w:cs="Times New Roman"/>
          <w:sz w:val="24"/>
          <w:szCs w:val="24"/>
        </w:rPr>
        <w:t>- кількість транспортних засобів, що працюють на паливі і-ого типу.</w:t>
      </w:r>
    </w:p>
    <w:p w14:paraId="51F7BF90"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розрахунку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по муніципальному парку транспортних засобів по типах палива використовується формула (2).</w:t>
      </w:r>
    </w:p>
    <w:p w14:paraId="287CD114" w14:textId="77777777" w:rsidR="00C82386" w:rsidRDefault="00C82386">
      <w:pPr>
        <w:spacing w:after="0"/>
        <w:ind w:firstLine="709"/>
        <w:jc w:val="both"/>
        <w:rPr>
          <w:rFonts w:ascii="Times New Roman" w:eastAsia="Times New Roman" w:hAnsi="Times New Roman" w:cs="Times New Roman"/>
          <w:sz w:val="24"/>
          <w:szCs w:val="24"/>
        </w:rPr>
      </w:pPr>
    </w:p>
    <w:p w14:paraId="576DB6F8" w14:textId="77777777" w:rsidR="00C82386" w:rsidRDefault="00E66F64">
      <w:pPr>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Визначення викидів СО</w:t>
      </w:r>
      <w:r>
        <w:rPr>
          <w:rFonts w:ascii="Times New Roman" w:eastAsia="Times New Roman" w:hAnsi="Times New Roman" w:cs="Times New Roman"/>
          <w:b/>
          <w:sz w:val="24"/>
          <w:szCs w:val="24"/>
          <w:vertAlign w:val="subscript"/>
        </w:rPr>
        <w:t>2</w:t>
      </w:r>
      <w:r>
        <w:rPr>
          <w:rFonts w:ascii="Times New Roman" w:eastAsia="Times New Roman" w:hAnsi="Times New Roman" w:cs="Times New Roman"/>
          <w:b/>
          <w:sz w:val="24"/>
          <w:szCs w:val="24"/>
        </w:rPr>
        <w:t xml:space="preserve"> громадським транспортом</w:t>
      </w:r>
    </w:p>
    <w:p w14:paraId="2711259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визначенні обсягів викидів від громадського транспорту необхідно розглядати транспортну систему як єдину незалежно від форми власності рухомого складу (приватний чи муніципальний). Громадський транспорт Житомира можна розділити в залежності від виду транспорту на: </w:t>
      </w:r>
    </w:p>
    <w:p w14:paraId="57DC7928" w14:textId="77777777" w:rsidR="00C82386" w:rsidRDefault="00E66F64">
      <w:pPr>
        <w:numPr>
          <w:ilvl w:val="0"/>
          <w:numId w:val="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залізничний: потяг, трамвай;</w:t>
      </w:r>
    </w:p>
    <w:p w14:paraId="4020E92B" w14:textId="77777777" w:rsidR="00C82386" w:rsidRDefault="00E66F64">
      <w:pPr>
        <w:numPr>
          <w:ilvl w:val="0"/>
          <w:numId w:val="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автодорожній</w:t>
      </w:r>
      <w:r>
        <w:rPr>
          <w:rFonts w:ascii="Times New Roman" w:eastAsia="Times New Roman" w:hAnsi="Times New Roman" w:cs="Times New Roman"/>
          <w:color w:val="000000"/>
          <w:sz w:val="24"/>
          <w:szCs w:val="24"/>
        </w:rPr>
        <w:t xml:space="preserve"> (тролейбус, автобус);</w:t>
      </w:r>
    </w:p>
    <w:p w14:paraId="499DF734" w14:textId="77777777" w:rsidR="00C82386" w:rsidRDefault="00E66F64">
      <w:pPr>
        <w:numPr>
          <w:ilvl w:val="0"/>
          <w:numId w:val="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 авіаційний.</w:t>
      </w:r>
    </w:p>
    <w:p w14:paraId="4C2164E6"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за типом сполучення на:</w:t>
      </w:r>
    </w:p>
    <w:p w14:paraId="3828B1AF" w14:textId="77777777" w:rsidR="00C82386" w:rsidRDefault="00E66F64">
      <w:pPr>
        <w:numPr>
          <w:ilvl w:val="0"/>
          <w:numId w:val="6"/>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міський</w:t>
      </w:r>
      <w:r>
        <w:rPr>
          <w:rFonts w:ascii="Times New Roman" w:eastAsia="Times New Roman" w:hAnsi="Times New Roman" w:cs="Times New Roman"/>
          <w:sz w:val="24"/>
          <w:szCs w:val="24"/>
        </w:rPr>
        <w:t>;</w:t>
      </w:r>
    </w:p>
    <w:p w14:paraId="0C355028" w14:textId="77777777" w:rsidR="00C82386" w:rsidRDefault="00E66F64">
      <w:pPr>
        <w:numPr>
          <w:ilvl w:val="0"/>
          <w:numId w:val="6"/>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приміський</w:t>
      </w:r>
      <w:r>
        <w:rPr>
          <w:rFonts w:ascii="Times New Roman" w:eastAsia="Times New Roman" w:hAnsi="Times New Roman" w:cs="Times New Roman"/>
          <w:sz w:val="24"/>
          <w:szCs w:val="24"/>
        </w:rPr>
        <w:t>;</w:t>
      </w:r>
    </w:p>
    <w:p w14:paraId="7450D03E" w14:textId="77777777" w:rsidR="00C82386" w:rsidRDefault="00E66F64">
      <w:pPr>
        <w:numPr>
          <w:ilvl w:val="0"/>
          <w:numId w:val="6"/>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міжміський (регіональне та міжнародне сполучення).</w:t>
      </w:r>
    </w:p>
    <w:p w14:paraId="5B51BFD3"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Згідно з настановами [6] при виборі парку рухомого складу, який підлягає аналізу необхідно враховувати тільки ту частину пересування, яка відбувається територією міста. При чому якщо поїздка починається або закінчується поза межами територіальної громади, нею можна знехтувати. Приміський і міжміський транспорт доцільно включати в розрахунок, якщо заплановано заходи, які впливають на показники викидів цими видами транспорту. Для оцінки рівня викидів для базового і проміжного (2020) років залізничний і авіаційний транспорт міжміського і приміського сполучення не враховувався.</w:t>
      </w:r>
    </w:p>
    <w:p w14:paraId="6A38F1A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Якщо залізничний транспорт враховується, то для приміського залізничного транспорту розрахунки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тепловозами і опалювальними пристроями вагонів виконуються окремо. Для розрахунку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тепловозами використовується формула (2). Якщо опалювальний пристрій працює на дизельному паливі, то розрахунки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здійснюються на основі кількості спаленого палива (як для тепловоза). </w:t>
      </w:r>
    </w:p>
    <w:p w14:paraId="259C1C2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розрахунку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системою «Маршрутний автобус» розраховується  річний пробіг автобусів на кожному маршруті. У випадку якщо на автобусному маршруті працює однотипний рухомий склад з використанням одного типу палива</w:t>
      </w:r>
    </w:p>
    <w:p w14:paraId="70F15870" w14:textId="77777777" w:rsidR="00C82386" w:rsidRDefault="00C82386">
      <w:pPr>
        <w:spacing w:after="0"/>
        <w:ind w:firstLine="709"/>
        <w:jc w:val="both"/>
        <w:rPr>
          <w:rFonts w:ascii="Times New Roman" w:eastAsia="Times New Roman" w:hAnsi="Times New Roman" w:cs="Times New Roman"/>
          <w:sz w:val="18"/>
          <w:szCs w:val="18"/>
        </w:rPr>
      </w:pPr>
    </w:p>
    <w:p w14:paraId="75DAB114"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920" w:dyaOrig="520" w14:anchorId="5FD5E775">
          <v:shape id="_x0000_i1044" type="#_x0000_t75" alt="" style="width:348pt;height:24pt;mso-width-percent:0;mso-height-percent:0;mso-width-percent:0;mso-height-percent:0" o:ole="" filled="t">
            <v:fill color2="black"/>
            <v:imagedata r:id="rId110" o:title=""/>
          </v:shape>
          <o:OLEObject Type="Embed" ProgID="Equation.3" ShapeID="_x0000_i1044" DrawAspect="Content" ObjectID="_1804495207" r:id="rId111"/>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(6)</w:t>
      </w:r>
    </w:p>
    <w:p w14:paraId="61C837C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p>
    <w:p w14:paraId="59110D0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40" w:dyaOrig="520" w14:anchorId="2C1D4FAB">
          <v:shape id="_x0000_i1045" type="#_x0000_t75" alt="" style="width:30pt;height:24pt;mso-width-percent:0;mso-height-percent:0;mso-width-percent:0;mso-height-percent:0" o:ole="">
            <v:imagedata r:id="rId112" o:title=""/>
          </v:shape>
          <o:OLEObject Type="Embed" ProgID="Equation.3" ShapeID="_x0000_i1045" DrawAspect="Content" ObjectID="_1804495208" r:id="rId113"/>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600" w:dyaOrig="520" w14:anchorId="7B8616A1">
          <v:shape id="_x0000_i1046" type="#_x0000_t75" alt="" style="width:30pt;height:24pt;mso-width-percent:0;mso-height-percent:0;mso-width-percent:0;mso-height-percent:0" o:ole="">
            <v:imagedata r:id="rId114" o:title=""/>
          </v:shape>
          <o:OLEObject Type="Embed" ProgID="Equation.3" ShapeID="_x0000_i1046" DrawAspect="Content" ObjectID="_1804495209" r:id="rId115"/>
        </w:object>
      </w:r>
      <w:r>
        <w:rPr>
          <w:rFonts w:ascii="Times New Roman" w:eastAsia="Times New Roman" w:hAnsi="Times New Roman" w:cs="Times New Roman"/>
          <w:sz w:val="24"/>
          <w:szCs w:val="24"/>
        </w:rPr>
        <w:t>- добова планова кількість рейсів на k-ому маршруті відповідно в робочі та вихідні дні, од.;</w:t>
      </w:r>
    </w:p>
    <w:p w14:paraId="7E2DE52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400" w:dyaOrig="400" w14:anchorId="621F1194">
          <v:shape id="_x0000_i1047" type="#_x0000_t75" alt="" style="width:18pt;height:18pt;mso-width-percent:0;mso-height-percent:0;mso-width-percent:0;mso-height-percent:0" o:ole="">
            <v:imagedata r:id="rId116" o:title=""/>
          </v:shape>
          <o:OLEObject Type="Embed" ProgID="Equation.3" ShapeID="_x0000_i1047" DrawAspect="Content" ObjectID="_1804495210" r:id="rId117"/>
        </w:object>
      </w:r>
      <w:r>
        <w:rPr>
          <w:rFonts w:ascii="Times New Roman" w:eastAsia="Times New Roman" w:hAnsi="Times New Roman" w:cs="Times New Roman"/>
          <w:sz w:val="24"/>
          <w:szCs w:val="24"/>
        </w:rPr>
        <w:t>- довжина k-ого маршруту , км;</w:t>
      </w:r>
    </w:p>
    <w:p w14:paraId="41BC6BD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60" w:dyaOrig="400" w14:anchorId="5CF2349A">
          <v:shape id="_x0000_i1048" type="#_x0000_t75" alt="" style="width:12pt;height:18pt;mso-width-percent:0;mso-height-percent:0;mso-width-percent:0;mso-height-percent:0" o:ole="">
            <v:imagedata r:id="rId118" o:title=""/>
          </v:shape>
          <o:OLEObject Type="Embed" ProgID="Equation.3" ShapeID="_x0000_i1048" DrawAspect="Content" ObjectID="_1804495211" r:id="rId119"/>
        </w:object>
      </w:r>
      <w:r>
        <w:rPr>
          <w:rFonts w:ascii="Times New Roman" w:eastAsia="Times New Roman" w:hAnsi="Times New Roman" w:cs="Times New Roman"/>
          <w:sz w:val="24"/>
          <w:szCs w:val="24"/>
        </w:rPr>
        <w:t xml:space="preserve"> - добовий нульовий пробіг на k-ому маршруті, км;</w:t>
      </w:r>
    </w:p>
    <w:p w14:paraId="7483231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520" w:dyaOrig="440" w14:anchorId="52D8EFFB">
          <v:shape id="_x0000_i1049" type="#_x0000_t75" alt="" style="width:24pt;height:24pt;mso-width-percent:0;mso-height-percent:0;mso-width-percent:0;mso-height-percent:0" o:ole="">
            <v:imagedata r:id="rId120" o:title=""/>
          </v:shape>
          <o:OLEObject Type="Embed" ProgID="Equation.3" ShapeID="_x0000_i1049" DrawAspect="Content" ObjectID="_1804495212" r:id="rId121"/>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440" w:dyaOrig="400" w14:anchorId="677B4992">
          <v:shape id="_x0000_i1050" type="#_x0000_t75" alt="" style="width:24pt;height:18pt;mso-width-percent:0;mso-height-percent:0;mso-width-percent:0;mso-height-percent:0" o:ole="">
            <v:imagedata r:id="rId122" o:title=""/>
          </v:shape>
          <o:OLEObject Type="Embed" ProgID="Equation.3" ShapeID="_x0000_i1050" DrawAspect="Content" ObjectID="_1804495213" r:id="rId123"/>
        </w:object>
      </w:r>
      <w:r>
        <w:rPr>
          <w:rFonts w:ascii="Times New Roman" w:eastAsia="Times New Roman" w:hAnsi="Times New Roman" w:cs="Times New Roman"/>
          <w:sz w:val="24"/>
          <w:szCs w:val="24"/>
        </w:rPr>
        <w:t>- дні роботи в році на k-ому маршруті відповідно в робочі та вихідні дні, од.;</w:t>
      </w:r>
    </w:p>
    <w:p w14:paraId="65E67529"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400" w:dyaOrig="400" w14:anchorId="7FC25AA0">
          <v:shape id="_x0000_i1051" type="#_x0000_t75" alt="" style="width:18pt;height:18pt;mso-width-percent:0;mso-height-percent:0;mso-width-percent:0;mso-height-percent:0" o:ole="">
            <v:imagedata r:id="rId124" o:title=""/>
          </v:shape>
          <o:OLEObject Type="Embed" ProgID="Equation.3" ShapeID="_x0000_i1051" DrawAspect="Content" ObjectID="_1804495214" r:id="rId125"/>
        </w:object>
      </w:r>
      <w:r>
        <w:rPr>
          <w:rFonts w:ascii="Times New Roman" w:eastAsia="Times New Roman" w:hAnsi="Times New Roman" w:cs="Times New Roman"/>
          <w:sz w:val="24"/>
          <w:szCs w:val="24"/>
        </w:rPr>
        <w:t>- коефіцієнт виконання  рейсів на k-ому маршруті</w:t>
      </w:r>
    </w:p>
    <w:p w14:paraId="55298221" w14:textId="77777777" w:rsidR="00C82386" w:rsidRDefault="00E66F64">
      <w:pPr>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180" w:dyaOrig="900" w14:anchorId="5E1B9E3D">
          <v:shape id="_x0000_i1052" type="#_x0000_t75" alt="" style="width:60pt;height:48pt;mso-width-percent:0;mso-height-percent:0;mso-width-percent:0;mso-height-percent:0" o:ole="">
            <v:imagedata r:id="rId126" o:title=""/>
          </v:shape>
          <o:OLEObject Type="Embed" ProgID="Equation.3" ShapeID="_x0000_i1052" DrawAspect="Content" ObjectID="_1804495215" r:id="rId127"/>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(7)</w:t>
      </w:r>
    </w:p>
    <w:p w14:paraId="34721CD5"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33"/>
          <w:szCs w:val="33"/>
          <w:vertAlign w:val="subscript"/>
        </w:rPr>
        <w:object w:dxaOrig="520" w:dyaOrig="520" w14:anchorId="64927C93">
          <v:shape id="_x0000_i1053" type="#_x0000_t75" alt="" style="width:24pt;height:24pt;mso-width-percent:0;mso-height-percent:0;mso-width-percent:0;mso-height-percent:0" o:ole="">
            <v:imagedata r:id="rId128" o:title=""/>
          </v:shape>
          <o:OLEObject Type="Embed" ProgID="Equation.3" ShapeID="_x0000_i1053" DrawAspect="Content" ObjectID="_1804495216" r:id="rId129"/>
        </w:object>
      </w:r>
      <w:r>
        <w:rPr>
          <w:rFonts w:ascii="Times New Roman" w:eastAsia="Times New Roman" w:hAnsi="Times New Roman" w:cs="Times New Roman"/>
          <w:sz w:val="20"/>
          <w:szCs w:val="20"/>
        </w:rPr>
        <w:t xml:space="preserve">, </w:t>
      </w:r>
      <w:r>
        <w:rPr>
          <w:rFonts w:ascii="Times New Roman" w:eastAsia="Times New Roman" w:hAnsi="Times New Roman" w:cs="Times New Roman"/>
          <w:sz w:val="33"/>
          <w:szCs w:val="33"/>
          <w:vertAlign w:val="subscript"/>
        </w:rPr>
        <w:object w:dxaOrig="520" w:dyaOrig="520" w14:anchorId="62C1FB40">
          <v:shape id="_x0000_i1054" type="#_x0000_t75" alt="" style="width:24pt;height:24pt;mso-width-percent:0;mso-height-percent:0;mso-width-percent:0;mso-height-percent:0" o:ole="">
            <v:imagedata r:id="rId130" o:title=""/>
          </v:shape>
          <o:OLEObject Type="Embed" ProgID="Equation.3" ShapeID="_x0000_i1054" DrawAspect="Content" ObjectID="_1804495217" r:id="rId131"/>
        </w:object>
      </w:r>
      <w:r>
        <w:rPr>
          <w:rFonts w:ascii="Times New Roman" w:eastAsia="Times New Roman" w:hAnsi="Times New Roman" w:cs="Times New Roman"/>
          <w:sz w:val="20"/>
          <w:szCs w:val="20"/>
        </w:rPr>
        <w:t xml:space="preserve"> - </w:t>
      </w:r>
      <w:r>
        <w:rPr>
          <w:rFonts w:ascii="Times New Roman" w:eastAsia="Times New Roman" w:hAnsi="Times New Roman" w:cs="Times New Roman"/>
          <w:sz w:val="24"/>
          <w:szCs w:val="24"/>
        </w:rPr>
        <w:t xml:space="preserve">відповідно фактично виконана і планова кількість рейсів за рік на k-ому маршруті, од. </w:t>
      </w:r>
    </w:p>
    <w:p w14:paraId="18C8DFF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випадку якщо на автобусному маршруті працює рухомий склад різних моделей з використанням різних типів типу палива</w:t>
      </w:r>
    </w:p>
    <w:p w14:paraId="6D45A0C2" w14:textId="77777777" w:rsidR="00C82386" w:rsidRDefault="00C82386">
      <w:pPr>
        <w:spacing w:after="0"/>
        <w:jc w:val="both"/>
        <w:rPr>
          <w:rFonts w:ascii="Times New Roman" w:eastAsia="Times New Roman" w:hAnsi="Times New Roman" w:cs="Times New Roman"/>
          <w:sz w:val="16"/>
          <w:szCs w:val="16"/>
        </w:rPr>
      </w:pPr>
    </w:p>
    <w:p w14:paraId="233526FE" w14:textId="77777777" w:rsidR="00C82386" w:rsidRDefault="00E66F64">
      <w:pPr>
        <w:spacing w:after="0"/>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7380" w:dyaOrig="800" w14:anchorId="46D0BD03">
          <v:shape id="_x0000_i1055" type="#_x0000_t75" alt="" style="width:372pt;height:42pt;mso-width-percent:0;mso-height-percent:0;mso-width-percent:0;mso-height-percent:0" o:ole="" filled="t">
            <v:fill color2="black"/>
            <v:imagedata r:id="rId132" o:title=""/>
          </v:shape>
          <o:OLEObject Type="Embed" ProgID="Equation.3" ShapeID="_x0000_i1055" DrawAspect="Content" ObjectID="_1804495218" r:id="rId133"/>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(8)</w:t>
      </w:r>
    </w:p>
    <w:p w14:paraId="4925A322" w14:textId="77777777" w:rsidR="00C82386" w:rsidRDefault="00E66F64">
      <w:pPr>
        <w:spacing w:after="0"/>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w:t>
      </w:r>
    </w:p>
    <w:p w14:paraId="43F0266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60" w:dyaOrig="300" w14:anchorId="50EFF21B">
          <v:shape id="_x0000_i1056" type="#_x0000_t75" alt="" style="width:6pt;height:18pt;mso-width-percent:0;mso-height-percent:0;mso-width-percent:0;mso-height-percent:0" o:ole="">
            <v:imagedata r:id="rId134" o:title=""/>
          </v:shape>
          <o:OLEObject Type="Embed" ProgID="Equation.3" ShapeID="_x0000_i1056" DrawAspect="Content" ObjectID="_1804495219" r:id="rId135"/>
        </w:object>
      </w:r>
      <w:r>
        <w:rPr>
          <w:rFonts w:ascii="Times New Roman" w:eastAsia="Times New Roman" w:hAnsi="Times New Roman" w:cs="Times New Roman"/>
          <w:sz w:val="24"/>
          <w:szCs w:val="24"/>
        </w:rPr>
        <w:t xml:space="preserve"> -  лічильник моделей автобусів, що працюють на  k -ому маршруті;</w:t>
      </w:r>
      <w:r>
        <w:rPr>
          <w:rFonts w:ascii="Times New Roman" w:eastAsia="Times New Roman" w:hAnsi="Times New Roman" w:cs="Times New Roman"/>
          <w:sz w:val="40"/>
          <w:szCs w:val="40"/>
          <w:vertAlign w:val="subscript"/>
        </w:rPr>
        <w:object w:dxaOrig="180" w:dyaOrig="260" w14:anchorId="2027E3BB">
          <v:shape id="_x0000_i1057" type="#_x0000_t75" alt="" style="width:12pt;height:12pt;mso-width-percent:0;mso-height-percent:0;mso-width-percent:0;mso-height-percent:0" o:ole="">
            <v:imagedata r:id="rId136" o:title=""/>
          </v:shape>
          <o:OLEObject Type="Embed" ProgID="Equation.3" ShapeID="_x0000_i1057" DrawAspect="Content" ObjectID="_1804495220" r:id="rId137"/>
        </w:object>
      </w:r>
      <w:r>
        <w:rPr>
          <w:rFonts w:ascii="Times New Roman" w:eastAsia="Times New Roman" w:hAnsi="Times New Roman" w:cs="Times New Roman"/>
          <w:sz w:val="24"/>
          <w:szCs w:val="24"/>
        </w:rPr>
        <w:t xml:space="preserve"> - кількість моделей автобусів, що працюють на  k -ому маршруті;</w:t>
      </w:r>
    </w:p>
    <w:p w14:paraId="6EFEB34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400" w:dyaOrig="400" w14:anchorId="35584251">
          <v:shape id="_x0000_i1058" type="#_x0000_t75" alt="" style="width:18pt;height:18pt;mso-width-percent:0;mso-height-percent:0;mso-width-percent:0;mso-height-percent:0" o:ole="">
            <v:imagedata r:id="rId124" o:title=""/>
          </v:shape>
          <o:OLEObject Type="Embed" ProgID="Equation.3" ShapeID="_x0000_i1058" DrawAspect="Content" ObjectID="_1804495221" r:id="rId138"/>
        </w:object>
      </w:r>
      <w:r>
        <w:rPr>
          <w:rFonts w:ascii="Times New Roman" w:eastAsia="Times New Roman" w:hAnsi="Times New Roman" w:cs="Times New Roman"/>
          <w:sz w:val="24"/>
          <w:szCs w:val="24"/>
        </w:rPr>
        <w:t xml:space="preserve">- коефіцієнт виконання  рейсів автобусами </w:t>
      </w:r>
      <w:r>
        <w:rPr>
          <w:rFonts w:ascii="Times New Roman" w:eastAsia="Times New Roman" w:hAnsi="Times New Roman" w:cs="Times New Roman"/>
          <w:sz w:val="40"/>
          <w:szCs w:val="40"/>
          <w:vertAlign w:val="subscript"/>
        </w:rPr>
        <w:object w:dxaOrig="160" w:dyaOrig="300" w14:anchorId="15F4FEE9">
          <v:shape id="_x0000_i1059" type="#_x0000_t75" alt="" style="width:6pt;height:18pt;mso-width-percent:0;mso-height-percent:0;mso-width-percent:0;mso-height-percent:0" o:ole="">
            <v:imagedata r:id="rId134" o:title=""/>
          </v:shape>
          <o:OLEObject Type="Embed" ProgID="Equation.3" ShapeID="_x0000_i1059" DrawAspect="Content" ObjectID="_1804495222" r:id="rId139"/>
        </w:object>
      </w:r>
      <w:r>
        <w:rPr>
          <w:rFonts w:ascii="Times New Roman" w:eastAsia="Times New Roman" w:hAnsi="Times New Roman" w:cs="Times New Roman"/>
          <w:sz w:val="24"/>
          <w:szCs w:val="24"/>
        </w:rPr>
        <w:t>-тої</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моделі на k-ому маршруті</w:t>
      </w:r>
    </w:p>
    <w:p w14:paraId="3C2FC364" w14:textId="77777777" w:rsidR="00C82386" w:rsidRDefault="00E66F64">
      <w:pPr>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300" w:dyaOrig="900" w14:anchorId="72E3F02E">
          <v:shape id="_x0000_i1060" type="#_x0000_t75" alt="" style="width:66pt;height:48pt;mso-width-percent:0;mso-height-percent:0;mso-width-percent:0;mso-height-percent:0" o:ole="">
            <v:imagedata r:id="rId140" o:title=""/>
          </v:shape>
          <o:OLEObject Type="Embed" ProgID="Equation.3" ShapeID="_x0000_i1060" DrawAspect="Content" ObjectID="_1804495223" r:id="rId141"/>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(9)</w:t>
      </w:r>
    </w:p>
    <w:p w14:paraId="0F67BA0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33"/>
          <w:szCs w:val="33"/>
          <w:vertAlign w:val="subscript"/>
        </w:rPr>
        <w:object w:dxaOrig="540" w:dyaOrig="520" w14:anchorId="2D82161D">
          <v:shape id="_x0000_i1061" type="#_x0000_t75" alt="" style="width:30pt;height:24pt;mso-width-percent:0;mso-height-percent:0;mso-width-percent:0;mso-height-percent:0" o:ole="">
            <v:imagedata r:id="rId142" o:title=""/>
          </v:shape>
          <o:OLEObject Type="Embed" ProgID="Equation.3" ShapeID="_x0000_i1061" DrawAspect="Content" ObjectID="_1804495224" r:id="rId143"/>
        </w:object>
      </w:r>
      <w:r>
        <w:rPr>
          <w:rFonts w:ascii="Times New Roman" w:eastAsia="Times New Roman" w:hAnsi="Times New Roman" w:cs="Times New Roman"/>
          <w:sz w:val="20"/>
          <w:szCs w:val="20"/>
        </w:rPr>
        <w:t xml:space="preserve">, </w:t>
      </w:r>
      <w:r>
        <w:rPr>
          <w:rFonts w:ascii="Times New Roman" w:eastAsia="Times New Roman" w:hAnsi="Times New Roman" w:cs="Times New Roman"/>
          <w:sz w:val="33"/>
          <w:szCs w:val="33"/>
          <w:vertAlign w:val="subscript"/>
        </w:rPr>
        <w:object w:dxaOrig="540" w:dyaOrig="520" w14:anchorId="729724AF">
          <v:shape id="_x0000_i1062" type="#_x0000_t75" alt="" style="width:30pt;height:24pt;mso-width-percent:0;mso-height-percent:0;mso-width-percent:0;mso-height-percent:0" o:ole="">
            <v:imagedata r:id="rId144" o:title=""/>
          </v:shape>
          <o:OLEObject Type="Embed" ProgID="Equation.3" ShapeID="_x0000_i1062" DrawAspect="Content" ObjectID="_1804495225" r:id="rId145"/>
        </w:object>
      </w:r>
      <w:r>
        <w:rPr>
          <w:rFonts w:ascii="Times New Roman" w:eastAsia="Times New Roman" w:hAnsi="Times New Roman" w:cs="Times New Roman"/>
          <w:sz w:val="20"/>
          <w:szCs w:val="20"/>
        </w:rPr>
        <w:t xml:space="preserve"> - </w:t>
      </w:r>
      <w:r>
        <w:rPr>
          <w:rFonts w:ascii="Times New Roman" w:eastAsia="Times New Roman" w:hAnsi="Times New Roman" w:cs="Times New Roman"/>
          <w:sz w:val="24"/>
          <w:szCs w:val="24"/>
        </w:rPr>
        <w:t xml:space="preserve">відповідно фактично виконана і планова кількість рейсів автобусів </w:t>
      </w:r>
      <w:r>
        <w:rPr>
          <w:rFonts w:ascii="Times New Roman" w:eastAsia="Times New Roman" w:hAnsi="Times New Roman" w:cs="Times New Roman"/>
          <w:sz w:val="40"/>
          <w:szCs w:val="40"/>
          <w:vertAlign w:val="subscript"/>
        </w:rPr>
        <w:object w:dxaOrig="160" w:dyaOrig="300" w14:anchorId="2B6738B9">
          <v:shape id="_x0000_i1063" type="#_x0000_t75" alt="" style="width:6pt;height:18pt;mso-width-percent:0;mso-height-percent:0;mso-width-percent:0;mso-height-percent:0" o:ole="">
            <v:imagedata r:id="rId134" o:title=""/>
          </v:shape>
          <o:OLEObject Type="Embed" ProgID="Equation.3" ShapeID="_x0000_i1063" DrawAspect="Content" ObjectID="_1804495226" r:id="rId146"/>
        </w:object>
      </w:r>
      <w:r>
        <w:rPr>
          <w:rFonts w:ascii="Times New Roman" w:eastAsia="Times New Roman" w:hAnsi="Times New Roman" w:cs="Times New Roman"/>
          <w:sz w:val="24"/>
          <w:szCs w:val="24"/>
        </w:rPr>
        <w:t>-тої</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 xml:space="preserve">моделі, що працюють на  k-ому маршруті за рік, од. </w:t>
      </w:r>
    </w:p>
    <w:p w14:paraId="1959860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відсутності детальної інформації по роботі рухомого складу різних моделей з використанням різних типів типу палива з певним допущенням можливо використовувати формулу</w:t>
      </w:r>
    </w:p>
    <w:p w14:paraId="1A7867D5"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940" w:dyaOrig="520" w14:anchorId="31F7E175">
          <v:shape id="_x0000_i1064" type="#_x0000_t75" alt="" style="width:348pt;height:24pt;mso-width-percent:0;mso-height-percent:0;mso-width-percent:0;mso-height-percent:0" o:ole="" filled="t">
            <v:fill color2="black"/>
            <v:imagedata r:id="rId147" o:title=""/>
          </v:shape>
          <o:OLEObject Type="Embed" ProgID="Equation.3" ShapeID="_x0000_i1064" DrawAspect="Content" ObjectID="_1804495227" r:id="rId148"/>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(10)</w:t>
      </w:r>
    </w:p>
    <w:p w14:paraId="1834185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w:t>
      </w:r>
    </w:p>
    <w:p w14:paraId="2195AF46" w14:textId="77777777" w:rsidR="00C82386" w:rsidRDefault="00E66F64">
      <w:pPr>
        <w:spacing w:after="0"/>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040" w:dyaOrig="400" w14:anchorId="0D910D97">
          <v:shape id="_x0000_i1065" type="#_x0000_t75" alt="" style="width:54pt;height:18pt;mso-width-percent:0;mso-height-percent:0;mso-width-percent:0;mso-height-percent:0" o:ole="">
            <v:imagedata r:id="rId149" o:title=""/>
          </v:shape>
          <o:OLEObject Type="Embed" ProgID="Equation.3" ShapeID="_x0000_i1065" DrawAspect="Content" ObjectID="_1804495228" r:id="rId150"/>
        </w:object>
      </w:r>
      <w:r>
        <w:rPr>
          <w:rFonts w:ascii="Times New Roman" w:eastAsia="Times New Roman" w:hAnsi="Times New Roman" w:cs="Times New Roman"/>
          <w:sz w:val="24"/>
          <w:szCs w:val="24"/>
        </w:rPr>
        <w:t>,</w:t>
      </w:r>
    </w:p>
    <w:p w14:paraId="0671CDBA"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33"/>
          <w:szCs w:val="33"/>
          <w:vertAlign w:val="subscript"/>
        </w:rPr>
        <w:object w:dxaOrig="280" w:dyaOrig="400" w14:anchorId="10C3034B">
          <v:shape id="_x0000_i1066" type="#_x0000_t75" alt="" style="width:12pt;height:18pt;mso-width-percent:0;mso-height-percent:0;mso-width-percent:0;mso-height-percent:0" o:ole="">
            <v:imagedata r:id="rId151" o:title=""/>
          </v:shape>
          <o:OLEObject Type="Embed" ProgID="Equation.3" ShapeID="_x0000_i1066" DrawAspect="Content" ObjectID="_1804495229" r:id="rId152"/>
        </w:objec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 частка пробігу</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 xml:space="preserve">автобусів </w:t>
      </w:r>
      <w:r>
        <w:rPr>
          <w:rFonts w:ascii="Times New Roman" w:eastAsia="Times New Roman" w:hAnsi="Times New Roman" w:cs="Times New Roman"/>
          <w:sz w:val="40"/>
          <w:szCs w:val="40"/>
          <w:vertAlign w:val="subscript"/>
        </w:rPr>
        <w:object w:dxaOrig="160" w:dyaOrig="300" w14:anchorId="246218E2">
          <v:shape id="_x0000_i1067" type="#_x0000_t75" alt="" style="width:6pt;height:18pt;mso-width-percent:0;mso-height-percent:0;mso-width-percent:0;mso-height-percent:0" o:ole="">
            <v:imagedata r:id="rId134" o:title=""/>
          </v:shape>
          <o:OLEObject Type="Embed" ProgID="Equation.3" ShapeID="_x0000_i1067" DrawAspect="Content" ObjectID="_1804495230" r:id="rId153"/>
        </w:object>
      </w:r>
      <w:r>
        <w:rPr>
          <w:rFonts w:ascii="Times New Roman" w:eastAsia="Times New Roman" w:hAnsi="Times New Roman" w:cs="Times New Roman"/>
          <w:sz w:val="24"/>
          <w:szCs w:val="24"/>
        </w:rPr>
        <w:t>-тої</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моделі, що працюють на  k -ому маршруті в загальному пробігу на маршруті</w:t>
      </w:r>
    </w:p>
    <w:p w14:paraId="56EDFC03"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33"/>
          <w:szCs w:val="33"/>
          <w:vertAlign w:val="subscript"/>
        </w:rPr>
        <w:object w:dxaOrig="2740" w:dyaOrig="900" w14:anchorId="62615843">
          <v:shape id="_x0000_i1068" type="#_x0000_t75" alt="" style="width:138pt;height:48pt;mso-width-percent:0;mso-height-percent:0;mso-width-percent:0;mso-height-percent:0" o:ole="">
            <v:imagedata r:id="rId154" o:title=""/>
          </v:shape>
          <o:OLEObject Type="Embed" ProgID="Equation.3" ShapeID="_x0000_i1068" DrawAspect="Content" ObjectID="_1804495231" r:id="rId155"/>
        </w:objec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sz w:val="24"/>
          <w:szCs w:val="24"/>
        </w:rPr>
        <w:t>(11)</w:t>
      </w:r>
    </w:p>
    <w:p w14:paraId="02E9D5B6"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w:t>
      </w:r>
      <w:r>
        <w:rPr>
          <w:rFonts w:ascii="Times New Roman" w:eastAsia="Times New Roman" w:hAnsi="Times New Roman" w:cs="Times New Roman"/>
          <w:sz w:val="40"/>
          <w:szCs w:val="40"/>
          <w:vertAlign w:val="subscript"/>
        </w:rPr>
        <w:object w:dxaOrig="580" w:dyaOrig="400" w14:anchorId="4B83EB17">
          <v:shape id="_x0000_i1069" type="#_x0000_t75" alt="" style="width:30pt;height:18pt;mso-width-percent:0;mso-height-percent:0;mso-width-percent:0;mso-height-percent:0" o:ole="">
            <v:imagedata r:id="rId156" o:title=""/>
          </v:shape>
          <o:OLEObject Type="Embed" ProgID="Equation.3" ShapeID="_x0000_i1069" DrawAspect="Content" ObjectID="_1804495232" r:id="rId157"/>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600" w:dyaOrig="400" w14:anchorId="1EDEA8A6">
          <v:shape id="_x0000_i1070" type="#_x0000_t75" alt="" style="width:30pt;height:18pt;mso-width-percent:0;mso-height-percent:0;mso-width-percent:0;mso-height-percent:0" o:ole="">
            <v:imagedata r:id="rId158" o:title=""/>
          </v:shape>
          <o:OLEObject Type="Embed" ProgID="Equation.3" ShapeID="_x0000_i1070" DrawAspect="Content" ObjectID="_1804495233" r:id="rId159"/>
        </w:object>
      </w:r>
      <w:r>
        <w:rPr>
          <w:rFonts w:ascii="Times New Roman" w:eastAsia="Times New Roman" w:hAnsi="Times New Roman" w:cs="Times New Roman"/>
          <w:sz w:val="24"/>
          <w:szCs w:val="24"/>
        </w:rPr>
        <w:t xml:space="preserve">- відповідно загальні автомобіле-дні роботи та автомобіле-дні роботи автобусів </w:t>
      </w:r>
      <w:r>
        <w:rPr>
          <w:rFonts w:ascii="Times New Roman" w:eastAsia="Times New Roman" w:hAnsi="Times New Roman" w:cs="Times New Roman"/>
          <w:sz w:val="40"/>
          <w:szCs w:val="40"/>
          <w:vertAlign w:val="subscript"/>
        </w:rPr>
        <w:object w:dxaOrig="160" w:dyaOrig="300" w14:anchorId="5EF8B33B">
          <v:shape id="_x0000_i1071" type="#_x0000_t75" alt="" style="width:6pt;height:18pt;mso-width-percent:0;mso-height-percent:0;mso-width-percent:0;mso-height-percent:0" o:ole="">
            <v:imagedata r:id="rId134" o:title=""/>
          </v:shape>
          <o:OLEObject Type="Embed" ProgID="Equation.3" ShapeID="_x0000_i1071" DrawAspect="Content" ObjectID="_1804495234" r:id="rId160"/>
        </w:object>
      </w:r>
      <w:r>
        <w:rPr>
          <w:rFonts w:ascii="Times New Roman" w:eastAsia="Times New Roman" w:hAnsi="Times New Roman" w:cs="Times New Roman"/>
          <w:sz w:val="24"/>
          <w:szCs w:val="24"/>
        </w:rPr>
        <w:t>-тої</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моделі, що працюють на  k-ому маршруті за рік, дні;</w:t>
      </w:r>
    </w:p>
    <w:p w14:paraId="5FB859B1" w14:textId="77777777" w:rsidR="00C82386" w:rsidRDefault="00E66F64">
      <w:pPr>
        <w:spacing w:after="0"/>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380" w:dyaOrig="400" w14:anchorId="0600D0DA">
          <v:shape id="_x0000_i1072" type="#_x0000_t75" alt="" style="width:18pt;height:18pt;mso-width-percent:0;mso-height-percent:0;mso-width-percent:0;mso-height-percent:0" o:ole="">
            <v:imagedata r:id="rId161" o:title=""/>
          </v:shape>
          <o:OLEObject Type="Embed" ProgID="Equation.3" ShapeID="_x0000_i1072" DrawAspect="Content" ObjectID="_1804495235" r:id="rId162"/>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400" w:dyaOrig="400" w14:anchorId="6858FCAE">
          <v:shape id="_x0000_i1073" type="#_x0000_t75" alt="" style="width:18pt;height:18pt;mso-width-percent:0;mso-height-percent:0;mso-width-percent:0;mso-height-percent:0" o:ole="">
            <v:imagedata r:id="rId163" o:title=""/>
          </v:shape>
          <o:OLEObject Type="Embed" ProgID="Equation.3" ShapeID="_x0000_i1073" DrawAspect="Content" ObjectID="_1804495236" r:id="rId164"/>
        </w:object>
      </w:r>
      <w:r>
        <w:rPr>
          <w:rFonts w:ascii="Times New Roman" w:eastAsia="Times New Roman" w:hAnsi="Times New Roman" w:cs="Times New Roman"/>
          <w:sz w:val="24"/>
          <w:szCs w:val="24"/>
        </w:rPr>
        <w:t xml:space="preserve"> - відповідно загальна кількість автобусів і кількість автобусів </w:t>
      </w:r>
      <w:r>
        <w:rPr>
          <w:rFonts w:ascii="Times New Roman" w:eastAsia="Times New Roman" w:hAnsi="Times New Roman" w:cs="Times New Roman"/>
          <w:sz w:val="40"/>
          <w:szCs w:val="40"/>
          <w:vertAlign w:val="subscript"/>
        </w:rPr>
        <w:object w:dxaOrig="160" w:dyaOrig="300" w14:anchorId="38E295F9">
          <v:shape id="_x0000_i1074" type="#_x0000_t75" alt="" style="width:6pt;height:18pt;mso-width-percent:0;mso-height-percent:0;mso-width-percent:0;mso-height-percent:0" o:ole="">
            <v:imagedata r:id="rId134" o:title=""/>
          </v:shape>
          <o:OLEObject Type="Embed" ProgID="Equation.3" ShapeID="_x0000_i1074" DrawAspect="Content" ObjectID="_1804495237" r:id="rId165"/>
        </w:object>
      </w:r>
      <w:r>
        <w:rPr>
          <w:rFonts w:ascii="Times New Roman" w:eastAsia="Times New Roman" w:hAnsi="Times New Roman" w:cs="Times New Roman"/>
          <w:sz w:val="24"/>
          <w:szCs w:val="24"/>
        </w:rPr>
        <w:t>-тої</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моделі, які закріплено за  k-им маршрутом, од.</w:t>
      </w:r>
    </w:p>
    <w:p w14:paraId="3E55CC7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підтримання комфортних умов для пасажирів і водіїв в автобусах використовуються системи обігріву) охолодження. Інформацію щодо підвищення витрат палива на підтримання прийнятних температурних умов у салоні автобусу надано в додатку В. Додаткові витрати палива враховуємо за допомогою коригувального коефіцієнту</w:t>
      </w:r>
    </w:p>
    <w:p w14:paraId="7C910687"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280" w:dyaOrig="1160" w14:anchorId="67A04779">
          <v:shape id="_x0000_i1075" type="#_x0000_t75" alt="" style="width:114pt;height:60pt;mso-width-percent:0;mso-height-percent:0;mso-width-percent:0;mso-height-percent:0" o:ole="">
            <v:imagedata r:id="rId166" o:title=""/>
          </v:shape>
          <o:OLEObject Type="Embed" ProgID="Equation.3" ShapeID="_x0000_i1075" DrawAspect="Content" ObjectID="_1804495238" r:id="rId167"/>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(12)</w:t>
      </w:r>
    </w:p>
    <w:p w14:paraId="62B4766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280" w:dyaOrig="400" w14:anchorId="0AE2DAE1">
          <v:shape id="_x0000_i1076" type="#_x0000_t75" alt="" style="width:12pt;height:18pt;mso-width-percent:0;mso-height-percent:0;mso-width-percent:0;mso-height-percent:0" o:ole="">
            <v:imagedata r:id="rId168" o:title=""/>
          </v:shape>
          <o:OLEObject Type="Embed" ProgID="Equation.3" ShapeID="_x0000_i1076" DrawAspect="Content" ObjectID="_1804495239" r:id="rId169"/>
        </w:object>
      </w:r>
      <w:r>
        <w:rPr>
          <w:rFonts w:ascii="Times New Roman" w:eastAsia="Times New Roman" w:hAnsi="Times New Roman" w:cs="Times New Roman"/>
          <w:sz w:val="24"/>
          <w:szCs w:val="24"/>
        </w:rPr>
        <w:t xml:space="preserve"> - значення надбавки для і-ого інтервалу температури повітря, %;</w:t>
      </w:r>
    </w:p>
    <w:p w14:paraId="403050DF"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380" w:dyaOrig="400" w14:anchorId="3BF3AF1F">
          <v:shape id="_x0000_i1077" type="#_x0000_t75" alt="" style="width:18pt;height:18pt;mso-width-percent:0;mso-height-percent:0;mso-width-percent:0;mso-height-percent:0" o:ole="">
            <v:imagedata r:id="rId170" o:title=""/>
          </v:shape>
          <o:OLEObject Type="Embed" ProgID="Equation.3" ShapeID="_x0000_i1077" DrawAspect="Content" ObjectID="_1804495240" r:id="rId171"/>
        </w:object>
      </w:r>
      <w:r>
        <w:rPr>
          <w:rFonts w:ascii="Times New Roman" w:eastAsia="Times New Roman" w:hAnsi="Times New Roman" w:cs="Times New Roman"/>
          <w:sz w:val="24"/>
          <w:szCs w:val="24"/>
        </w:rPr>
        <w:t>- кількість днів в році, коли мав місце і-ий інтервал температури повітря, котрий потребує опалення (охолодження) салону автобусу, од.;</w:t>
      </w:r>
    </w:p>
    <w:p w14:paraId="189B5EF8"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420" w:dyaOrig="400" w14:anchorId="0E9219BF">
          <v:shape id="_x0000_i1078" type="#_x0000_t75" alt="" style="width:24pt;height:18pt;mso-width-percent:0;mso-height-percent:0;mso-width-percent:0;mso-height-percent:0" o:ole="">
            <v:imagedata r:id="rId172" o:title=""/>
          </v:shape>
          <o:OLEObject Type="Embed" ProgID="Equation.3" ShapeID="_x0000_i1078" DrawAspect="Content" ObjectID="_1804495241" r:id="rId173"/>
        </w:object>
      </w:r>
      <w:r>
        <w:rPr>
          <w:rFonts w:ascii="Times New Roman" w:eastAsia="Times New Roman" w:hAnsi="Times New Roman" w:cs="Times New Roman"/>
          <w:sz w:val="24"/>
          <w:szCs w:val="24"/>
        </w:rPr>
        <w:t>- кількість днів в році,  од.;</w:t>
      </w:r>
    </w:p>
    <w:p w14:paraId="1B970F69"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Тоді формула (3) приймає вигляд</w:t>
      </w:r>
    </w:p>
    <w:p w14:paraId="0D36F548"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920" w:dyaOrig="460" w14:anchorId="15F273EE">
          <v:shape id="_x0000_i1079" type="#_x0000_t75" alt="" style="width:2in;height:24pt;mso-width-percent:0;mso-height-percent:0;mso-width-percent:0;mso-height-percent:0" o:ole="" filled="t">
            <v:fill color2="black"/>
            <v:imagedata r:id="rId174" o:title=""/>
          </v:shape>
          <o:OLEObject Type="Embed" ProgID="Equation.3" ShapeID="_x0000_i1079" DrawAspect="Content" ObjectID="_1804495242" r:id="rId175"/>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(13)</w:t>
      </w:r>
    </w:p>
    <w:p w14:paraId="106C7F3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палива розраховуються по кожному маршруту і типу палива по формулі (13), після чого знаходимо річні витрати палива по кожному типу палива</w:t>
      </w:r>
    </w:p>
    <w:p w14:paraId="2D59DD7E" w14:textId="77777777" w:rsidR="00C82386" w:rsidRDefault="00E66F64">
      <w:pPr>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760" w:dyaOrig="800" w14:anchorId="11562624">
          <v:shape id="_x0000_i1080" type="#_x0000_t75" alt="" style="width:90pt;height:42pt;mso-width-percent:0;mso-height-percent:0;mso-width-percent:0;mso-height-percent:0" o:ole="">
            <v:imagedata r:id="rId176" o:title=""/>
          </v:shape>
          <o:OLEObject Type="Embed" ProgID="Equation.3" ShapeID="_x0000_i1080" DrawAspect="Content" ObjectID="_1804495243" r:id="rId177"/>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(14)</w:t>
      </w:r>
    </w:p>
    <w:p w14:paraId="6B92E33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280" w:dyaOrig="260" w14:anchorId="3101DACB">
          <v:shape id="_x0000_i1081" type="#_x0000_t75" alt="" style="width:12pt;height:12pt;mso-width-percent:0;mso-height-percent:0;mso-width-percent:0;mso-height-percent:0" o:ole="">
            <v:imagedata r:id="rId178" o:title=""/>
          </v:shape>
          <o:OLEObject Type="Embed" ProgID="Equation.3" ShapeID="_x0000_i1081" DrawAspect="Content" ObjectID="_1804495244" r:id="rId179"/>
        </w:object>
      </w:r>
      <w:r>
        <w:rPr>
          <w:rFonts w:ascii="Times New Roman" w:eastAsia="Times New Roman" w:hAnsi="Times New Roman" w:cs="Times New Roman"/>
          <w:sz w:val="24"/>
          <w:szCs w:val="24"/>
        </w:rPr>
        <w:t>- кількість маршрутів на яких працюють транспортні засоби на паливі і-ого типу.</w:t>
      </w:r>
    </w:p>
    <w:p w14:paraId="7D22C66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розрахунку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громадським транспортом по типах палива використовується формула (2).</w:t>
      </w:r>
    </w:p>
    <w:p w14:paraId="3A2199E9" w14:textId="77777777" w:rsidR="00C82386" w:rsidRDefault="00E66F64">
      <w:pPr>
        <w:spacing w:before="240" w:after="0"/>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транспорту, що працює на електроенергії (трамвай, тролейбус) для розрахунку річного пробігу на маршруті застосовується методика розрахунку річного пробігу автобусів (формули (6-11)) без врахування марки транспортного засобу. Дані про споживання електроенергії приймаються середніми для мережі.</w:t>
      </w:r>
    </w:p>
    <w:p w14:paraId="361A404F" w14:textId="77777777" w:rsidR="00C82386" w:rsidRDefault="00E66F64">
      <w:pPr>
        <w:spacing w:before="240"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Визначення викидів СО</w:t>
      </w:r>
      <w:r>
        <w:rPr>
          <w:rFonts w:ascii="Times New Roman" w:eastAsia="Times New Roman" w:hAnsi="Times New Roman" w:cs="Times New Roman"/>
          <w:b/>
          <w:sz w:val="24"/>
          <w:szCs w:val="24"/>
          <w:vertAlign w:val="subscript"/>
        </w:rPr>
        <w:t>2</w:t>
      </w:r>
      <w:r>
        <w:rPr>
          <w:rFonts w:ascii="Times New Roman" w:eastAsia="Times New Roman" w:hAnsi="Times New Roman" w:cs="Times New Roman"/>
          <w:b/>
          <w:sz w:val="24"/>
          <w:szCs w:val="24"/>
        </w:rPr>
        <w:t xml:space="preserve"> приватним і комерційним транспортом</w:t>
      </w:r>
    </w:p>
    <w:p w14:paraId="2821E72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Найбільшу складність для визначення становить приватний і комерційний транспорт, адже достовірних даних про пробіг такого транспорту для всього міста немає в наявності. Визначення річного пробігу здійснюється на основі даних про реєстрацію </w:t>
      </w:r>
      <w:r>
        <w:rPr>
          <w:rFonts w:ascii="Times New Roman" w:eastAsia="Times New Roman" w:hAnsi="Times New Roman" w:cs="Times New Roman"/>
          <w:sz w:val="24"/>
          <w:szCs w:val="24"/>
        </w:rPr>
        <w:lastRenderedPageBreak/>
        <w:t>транспортних засобів, обсяги продажу палива та дослідження транспортних потоків і мобільності населення.  Враховуючи, що пересування пасажирським і вантажним транспортом дуже сильно відрізняється один від одного вони мають розраховуватися окремо.</w:t>
      </w:r>
    </w:p>
    <w:p w14:paraId="37AE5FF9"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Річний пробіг приватних легкових автомобілів розраховуємо по автомобілях, що працюють на різних типах палива на основі даних про рухомість населення:</w:t>
      </w:r>
    </w:p>
    <w:p w14:paraId="37A496E5"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33"/>
          <w:szCs w:val="33"/>
          <w:vertAlign w:val="subscript"/>
        </w:rPr>
        <w:object w:dxaOrig="3340" w:dyaOrig="820" w14:anchorId="2F335B90">
          <v:shape id="_x0000_i1082" type="#_x0000_t75" alt="" style="width:168pt;height:42pt;mso-width-percent:0;mso-height-percent:0;mso-width-percent:0;mso-height-percent:0" o:ole="">
            <v:imagedata r:id="rId180" o:title=""/>
          </v:shape>
          <o:OLEObject Type="Embed" ProgID="Equation.3" ShapeID="_x0000_i1082" DrawAspect="Content" ObjectID="_1804495245" r:id="rId181"/>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(15)</w:t>
      </w:r>
    </w:p>
    <w:p w14:paraId="403D94F3"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p>
    <w:p w14:paraId="15880C3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40" w:dyaOrig="400" w14:anchorId="604C7788">
          <v:shape id="_x0000_i1083" type="#_x0000_t75" alt="" style="width:30pt;height:18pt;mso-width-percent:0;mso-height-percent:0;mso-width-percent:0;mso-height-percent:0" o:ole="">
            <v:imagedata r:id="rId182" o:title=""/>
          </v:shape>
          <o:OLEObject Type="Embed" ProgID="Equation.3" ShapeID="_x0000_i1083" DrawAspect="Content" ObjectID="_1804495246" r:id="rId183"/>
        </w:object>
      </w:r>
      <w:r>
        <w:rPr>
          <w:rFonts w:ascii="Times New Roman" w:eastAsia="Times New Roman" w:hAnsi="Times New Roman" w:cs="Times New Roman"/>
          <w:sz w:val="24"/>
          <w:szCs w:val="24"/>
        </w:rPr>
        <w:t xml:space="preserve"> - населення, 264 452 осіб (01.06.2019) </w:t>
      </w:r>
      <w:r>
        <w:rPr>
          <w:rFonts w:ascii="Symbol" w:eastAsia="Symbol" w:hAnsi="Symbol" w:cs="Symbol"/>
          <w:sz w:val="24"/>
          <w:szCs w:val="24"/>
        </w:rPr>
        <w:t></w:t>
      </w:r>
      <w:r>
        <w:rPr>
          <w:rFonts w:ascii="Times New Roman" w:eastAsia="Times New Roman" w:hAnsi="Times New Roman" w:cs="Times New Roman"/>
          <w:sz w:val="24"/>
          <w:szCs w:val="24"/>
        </w:rPr>
        <w:t>4</w:t>
      </w:r>
      <w:r>
        <w:rPr>
          <w:rFonts w:ascii="Symbol" w:eastAsia="Symbol" w:hAnsi="Symbol" w:cs="Symbol"/>
          <w:sz w:val="24"/>
          <w:szCs w:val="24"/>
        </w:rPr>
        <w:t></w:t>
      </w:r>
      <w:r>
        <w:rPr>
          <w:rFonts w:ascii="Times New Roman" w:eastAsia="Times New Roman" w:hAnsi="Times New Roman" w:cs="Times New Roman"/>
          <w:sz w:val="24"/>
          <w:szCs w:val="24"/>
        </w:rPr>
        <w:t>;</w:t>
      </w:r>
    </w:p>
    <w:p w14:paraId="1F4A5176"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520" w:dyaOrig="420" w14:anchorId="70927C89">
          <v:shape id="_x0000_i1084" type="#_x0000_t75" alt="" style="width:24pt;height:24pt;mso-width-percent:0;mso-height-percent:0;mso-width-percent:0;mso-height-percent:0" o:ole="">
            <v:imagedata r:id="rId184" o:title=""/>
          </v:shape>
          <o:OLEObject Type="Embed" ProgID="Equation.3" ShapeID="_x0000_i1084" DrawAspect="Content" ObjectID="_1804495247" r:id="rId185"/>
        </w:object>
      </w:r>
      <w:r>
        <w:rPr>
          <w:rFonts w:ascii="Times New Roman" w:eastAsia="Times New Roman" w:hAnsi="Times New Roman" w:cs="Times New Roman"/>
          <w:sz w:val="24"/>
          <w:szCs w:val="24"/>
        </w:rPr>
        <w:t xml:space="preserve"> - коефіцієнт рухомості (середня кількість пересувань за день), </w:t>
      </w:r>
    </w:p>
    <w:p w14:paraId="0123D26B"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520" w:dyaOrig="420" w14:anchorId="3EC095B2">
          <v:shape id="_x0000_i1085" type="#_x0000_t75" alt="" style="width:24pt;height:24pt;mso-width-percent:0;mso-height-percent:0;mso-width-percent:0;mso-height-percent:0" o:ole="">
            <v:imagedata r:id="rId184" o:title=""/>
          </v:shape>
          <o:OLEObject Type="Embed" ProgID="Equation.3" ShapeID="_x0000_i1085" DrawAspect="Content" ObjectID="_1804495248" r:id="rId186"/>
        </w:object>
      </w:r>
      <w:r>
        <w:rPr>
          <w:rFonts w:ascii="Times New Roman" w:eastAsia="Times New Roman" w:hAnsi="Times New Roman" w:cs="Times New Roman"/>
          <w:sz w:val="24"/>
          <w:szCs w:val="24"/>
        </w:rPr>
        <w:t xml:space="preserve">=2,3 </w:t>
      </w:r>
      <w:r>
        <w:rPr>
          <w:rFonts w:ascii="Symbol" w:eastAsia="Symbol" w:hAnsi="Symbol" w:cs="Symbol"/>
          <w:sz w:val="24"/>
          <w:szCs w:val="24"/>
        </w:rPr>
        <w:t></w:t>
      </w:r>
      <w:r>
        <w:rPr>
          <w:rFonts w:ascii="Times New Roman" w:eastAsia="Times New Roman" w:hAnsi="Times New Roman" w:cs="Times New Roman"/>
          <w:sz w:val="24"/>
          <w:szCs w:val="24"/>
        </w:rPr>
        <w:t>5</w:t>
      </w:r>
      <w:r>
        <w:rPr>
          <w:rFonts w:ascii="Symbol" w:eastAsia="Symbol" w:hAnsi="Symbol" w:cs="Symbol"/>
          <w:sz w:val="24"/>
          <w:szCs w:val="24"/>
        </w:rPr>
        <w:t></w:t>
      </w:r>
      <w:r>
        <w:rPr>
          <w:rFonts w:ascii="Times New Roman" w:eastAsia="Times New Roman" w:hAnsi="Times New Roman" w:cs="Times New Roman"/>
          <w:sz w:val="24"/>
          <w:szCs w:val="24"/>
        </w:rPr>
        <w:t xml:space="preserve">; </w:t>
      </w:r>
    </w:p>
    <w:p w14:paraId="564C0F56"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380" w:dyaOrig="400" w14:anchorId="7D3BA64D">
          <v:shape id="_x0000_i1086" type="#_x0000_t75" alt="" style="width:18pt;height:18pt;mso-width-percent:0;mso-height-percent:0;mso-width-percent:0;mso-height-percent:0" o:ole="">
            <v:imagedata r:id="rId187" o:title=""/>
          </v:shape>
          <o:OLEObject Type="Embed" ProgID="Equation.3" ShapeID="_x0000_i1086" DrawAspect="Content" ObjectID="_1804495249" r:id="rId188"/>
        </w:object>
      </w:r>
      <w:r>
        <w:rPr>
          <w:rFonts w:ascii="Times New Roman" w:eastAsia="Times New Roman" w:hAnsi="Times New Roman" w:cs="Times New Roman"/>
          <w:sz w:val="24"/>
          <w:szCs w:val="24"/>
        </w:rPr>
        <w:t xml:space="preserve"> -  відсоток поїздок автомобільним транспортом в якості водія, % </w:t>
      </w:r>
      <w:r>
        <w:rPr>
          <w:rFonts w:ascii="Symbol" w:eastAsia="Symbol" w:hAnsi="Symbol" w:cs="Symbol"/>
          <w:sz w:val="24"/>
          <w:szCs w:val="24"/>
        </w:rPr>
        <w:t></w:t>
      </w:r>
      <w:r>
        <w:rPr>
          <w:rFonts w:ascii="Times New Roman" w:eastAsia="Times New Roman" w:hAnsi="Times New Roman" w:cs="Times New Roman"/>
          <w:sz w:val="24"/>
          <w:szCs w:val="24"/>
        </w:rPr>
        <w:t>5</w:t>
      </w:r>
      <w:r>
        <w:rPr>
          <w:rFonts w:ascii="Symbol" w:eastAsia="Symbol" w:hAnsi="Symbol" w:cs="Symbol"/>
          <w:sz w:val="24"/>
          <w:szCs w:val="24"/>
        </w:rPr>
        <w:t></w:t>
      </w:r>
      <w:r>
        <w:rPr>
          <w:rFonts w:ascii="Times New Roman" w:eastAsia="Times New Roman" w:hAnsi="Times New Roman" w:cs="Times New Roman"/>
          <w:sz w:val="24"/>
          <w:szCs w:val="24"/>
        </w:rPr>
        <w:t>;</w:t>
      </w:r>
    </w:p>
    <w:p w14:paraId="3EF5467C"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60" w:dyaOrig="400" w14:anchorId="7467D39A">
          <v:shape id="_x0000_i1087" type="#_x0000_t75" alt="" style="width:12pt;height:18pt;mso-width-percent:0;mso-height-percent:0;mso-width-percent:0;mso-height-percent:0" o:ole="">
            <v:imagedata r:id="rId189" o:title=""/>
          </v:shape>
          <o:OLEObject Type="Embed" ProgID="Equation.3" ShapeID="_x0000_i1087" DrawAspect="Content" ObjectID="_1804495250" r:id="rId190"/>
        </w:object>
      </w:r>
      <w:r>
        <w:rPr>
          <w:rFonts w:ascii="Times New Roman" w:eastAsia="Times New Roman" w:hAnsi="Times New Roman" w:cs="Times New Roman"/>
          <w:sz w:val="24"/>
          <w:szCs w:val="24"/>
        </w:rPr>
        <w:t xml:space="preserve"> - середня відстань поїздки автомобільним транспортом, км </w:t>
      </w:r>
      <w:r>
        <w:rPr>
          <w:rFonts w:ascii="Symbol" w:eastAsia="Symbol" w:hAnsi="Symbol" w:cs="Symbol"/>
          <w:sz w:val="24"/>
          <w:szCs w:val="24"/>
        </w:rPr>
        <w:t></w:t>
      </w:r>
      <w:r>
        <w:rPr>
          <w:rFonts w:ascii="Times New Roman" w:eastAsia="Times New Roman" w:hAnsi="Times New Roman" w:cs="Times New Roman"/>
          <w:sz w:val="24"/>
          <w:szCs w:val="24"/>
        </w:rPr>
        <w:t>5</w:t>
      </w:r>
      <w:r>
        <w:rPr>
          <w:rFonts w:ascii="Symbol" w:eastAsia="Symbol" w:hAnsi="Symbol" w:cs="Symbol"/>
          <w:sz w:val="24"/>
          <w:szCs w:val="24"/>
        </w:rPr>
        <w:t></w:t>
      </w:r>
      <w:r>
        <w:rPr>
          <w:rFonts w:ascii="Times New Roman" w:eastAsia="Times New Roman" w:hAnsi="Times New Roman" w:cs="Times New Roman"/>
          <w:sz w:val="24"/>
          <w:szCs w:val="24"/>
        </w:rPr>
        <w:t>;</w:t>
      </w:r>
    </w:p>
    <w:p w14:paraId="629DEC18"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280" w:dyaOrig="400" w14:anchorId="4E2DB00F">
          <v:shape id="_x0000_i1088" type="#_x0000_t75" alt="" style="width:12pt;height:18pt;mso-width-percent:0;mso-height-percent:0;mso-width-percent:0;mso-height-percent:0" o:ole="">
            <v:imagedata r:id="rId191" o:title=""/>
          </v:shape>
          <o:OLEObject Type="Embed" ProgID="Equation.3" ShapeID="_x0000_i1088" DrawAspect="Content" ObjectID="_1804495251" r:id="rId192"/>
        </w:object>
      </w:r>
      <w:r>
        <w:rPr>
          <w:rFonts w:ascii="Times New Roman" w:eastAsia="Times New Roman" w:hAnsi="Times New Roman" w:cs="Times New Roman"/>
          <w:sz w:val="24"/>
          <w:szCs w:val="24"/>
        </w:rPr>
        <w:t>- частка приватних легкових автомобілів в залежності від типу палива.</w:t>
      </w:r>
    </w:p>
    <w:p w14:paraId="5F7747E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Частка приватних легкових автомобілів по видах палива визначається на основі даних про реєстрацію транспортних засобів. За умови, що ці дані не доступні можна прийняти частку транспортних засобів на основі даних про продаж палива:</w:t>
      </w:r>
    </w:p>
    <w:p w14:paraId="7E0D89E8" w14:textId="77777777" w:rsidR="00C82386" w:rsidRDefault="00E66F64">
      <w:pPr>
        <w:spacing w:after="0"/>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200" w:dyaOrig="860" w14:anchorId="49C805B1">
          <v:shape id="_x0000_i1089" type="#_x0000_t75" alt="" style="width:60pt;height:42pt;mso-width-percent:0;mso-height-percent:0;mso-width-percent:0;mso-height-percent:0" o:ole="">
            <v:imagedata r:id="rId193" o:title=""/>
          </v:shape>
          <o:OLEObject Type="Embed" ProgID="Equation.3" ShapeID="_x0000_i1089" DrawAspect="Content" ObjectID="_1804495252" r:id="rId194"/>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(16)</w:t>
      </w:r>
    </w:p>
    <w:p w14:paraId="68707D3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640" w:dyaOrig="460" w14:anchorId="198F33C4">
          <v:shape id="_x0000_i1090" type="#_x0000_t75" alt="" style="width:30pt;height:24pt;mso-width-percent:0;mso-height-percent:0;mso-width-percent:0;mso-height-percent:0" o:ole="">
            <v:imagedata r:id="rId195" o:title=""/>
          </v:shape>
          <o:OLEObject Type="Embed" ProgID="Equation.3" ShapeID="_x0000_i1090" DrawAspect="Content" ObjectID="_1804495253" r:id="rId196"/>
        </w:object>
      </w:r>
      <w:r>
        <w:rPr>
          <w:rFonts w:ascii="Times New Roman" w:eastAsia="Times New Roman" w:hAnsi="Times New Roman" w:cs="Times New Roman"/>
          <w:sz w:val="24"/>
          <w:szCs w:val="24"/>
        </w:rPr>
        <w:t>- обсяги палива і-го типу продані через АЗС, тис. т;</w:t>
      </w:r>
    </w:p>
    <w:p w14:paraId="3E7FC101" w14:textId="77777777" w:rsidR="00C82386" w:rsidRDefault="00E66F64">
      <w:pPr>
        <w:spacing w:after="0"/>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640" w:dyaOrig="460" w14:anchorId="25C19F3A">
          <v:shape id="_x0000_i1091" type="#_x0000_t75" alt="" style="width:30pt;height:24pt;mso-width-percent:0;mso-height-percent:0;mso-width-percent:0;mso-height-percent:0" o:ole="">
            <v:imagedata r:id="rId197" o:title=""/>
          </v:shape>
          <o:OLEObject Type="Embed" ProgID="Equation.3" ShapeID="_x0000_i1091" DrawAspect="Content" ObjectID="_1804495254" r:id="rId198"/>
        </w:object>
      </w:r>
      <w:r>
        <w:rPr>
          <w:rFonts w:ascii="Times New Roman" w:eastAsia="Times New Roman" w:hAnsi="Times New Roman" w:cs="Times New Roman"/>
          <w:sz w:val="24"/>
          <w:szCs w:val="24"/>
        </w:rPr>
        <w:t>- загальний обсяг палива всіх типів, проданих через АЗС, тис. т.</w:t>
      </w:r>
    </w:p>
    <w:p w14:paraId="461C150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Важливо зазначити, що зі збільшенням частки легкового електротранспорту такий підхід некоректно відображатиме склад потоку і доцільно використовувати дані про реєстрацію транспортних засобів. Проте наразі електромобілі складають менше 1% транспортного парку України.</w:t>
      </w:r>
    </w:p>
    <w:p w14:paraId="3E5FD3A9"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Річний пробіг двоколісних  транспортних засобів (мотоцикли, скутери тощо) визначаємо аналогічно за формулою (15).</w:t>
      </w:r>
    </w:p>
    <w:p w14:paraId="7D47C89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Річний пробіг комерційного вантажного транспорту визначаємо методом аналогії з певними допущеними в категоріях: малотонажні автомобілі, великотонажні автомобілі.</w:t>
      </w:r>
    </w:p>
    <w:p w14:paraId="45E84784" w14:textId="77777777" w:rsidR="00C82386" w:rsidRDefault="00E66F64">
      <w:pPr>
        <w:widowControl w:val="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Загальний пробіг  вантажних автомобілів розраховується для категорій: малотонажні автомобілі, великотонажні автомобілі</w:t>
      </w:r>
    </w:p>
    <w:p w14:paraId="7B0C5F01" w14:textId="77777777" w:rsidR="00C82386" w:rsidRDefault="00E66F64">
      <w:pPr>
        <w:jc w:val="right"/>
        <w:rPr>
          <w:rFonts w:ascii="Times New Roman" w:eastAsia="Times New Roman" w:hAnsi="Times New Roman" w:cs="Times New Roman"/>
          <w:sz w:val="24"/>
          <w:szCs w:val="24"/>
        </w:rPr>
      </w:pPr>
      <w:r>
        <w:rPr>
          <w:rFonts w:ascii="Times New Roman" w:eastAsia="Times New Roman" w:hAnsi="Times New Roman" w:cs="Times New Roman"/>
          <w:sz w:val="40"/>
          <w:szCs w:val="40"/>
          <w:vertAlign w:val="subscript"/>
        </w:rPr>
        <w:object w:dxaOrig="1980" w:dyaOrig="800" w14:anchorId="10063051">
          <v:shape id="_x0000_i1092" type="#_x0000_t75" alt="" style="width:102pt;height:42pt;mso-width-percent:0;mso-height-percent:0;mso-width-percent:0;mso-height-percent:0" o:ole="">
            <v:imagedata r:id="rId199" o:title=""/>
          </v:shape>
          <o:OLEObject Type="Embed" ProgID="Equation.3" ShapeID="_x0000_i1092" DrawAspect="Content" ObjectID="_1804495255" r:id="rId200"/>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(17)</w:t>
      </w:r>
    </w:p>
    <w:p w14:paraId="24A59137" w14:textId="77777777" w:rsidR="00C82386" w:rsidRDefault="00C82386">
      <w:pPr>
        <w:spacing w:after="0"/>
        <w:jc w:val="center"/>
        <w:rPr>
          <w:rFonts w:ascii="Times New Roman" w:eastAsia="Times New Roman" w:hAnsi="Times New Roman" w:cs="Times New Roman"/>
          <w:sz w:val="16"/>
          <w:szCs w:val="16"/>
        </w:rPr>
      </w:pPr>
    </w:p>
    <w:p w14:paraId="7EC0BB86" w14:textId="77777777" w:rsidR="00C82386" w:rsidRDefault="00E66F64">
      <w:pPr>
        <w:jc w:val="right"/>
        <w:rPr>
          <w:rFonts w:ascii="Times New Roman" w:eastAsia="Times New Roman" w:hAnsi="Times New Roman" w:cs="Times New Roman"/>
          <w:sz w:val="24"/>
          <w:szCs w:val="24"/>
        </w:rPr>
      </w:pPr>
      <w:r>
        <w:rPr>
          <w:rFonts w:ascii="Times New Roman" w:eastAsia="Times New Roman" w:hAnsi="Times New Roman" w:cs="Times New Roman"/>
          <w:sz w:val="33"/>
          <w:szCs w:val="33"/>
          <w:vertAlign w:val="subscript"/>
        </w:rPr>
        <w:object w:dxaOrig="1880" w:dyaOrig="800" w14:anchorId="58784866">
          <v:shape id="_x0000_i1093" type="#_x0000_t75" alt="" style="width:96pt;height:42pt;mso-width-percent:0;mso-height-percent:0;mso-width-percent:0;mso-height-percent:0" o:ole="">
            <v:imagedata r:id="rId201" o:title=""/>
          </v:shape>
          <o:OLEObject Type="Embed" ProgID="Equation.3" ShapeID="_x0000_i1093" DrawAspect="Content" ObjectID="_1804495256" r:id="rId202"/>
        </w:object>
      </w:r>
      <w:r>
        <w:rPr>
          <w:rFonts w:ascii="Times New Roman" w:eastAsia="Times New Roman" w:hAnsi="Times New Roman" w:cs="Times New Roman"/>
          <w:sz w:val="20"/>
          <w:szCs w:val="20"/>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(17)</w:t>
      </w:r>
    </w:p>
    <w:p w14:paraId="42E70DFF"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 </w:t>
      </w:r>
      <w:r>
        <w:rPr>
          <w:rFonts w:ascii="Times New Roman" w:eastAsia="Times New Roman" w:hAnsi="Times New Roman" w:cs="Times New Roman"/>
          <w:sz w:val="40"/>
          <w:szCs w:val="40"/>
          <w:vertAlign w:val="subscript"/>
        </w:rPr>
        <w:object w:dxaOrig="420" w:dyaOrig="400" w14:anchorId="197E5B02">
          <v:shape id="_x0000_i1094" type="#_x0000_t75" alt="" style="width:24pt;height:18pt;mso-width-percent:0;mso-height-percent:0;mso-width-percent:0;mso-height-percent:0" o:ole="">
            <v:imagedata r:id="rId203" o:title=""/>
          </v:shape>
          <o:OLEObject Type="Embed" ProgID="Equation.3" ShapeID="_x0000_i1094" DrawAspect="Content" ObjectID="_1804495257" r:id="rId204"/>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540" w:dyaOrig="400" w14:anchorId="1F76090F">
          <v:shape id="_x0000_i1095" type="#_x0000_t75" alt="" style="width:30pt;height:18pt;mso-width-percent:0;mso-height-percent:0;mso-width-percent:0;mso-height-percent:0" o:ole="">
            <v:imagedata r:id="rId205" o:title=""/>
          </v:shape>
          <o:OLEObject Type="Embed" ProgID="Equation.3" ShapeID="_x0000_i1095" DrawAspect="Content" ObjectID="_1804495258" r:id="rId206"/>
        </w:object>
      </w:r>
      <w:r>
        <w:rPr>
          <w:rFonts w:ascii="Times New Roman" w:eastAsia="Times New Roman" w:hAnsi="Times New Roman" w:cs="Times New Roman"/>
          <w:sz w:val="24"/>
          <w:szCs w:val="24"/>
        </w:rPr>
        <w:t xml:space="preserve">, </w:t>
      </w:r>
      <w:r>
        <w:rPr>
          <w:rFonts w:ascii="Times New Roman" w:eastAsia="Times New Roman" w:hAnsi="Times New Roman" w:cs="Times New Roman"/>
          <w:sz w:val="40"/>
          <w:szCs w:val="40"/>
          <w:vertAlign w:val="subscript"/>
        </w:rPr>
        <w:object w:dxaOrig="520" w:dyaOrig="400" w14:anchorId="0E465A2C">
          <v:shape id="_x0000_i1096" type="#_x0000_t75" alt="" style="width:24pt;height:18pt;mso-width-percent:0;mso-height-percent:0;mso-width-percent:0;mso-height-percent:0" o:ole="">
            <v:imagedata r:id="rId207" o:title=""/>
          </v:shape>
          <o:OLEObject Type="Embed" ProgID="Equation.3" ShapeID="_x0000_i1096" DrawAspect="Content" ObjectID="_1804495259" r:id="rId208"/>
        </w:object>
      </w:r>
      <w:r>
        <w:rPr>
          <w:rFonts w:ascii="Times New Roman" w:eastAsia="Times New Roman" w:hAnsi="Times New Roman" w:cs="Times New Roman"/>
          <w:sz w:val="24"/>
          <w:szCs w:val="24"/>
        </w:rPr>
        <w:t xml:space="preserve">- відповідно частка приватних легкових автомобілів, малотоннажних вантажних автомобілів, великотоннажних вантажних автомобілів </w:t>
      </w:r>
      <w:r>
        <w:rPr>
          <w:rFonts w:ascii="Symbol" w:eastAsia="Symbol" w:hAnsi="Symbol" w:cs="Symbol"/>
          <w:sz w:val="24"/>
          <w:szCs w:val="24"/>
        </w:rPr>
        <w:t></w:t>
      </w:r>
      <w:r>
        <w:rPr>
          <w:rFonts w:ascii="Times New Roman" w:eastAsia="Times New Roman" w:hAnsi="Times New Roman" w:cs="Times New Roman"/>
          <w:sz w:val="24"/>
          <w:szCs w:val="24"/>
        </w:rPr>
        <w:t>4</w:t>
      </w:r>
      <w:r>
        <w:rPr>
          <w:rFonts w:ascii="Symbol" w:eastAsia="Symbol" w:hAnsi="Symbol" w:cs="Symbol"/>
          <w:sz w:val="24"/>
          <w:szCs w:val="24"/>
        </w:rPr>
        <w:t></w:t>
      </w:r>
      <w:r>
        <w:rPr>
          <w:rFonts w:ascii="Times New Roman" w:eastAsia="Times New Roman" w:hAnsi="Times New Roman" w:cs="Times New Roman"/>
          <w:sz w:val="24"/>
          <w:szCs w:val="24"/>
        </w:rPr>
        <w:t>.</w:t>
      </w:r>
    </w:p>
    <w:p w14:paraId="3510D57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розрахунку викидів СО</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приватним і комерційним транспортом по типах палива використовується формула (2).</w:t>
      </w:r>
    </w:p>
    <w:p w14:paraId="61DA0A4C" w14:textId="77777777" w:rsidR="00C82386" w:rsidRDefault="00E66F64">
      <w:pPr>
        <w:spacing w:before="240"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Перелік посилань</w:t>
      </w:r>
    </w:p>
    <w:p w14:paraId="04C9FE2C"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Керівництво «Як розробити План дій сталого енергетичного розвитку та клімату у країнах Східного Партнерства», (рос.)</w:t>
      </w:r>
    </w:p>
    <w:p w14:paraId="54289B6D"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Керівні принципи національних інвентаризацій парникових газів МГЗІК, 2006 р.</w:t>
      </w:r>
      <w:r>
        <w:rPr>
          <w:rFonts w:ascii="Times New Roman" w:eastAsia="Times New Roman" w:hAnsi="Times New Roman" w:cs="Times New Roman"/>
          <w:color w:val="000000"/>
          <w:sz w:val="24"/>
          <w:szCs w:val="24"/>
        </w:rPr>
        <w:t xml:space="preserve"> Том 2 Енергетика</w:t>
      </w:r>
    </w:p>
    <w:p w14:paraId="34DF7C57"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2060"/>
          <w:sz w:val="24"/>
          <w:szCs w:val="24"/>
        </w:rPr>
      </w:pPr>
      <w:r>
        <w:rPr>
          <w:rFonts w:ascii="Times New Roman" w:eastAsia="Times New Roman" w:hAnsi="Times New Roman" w:cs="Times New Roman"/>
          <w:color w:val="000000"/>
          <w:sz w:val="24"/>
          <w:szCs w:val="24"/>
        </w:rPr>
        <w:t>Наказ №43 "Норми витрат палива і мастильних матеріалів на автомобільному транспорті" (Мінтранс від 10.02.98) (із змінами і доповненнями, останні з яких внесені наказом Міністерства інфраструктури України від 24 січня 2012 року № 36) / Режим доступу</w:t>
      </w:r>
      <w:r>
        <w:rPr>
          <w:rFonts w:ascii="Times New Roman" w:eastAsia="Times New Roman" w:hAnsi="Times New Roman" w:cs="Times New Roman"/>
          <w:color w:val="002060"/>
          <w:sz w:val="24"/>
          <w:szCs w:val="24"/>
        </w:rPr>
        <w:t xml:space="preserve">: </w:t>
      </w:r>
      <w:hyperlink r:id="rId209">
        <w:r>
          <w:rPr>
            <w:rFonts w:ascii="Times New Roman" w:eastAsia="Times New Roman" w:hAnsi="Times New Roman" w:cs="Times New Roman"/>
            <w:color w:val="0000FF"/>
            <w:u w:val="single"/>
          </w:rPr>
          <w:t>https://www.buhoblik.org.ua/uchet/uchet-tovarov-i-materialov/888-normy-rasxoda-topliva.html</w:t>
        </w:r>
      </w:hyperlink>
    </w:p>
    <w:p w14:paraId="7CB1E3FA"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Статистичний збірник «Чисельність наявного населення України» на 1 січня 2019 р./</w:t>
      </w:r>
    </w:p>
    <w:p w14:paraId="4F83EDDF" w14:textId="77777777" w:rsidR="00C82386" w:rsidRDefault="00E66F64">
      <w:pPr>
        <w:pBdr>
          <w:top w:val="nil"/>
          <w:left w:val="nil"/>
          <w:bottom w:val="nil"/>
          <w:right w:val="nil"/>
          <w:between w:val="nil"/>
        </w:pBdr>
        <w:spacing w:after="0"/>
        <w:ind w:left="426"/>
        <w:jc w:val="both"/>
        <w:rPr>
          <w:rFonts w:ascii="Times New Roman" w:eastAsia="Times New Roman" w:hAnsi="Times New Roman" w:cs="Times New Roman"/>
          <w:color w:val="002060"/>
          <w:sz w:val="24"/>
          <w:szCs w:val="24"/>
        </w:rPr>
      </w:pPr>
      <w:r>
        <w:rPr>
          <w:rFonts w:ascii="Times New Roman" w:eastAsia="Times New Roman" w:hAnsi="Times New Roman" w:cs="Times New Roman"/>
          <w:color w:val="000000"/>
          <w:sz w:val="24"/>
          <w:szCs w:val="24"/>
        </w:rPr>
        <w:t>Режим доступу</w:t>
      </w:r>
      <w:r>
        <w:rPr>
          <w:rFonts w:ascii="Times New Roman" w:eastAsia="Times New Roman" w:hAnsi="Times New Roman" w:cs="Times New Roman"/>
          <w:color w:val="002060"/>
          <w:sz w:val="24"/>
          <w:szCs w:val="24"/>
        </w:rPr>
        <w:t xml:space="preserve">: </w:t>
      </w:r>
      <w:hyperlink r:id="rId210">
        <w:r>
          <w:rPr>
            <w:rFonts w:ascii="Times New Roman" w:eastAsia="Times New Roman" w:hAnsi="Times New Roman" w:cs="Times New Roman"/>
            <w:color w:val="0000FF"/>
            <w:u w:val="single"/>
          </w:rPr>
          <w:t>http://www.ukrstat.gov.ua/druk/publicat/kat_u/2019/zb/06/zb_chnn2019.pdf</w:t>
        </w:r>
      </w:hyperlink>
    </w:p>
    <w:p w14:paraId="13496E30"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Результати дослідження мобільності «Опитування громадської думки щодо мобільності у містах: Житомир»</w:t>
      </w:r>
    </w:p>
    <w:p w14:paraId="0314E9AE" w14:textId="77777777" w:rsidR="00C82386" w:rsidRDefault="00E66F64">
      <w:pPr>
        <w:numPr>
          <w:ilvl w:val="0"/>
          <w:numId w:val="61"/>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Reporting guidelines. Covenants of Mayors for Climate and Energy. March 2020, 51 p.</w:t>
      </w:r>
    </w:p>
    <w:p w14:paraId="54555B34" w14:textId="77777777" w:rsidR="00C82386" w:rsidRDefault="00E66F64">
      <w:pPr>
        <w:pBdr>
          <w:top w:val="nil"/>
          <w:left w:val="nil"/>
          <w:bottom w:val="nil"/>
          <w:right w:val="nil"/>
          <w:between w:val="nil"/>
        </w:pBdr>
        <w:spacing w:before="240"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Додаток А</w:t>
      </w:r>
    </w:p>
    <w:p w14:paraId="6998AD1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Нижча теплотворна здатність палива</w:t>
      </w:r>
    </w:p>
    <w:tbl>
      <w:tblPr>
        <w:tblStyle w:val="affffffffa"/>
        <w:tblW w:w="946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2522"/>
        <w:gridCol w:w="2552"/>
      </w:tblGrid>
      <w:tr w:rsidR="00C82386" w14:paraId="49C895C6" w14:textId="77777777">
        <w:trPr>
          <w:jc w:val="center"/>
        </w:trPr>
        <w:tc>
          <w:tcPr>
            <w:tcW w:w="4390" w:type="dxa"/>
          </w:tcPr>
          <w:p w14:paraId="2134211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Види палива</w:t>
            </w:r>
          </w:p>
        </w:tc>
        <w:tc>
          <w:tcPr>
            <w:tcW w:w="2522" w:type="dxa"/>
          </w:tcPr>
          <w:p w14:paraId="67E761B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Чиста теплотворна здатність [ТДж/Гг]</w:t>
            </w:r>
          </w:p>
        </w:tc>
        <w:tc>
          <w:tcPr>
            <w:tcW w:w="2552" w:type="dxa"/>
          </w:tcPr>
          <w:p w14:paraId="329CF0A4"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Чиста теплотворна здатність [МВтгод/т]</w:t>
            </w:r>
          </w:p>
        </w:tc>
      </w:tr>
      <w:tr w:rsidR="00C82386" w14:paraId="5B3D1090" w14:textId="77777777">
        <w:trPr>
          <w:jc w:val="center"/>
        </w:trPr>
        <w:tc>
          <w:tcPr>
            <w:tcW w:w="4390" w:type="dxa"/>
          </w:tcPr>
          <w:p w14:paraId="2F26B0B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Сира нафта</w:t>
            </w:r>
          </w:p>
        </w:tc>
        <w:tc>
          <w:tcPr>
            <w:tcW w:w="2522" w:type="dxa"/>
          </w:tcPr>
          <w:p w14:paraId="7A56F40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42,3</w:t>
            </w:r>
          </w:p>
        </w:tc>
        <w:tc>
          <w:tcPr>
            <w:tcW w:w="2552" w:type="dxa"/>
          </w:tcPr>
          <w:p w14:paraId="74DCF20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11,8</w:t>
            </w:r>
          </w:p>
        </w:tc>
      </w:tr>
      <w:tr w:rsidR="00C82386" w14:paraId="24C57C48" w14:textId="77777777">
        <w:trPr>
          <w:jc w:val="center"/>
        </w:trPr>
        <w:tc>
          <w:tcPr>
            <w:tcW w:w="4390" w:type="dxa"/>
          </w:tcPr>
          <w:p w14:paraId="50B15C6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Водно-бітумна емульсія</w:t>
            </w:r>
          </w:p>
        </w:tc>
        <w:tc>
          <w:tcPr>
            <w:tcW w:w="2522" w:type="dxa"/>
          </w:tcPr>
          <w:p w14:paraId="3F337B9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27,5</w:t>
            </w:r>
          </w:p>
        </w:tc>
        <w:tc>
          <w:tcPr>
            <w:tcW w:w="2552" w:type="dxa"/>
          </w:tcPr>
          <w:p w14:paraId="35194053"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7,6</w:t>
            </w:r>
          </w:p>
        </w:tc>
      </w:tr>
      <w:tr w:rsidR="00C82386" w14:paraId="71E53489" w14:textId="77777777">
        <w:trPr>
          <w:jc w:val="center"/>
        </w:trPr>
        <w:tc>
          <w:tcPr>
            <w:tcW w:w="4390" w:type="dxa"/>
          </w:tcPr>
          <w:p w14:paraId="473D9E9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Рідкий природній газ</w:t>
            </w:r>
          </w:p>
        </w:tc>
        <w:tc>
          <w:tcPr>
            <w:tcW w:w="2522" w:type="dxa"/>
          </w:tcPr>
          <w:p w14:paraId="21FAB95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44,3</w:t>
            </w:r>
          </w:p>
        </w:tc>
        <w:tc>
          <w:tcPr>
            <w:tcW w:w="2552" w:type="dxa"/>
          </w:tcPr>
          <w:p w14:paraId="2AA4087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w:t>
            </w:r>
          </w:p>
        </w:tc>
      </w:tr>
      <w:tr w:rsidR="00C82386" w14:paraId="79E10D84" w14:textId="77777777">
        <w:trPr>
          <w:jc w:val="center"/>
        </w:trPr>
        <w:tc>
          <w:tcPr>
            <w:tcW w:w="4390" w:type="dxa"/>
          </w:tcPr>
          <w:p w14:paraId="011D6947"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Автомобільний бензин</w:t>
            </w:r>
          </w:p>
        </w:tc>
        <w:tc>
          <w:tcPr>
            <w:tcW w:w="2522" w:type="dxa"/>
          </w:tcPr>
          <w:p w14:paraId="605C85D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44,3</w:t>
            </w:r>
          </w:p>
        </w:tc>
        <w:tc>
          <w:tcPr>
            <w:tcW w:w="2552" w:type="dxa"/>
          </w:tcPr>
          <w:p w14:paraId="5888242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w:t>
            </w:r>
          </w:p>
        </w:tc>
      </w:tr>
      <w:tr w:rsidR="00C82386" w14:paraId="3473701A" w14:textId="77777777">
        <w:trPr>
          <w:jc w:val="center"/>
        </w:trPr>
        <w:tc>
          <w:tcPr>
            <w:tcW w:w="4390" w:type="dxa"/>
          </w:tcPr>
          <w:p w14:paraId="49D0771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Авіаційний бензин</w:t>
            </w:r>
          </w:p>
        </w:tc>
        <w:tc>
          <w:tcPr>
            <w:tcW w:w="2522" w:type="dxa"/>
          </w:tcPr>
          <w:p w14:paraId="5D767E9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44,3</w:t>
            </w:r>
          </w:p>
        </w:tc>
        <w:tc>
          <w:tcPr>
            <w:tcW w:w="2552" w:type="dxa"/>
          </w:tcPr>
          <w:p w14:paraId="25E3EFC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w:t>
            </w:r>
          </w:p>
        </w:tc>
      </w:tr>
      <w:tr w:rsidR="00C82386" w14:paraId="6CC65A25" w14:textId="77777777">
        <w:trPr>
          <w:jc w:val="center"/>
        </w:trPr>
        <w:tc>
          <w:tcPr>
            <w:tcW w:w="4390" w:type="dxa"/>
          </w:tcPr>
          <w:p w14:paraId="4BA06D1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Бензин для реактивних літаків</w:t>
            </w:r>
          </w:p>
        </w:tc>
        <w:tc>
          <w:tcPr>
            <w:tcW w:w="2522" w:type="dxa"/>
          </w:tcPr>
          <w:p w14:paraId="6486B8F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44,3</w:t>
            </w:r>
          </w:p>
        </w:tc>
        <w:tc>
          <w:tcPr>
            <w:tcW w:w="2552" w:type="dxa"/>
          </w:tcPr>
          <w:p w14:paraId="1F71D35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w:t>
            </w:r>
          </w:p>
        </w:tc>
      </w:tr>
      <w:tr w:rsidR="00C82386" w14:paraId="41B71268" w14:textId="77777777">
        <w:trPr>
          <w:jc w:val="center"/>
        </w:trPr>
        <w:tc>
          <w:tcPr>
            <w:tcW w:w="4390" w:type="dxa"/>
          </w:tcPr>
          <w:p w14:paraId="107D229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Авіаційний керосин</w:t>
            </w:r>
          </w:p>
        </w:tc>
        <w:tc>
          <w:tcPr>
            <w:tcW w:w="2522" w:type="dxa"/>
          </w:tcPr>
          <w:p w14:paraId="2BA50374"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44,1</w:t>
            </w:r>
          </w:p>
        </w:tc>
        <w:tc>
          <w:tcPr>
            <w:tcW w:w="2552" w:type="dxa"/>
          </w:tcPr>
          <w:p w14:paraId="748231A2"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12,3</w:t>
            </w:r>
          </w:p>
        </w:tc>
      </w:tr>
      <w:tr w:rsidR="00C82386" w14:paraId="3A171E37" w14:textId="77777777">
        <w:trPr>
          <w:jc w:val="center"/>
        </w:trPr>
        <w:tc>
          <w:tcPr>
            <w:tcW w:w="4390" w:type="dxa"/>
          </w:tcPr>
          <w:p w14:paraId="2749F1A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Інші типи керосину</w:t>
            </w:r>
          </w:p>
        </w:tc>
        <w:tc>
          <w:tcPr>
            <w:tcW w:w="2522" w:type="dxa"/>
          </w:tcPr>
          <w:p w14:paraId="5AC96824"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43,8</w:t>
            </w:r>
          </w:p>
        </w:tc>
        <w:tc>
          <w:tcPr>
            <w:tcW w:w="2552" w:type="dxa"/>
          </w:tcPr>
          <w:p w14:paraId="7BAD154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12,2</w:t>
            </w:r>
          </w:p>
        </w:tc>
      </w:tr>
      <w:tr w:rsidR="00C82386" w14:paraId="1FA4BF02" w14:textId="77777777">
        <w:trPr>
          <w:jc w:val="center"/>
        </w:trPr>
        <w:tc>
          <w:tcPr>
            <w:tcW w:w="4390" w:type="dxa"/>
          </w:tcPr>
          <w:p w14:paraId="23EEE58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Нафта зі сланцю</w:t>
            </w:r>
          </w:p>
        </w:tc>
        <w:tc>
          <w:tcPr>
            <w:tcW w:w="2522" w:type="dxa"/>
          </w:tcPr>
          <w:p w14:paraId="1EE8DCD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38,1</w:t>
            </w:r>
          </w:p>
        </w:tc>
        <w:tc>
          <w:tcPr>
            <w:tcW w:w="2552" w:type="dxa"/>
          </w:tcPr>
          <w:p w14:paraId="666DDC2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10,6</w:t>
            </w:r>
          </w:p>
        </w:tc>
      </w:tr>
      <w:tr w:rsidR="00C82386" w14:paraId="1807F28D" w14:textId="77777777">
        <w:trPr>
          <w:jc w:val="center"/>
        </w:trPr>
        <w:tc>
          <w:tcPr>
            <w:tcW w:w="4390" w:type="dxa"/>
          </w:tcPr>
          <w:p w14:paraId="0E40719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Газойль / Дизельне паливо</w:t>
            </w:r>
          </w:p>
        </w:tc>
        <w:tc>
          <w:tcPr>
            <w:tcW w:w="2522" w:type="dxa"/>
          </w:tcPr>
          <w:p w14:paraId="59527AB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43,0</w:t>
            </w:r>
          </w:p>
        </w:tc>
        <w:tc>
          <w:tcPr>
            <w:tcW w:w="2552" w:type="dxa"/>
          </w:tcPr>
          <w:p w14:paraId="4C3B3FB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11,9</w:t>
            </w:r>
          </w:p>
        </w:tc>
      </w:tr>
      <w:tr w:rsidR="00C82386" w14:paraId="1D970DE9" w14:textId="77777777">
        <w:trPr>
          <w:jc w:val="center"/>
        </w:trPr>
        <w:tc>
          <w:tcPr>
            <w:tcW w:w="4390" w:type="dxa"/>
          </w:tcPr>
          <w:p w14:paraId="03F0BF0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Мазут</w:t>
            </w:r>
          </w:p>
        </w:tc>
        <w:tc>
          <w:tcPr>
            <w:tcW w:w="2522" w:type="dxa"/>
          </w:tcPr>
          <w:p w14:paraId="45DC2A2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40,4</w:t>
            </w:r>
          </w:p>
        </w:tc>
        <w:tc>
          <w:tcPr>
            <w:tcW w:w="2552" w:type="dxa"/>
          </w:tcPr>
          <w:p w14:paraId="2A4B15F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2847C2C9" w14:textId="77777777">
        <w:trPr>
          <w:jc w:val="center"/>
        </w:trPr>
        <w:tc>
          <w:tcPr>
            <w:tcW w:w="4390" w:type="dxa"/>
          </w:tcPr>
          <w:p w14:paraId="46FD614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Зріджений вуглеводневий газ</w:t>
            </w:r>
          </w:p>
        </w:tc>
        <w:tc>
          <w:tcPr>
            <w:tcW w:w="2522" w:type="dxa"/>
          </w:tcPr>
          <w:p w14:paraId="018B005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47,3</w:t>
            </w:r>
          </w:p>
        </w:tc>
        <w:tc>
          <w:tcPr>
            <w:tcW w:w="2552" w:type="dxa"/>
          </w:tcPr>
          <w:p w14:paraId="4C99185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13,1</w:t>
            </w:r>
          </w:p>
        </w:tc>
      </w:tr>
      <w:tr w:rsidR="00C82386" w14:paraId="3A0AB084" w14:textId="77777777">
        <w:trPr>
          <w:jc w:val="center"/>
        </w:trPr>
        <w:tc>
          <w:tcPr>
            <w:tcW w:w="4390" w:type="dxa"/>
          </w:tcPr>
          <w:p w14:paraId="64085DA7"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Етан</w:t>
            </w:r>
          </w:p>
        </w:tc>
        <w:tc>
          <w:tcPr>
            <w:tcW w:w="2522" w:type="dxa"/>
          </w:tcPr>
          <w:p w14:paraId="2FFDB832"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46,4</w:t>
            </w:r>
          </w:p>
        </w:tc>
        <w:tc>
          <w:tcPr>
            <w:tcW w:w="2552" w:type="dxa"/>
          </w:tcPr>
          <w:p w14:paraId="3390188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12,9</w:t>
            </w:r>
          </w:p>
        </w:tc>
      </w:tr>
      <w:tr w:rsidR="00C82386" w14:paraId="59BF5437" w14:textId="77777777">
        <w:trPr>
          <w:jc w:val="center"/>
        </w:trPr>
        <w:tc>
          <w:tcPr>
            <w:tcW w:w="4390" w:type="dxa"/>
          </w:tcPr>
          <w:p w14:paraId="472282E2"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Лігроїн </w:t>
            </w:r>
          </w:p>
        </w:tc>
        <w:tc>
          <w:tcPr>
            <w:tcW w:w="2522" w:type="dxa"/>
          </w:tcPr>
          <w:p w14:paraId="1203E42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44,5</w:t>
            </w:r>
          </w:p>
        </w:tc>
        <w:tc>
          <w:tcPr>
            <w:tcW w:w="2552" w:type="dxa"/>
          </w:tcPr>
          <w:p w14:paraId="3A54940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12,4</w:t>
            </w:r>
          </w:p>
        </w:tc>
      </w:tr>
      <w:tr w:rsidR="00C82386" w14:paraId="6A145C82" w14:textId="77777777">
        <w:trPr>
          <w:jc w:val="center"/>
        </w:trPr>
        <w:tc>
          <w:tcPr>
            <w:tcW w:w="4390" w:type="dxa"/>
          </w:tcPr>
          <w:p w14:paraId="1C0E980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Бітум</w:t>
            </w:r>
          </w:p>
        </w:tc>
        <w:tc>
          <w:tcPr>
            <w:tcW w:w="2522" w:type="dxa"/>
          </w:tcPr>
          <w:p w14:paraId="76E9FF8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09FDD65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4D5AFF4B" w14:textId="77777777">
        <w:trPr>
          <w:jc w:val="center"/>
        </w:trPr>
        <w:tc>
          <w:tcPr>
            <w:tcW w:w="4390" w:type="dxa"/>
          </w:tcPr>
          <w:p w14:paraId="2A2DDB1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Нафтовий кокс</w:t>
            </w:r>
          </w:p>
        </w:tc>
        <w:tc>
          <w:tcPr>
            <w:tcW w:w="2522" w:type="dxa"/>
          </w:tcPr>
          <w:p w14:paraId="3C39EDF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156B384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6E04A71D" w14:textId="77777777">
        <w:trPr>
          <w:jc w:val="center"/>
        </w:trPr>
        <w:tc>
          <w:tcPr>
            <w:tcW w:w="4390" w:type="dxa"/>
          </w:tcPr>
          <w:p w14:paraId="3700B19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Сировина нафтопереробки</w:t>
            </w:r>
          </w:p>
        </w:tc>
        <w:tc>
          <w:tcPr>
            <w:tcW w:w="2522" w:type="dxa"/>
          </w:tcPr>
          <w:p w14:paraId="30AADE47"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43,0</w:t>
            </w:r>
          </w:p>
        </w:tc>
        <w:tc>
          <w:tcPr>
            <w:tcW w:w="2552" w:type="dxa"/>
          </w:tcPr>
          <w:p w14:paraId="261E288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11,9</w:t>
            </w:r>
          </w:p>
        </w:tc>
      </w:tr>
      <w:tr w:rsidR="00C82386" w14:paraId="620DBAD4" w14:textId="77777777">
        <w:trPr>
          <w:jc w:val="center"/>
        </w:trPr>
        <w:tc>
          <w:tcPr>
            <w:tcW w:w="4390" w:type="dxa"/>
          </w:tcPr>
          <w:p w14:paraId="438C03F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Нафтовий газ</w:t>
            </w:r>
          </w:p>
        </w:tc>
        <w:tc>
          <w:tcPr>
            <w:tcW w:w="2522" w:type="dxa"/>
          </w:tcPr>
          <w:p w14:paraId="6D80DB17"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49,5</w:t>
            </w:r>
          </w:p>
        </w:tc>
        <w:tc>
          <w:tcPr>
            <w:tcW w:w="2552" w:type="dxa"/>
          </w:tcPr>
          <w:p w14:paraId="036202B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13,8</w:t>
            </w:r>
          </w:p>
        </w:tc>
      </w:tr>
      <w:tr w:rsidR="00C82386" w14:paraId="21AE04BB" w14:textId="77777777">
        <w:trPr>
          <w:jc w:val="center"/>
        </w:trPr>
        <w:tc>
          <w:tcPr>
            <w:tcW w:w="4390" w:type="dxa"/>
          </w:tcPr>
          <w:p w14:paraId="43C54D4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Парафін</w:t>
            </w:r>
          </w:p>
        </w:tc>
        <w:tc>
          <w:tcPr>
            <w:tcW w:w="2522" w:type="dxa"/>
          </w:tcPr>
          <w:p w14:paraId="0331823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1D5D5C63"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5869F48D" w14:textId="77777777">
        <w:trPr>
          <w:jc w:val="center"/>
        </w:trPr>
        <w:tc>
          <w:tcPr>
            <w:tcW w:w="4390" w:type="dxa"/>
          </w:tcPr>
          <w:p w14:paraId="2BF83E5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Уайт-</w:t>
            </w:r>
            <w:r>
              <w:rPr>
                <w:rFonts w:ascii="Times New Roman" w:eastAsia="Times New Roman" w:hAnsi="Times New Roman" w:cs="Times New Roman"/>
              </w:rPr>
              <w:t>спірит</w:t>
            </w:r>
            <w:r>
              <w:rPr>
                <w:rFonts w:ascii="Times New Roman" w:eastAsia="Times New Roman" w:hAnsi="Times New Roman" w:cs="Times New Roman"/>
                <w:color w:val="000000"/>
              </w:rPr>
              <w:t xml:space="preserve"> і технічний спирт (денатурований етиловий спирт)</w:t>
            </w:r>
          </w:p>
        </w:tc>
        <w:tc>
          <w:tcPr>
            <w:tcW w:w="2522" w:type="dxa"/>
          </w:tcPr>
          <w:p w14:paraId="6D7C899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5DB7349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5B49ADE1" w14:textId="77777777">
        <w:trPr>
          <w:jc w:val="center"/>
        </w:trPr>
        <w:tc>
          <w:tcPr>
            <w:tcW w:w="4390" w:type="dxa"/>
          </w:tcPr>
          <w:p w14:paraId="73D7A1A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Інші </w:t>
            </w:r>
            <w:r>
              <w:rPr>
                <w:rFonts w:ascii="Times New Roman" w:eastAsia="Times New Roman" w:hAnsi="Times New Roman" w:cs="Times New Roman"/>
              </w:rPr>
              <w:t>нафтопродукти</w:t>
            </w:r>
          </w:p>
        </w:tc>
        <w:tc>
          <w:tcPr>
            <w:tcW w:w="2522" w:type="dxa"/>
          </w:tcPr>
          <w:p w14:paraId="326295F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0B1FBAB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084110F0" w14:textId="77777777">
        <w:trPr>
          <w:jc w:val="center"/>
        </w:trPr>
        <w:tc>
          <w:tcPr>
            <w:tcW w:w="4390" w:type="dxa"/>
          </w:tcPr>
          <w:p w14:paraId="34A0769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Антрацит</w:t>
            </w:r>
          </w:p>
        </w:tc>
        <w:tc>
          <w:tcPr>
            <w:tcW w:w="2522" w:type="dxa"/>
          </w:tcPr>
          <w:p w14:paraId="0AF16CC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26,7</w:t>
            </w:r>
          </w:p>
        </w:tc>
        <w:tc>
          <w:tcPr>
            <w:tcW w:w="2552" w:type="dxa"/>
          </w:tcPr>
          <w:p w14:paraId="6AE5AD9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7,4</w:t>
            </w:r>
          </w:p>
        </w:tc>
      </w:tr>
      <w:tr w:rsidR="00C82386" w14:paraId="13C8AB3F" w14:textId="77777777">
        <w:trPr>
          <w:jc w:val="center"/>
        </w:trPr>
        <w:tc>
          <w:tcPr>
            <w:tcW w:w="4390" w:type="dxa"/>
          </w:tcPr>
          <w:p w14:paraId="4333789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Коксівне вугілля</w:t>
            </w:r>
          </w:p>
        </w:tc>
        <w:tc>
          <w:tcPr>
            <w:tcW w:w="2522" w:type="dxa"/>
          </w:tcPr>
          <w:p w14:paraId="28A5210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28,2</w:t>
            </w:r>
          </w:p>
        </w:tc>
        <w:tc>
          <w:tcPr>
            <w:tcW w:w="2552" w:type="dxa"/>
          </w:tcPr>
          <w:p w14:paraId="61F1C96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C82386" w14:paraId="194CC982" w14:textId="77777777">
        <w:trPr>
          <w:jc w:val="center"/>
        </w:trPr>
        <w:tc>
          <w:tcPr>
            <w:tcW w:w="4390" w:type="dxa"/>
          </w:tcPr>
          <w:p w14:paraId="145E4B2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Інше бітумінозне вугілля</w:t>
            </w:r>
          </w:p>
        </w:tc>
        <w:tc>
          <w:tcPr>
            <w:tcW w:w="2522" w:type="dxa"/>
          </w:tcPr>
          <w:p w14:paraId="00760B03"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25,8</w:t>
            </w:r>
          </w:p>
        </w:tc>
        <w:tc>
          <w:tcPr>
            <w:tcW w:w="2552" w:type="dxa"/>
          </w:tcPr>
          <w:p w14:paraId="4B911E8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7,2</w:t>
            </w:r>
          </w:p>
        </w:tc>
      </w:tr>
      <w:tr w:rsidR="00C82386" w14:paraId="26EF9610" w14:textId="77777777">
        <w:trPr>
          <w:jc w:val="center"/>
        </w:trPr>
        <w:tc>
          <w:tcPr>
            <w:tcW w:w="4390" w:type="dxa"/>
          </w:tcPr>
          <w:p w14:paraId="31DB4277"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rPr>
              <w:t>Суп Бітумінозне</w:t>
            </w:r>
            <w:r>
              <w:rPr>
                <w:rFonts w:ascii="Times New Roman" w:eastAsia="Times New Roman" w:hAnsi="Times New Roman" w:cs="Times New Roman"/>
                <w:color w:val="000000"/>
              </w:rPr>
              <w:t xml:space="preserve"> вугілля</w:t>
            </w:r>
          </w:p>
        </w:tc>
        <w:tc>
          <w:tcPr>
            <w:tcW w:w="2522" w:type="dxa"/>
          </w:tcPr>
          <w:p w14:paraId="4391989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18,9</w:t>
            </w:r>
          </w:p>
        </w:tc>
        <w:tc>
          <w:tcPr>
            <w:tcW w:w="2552" w:type="dxa"/>
          </w:tcPr>
          <w:p w14:paraId="439785AA"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w:t>
            </w:r>
          </w:p>
        </w:tc>
      </w:tr>
      <w:tr w:rsidR="00C82386" w14:paraId="06F00907" w14:textId="77777777">
        <w:trPr>
          <w:jc w:val="center"/>
        </w:trPr>
        <w:tc>
          <w:tcPr>
            <w:tcW w:w="4390" w:type="dxa"/>
          </w:tcPr>
          <w:p w14:paraId="505CAC5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Лігніт</w:t>
            </w:r>
          </w:p>
        </w:tc>
        <w:tc>
          <w:tcPr>
            <w:tcW w:w="2522" w:type="dxa"/>
          </w:tcPr>
          <w:p w14:paraId="0E4C7F3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11,9</w:t>
            </w:r>
          </w:p>
        </w:tc>
        <w:tc>
          <w:tcPr>
            <w:tcW w:w="2552" w:type="dxa"/>
          </w:tcPr>
          <w:p w14:paraId="27B9334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3,3</w:t>
            </w:r>
          </w:p>
        </w:tc>
      </w:tr>
      <w:tr w:rsidR="00C82386" w14:paraId="676D3BDE" w14:textId="77777777">
        <w:trPr>
          <w:jc w:val="center"/>
        </w:trPr>
        <w:tc>
          <w:tcPr>
            <w:tcW w:w="4390" w:type="dxa"/>
          </w:tcPr>
          <w:p w14:paraId="4196FEC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Бітумінозний сланець і бітумінозний піщаник</w:t>
            </w:r>
          </w:p>
        </w:tc>
        <w:tc>
          <w:tcPr>
            <w:tcW w:w="2522" w:type="dxa"/>
          </w:tcPr>
          <w:p w14:paraId="58B9CD3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8,9</w:t>
            </w:r>
          </w:p>
        </w:tc>
        <w:tc>
          <w:tcPr>
            <w:tcW w:w="2552" w:type="dxa"/>
          </w:tcPr>
          <w:p w14:paraId="6B02D9D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r>
      <w:tr w:rsidR="00C82386" w14:paraId="52976166" w14:textId="77777777">
        <w:trPr>
          <w:jc w:val="center"/>
        </w:trPr>
        <w:tc>
          <w:tcPr>
            <w:tcW w:w="4390" w:type="dxa"/>
          </w:tcPr>
          <w:p w14:paraId="649E973A"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Брикети бурого вугілля</w:t>
            </w:r>
          </w:p>
        </w:tc>
        <w:tc>
          <w:tcPr>
            <w:tcW w:w="2522" w:type="dxa"/>
          </w:tcPr>
          <w:p w14:paraId="331C754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20,7</w:t>
            </w:r>
          </w:p>
        </w:tc>
        <w:tc>
          <w:tcPr>
            <w:tcW w:w="2552" w:type="dxa"/>
          </w:tcPr>
          <w:p w14:paraId="65CBB2C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5,8</w:t>
            </w:r>
          </w:p>
        </w:tc>
      </w:tr>
      <w:tr w:rsidR="00C82386" w14:paraId="6A112BA9" w14:textId="77777777">
        <w:trPr>
          <w:jc w:val="center"/>
        </w:trPr>
        <w:tc>
          <w:tcPr>
            <w:tcW w:w="4390" w:type="dxa"/>
          </w:tcPr>
          <w:p w14:paraId="14807AB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Брикетне паливо</w:t>
            </w:r>
          </w:p>
        </w:tc>
        <w:tc>
          <w:tcPr>
            <w:tcW w:w="2522" w:type="dxa"/>
          </w:tcPr>
          <w:p w14:paraId="1FF0B79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20,7</w:t>
            </w:r>
          </w:p>
        </w:tc>
        <w:tc>
          <w:tcPr>
            <w:tcW w:w="2552" w:type="dxa"/>
          </w:tcPr>
          <w:p w14:paraId="70BEFD8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5,8</w:t>
            </w:r>
          </w:p>
        </w:tc>
      </w:tr>
      <w:tr w:rsidR="00C82386" w14:paraId="44142911" w14:textId="77777777">
        <w:trPr>
          <w:jc w:val="center"/>
        </w:trPr>
        <w:tc>
          <w:tcPr>
            <w:tcW w:w="4390" w:type="dxa"/>
          </w:tcPr>
          <w:p w14:paraId="2FC4E9E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Коксохімічний кокс і буровугільний кокс</w:t>
            </w:r>
          </w:p>
        </w:tc>
        <w:tc>
          <w:tcPr>
            <w:tcW w:w="2522" w:type="dxa"/>
          </w:tcPr>
          <w:p w14:paraId="304E3842"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28,2</w:t>
            </w:r>
          </w:p>
        </w:tc>
        <w:tc>
          <w:tcPr>
            <w:tcW w:w="2552" w:type="dxa"/>
          </w:tcPr>
          <w:p w14:paraId="43D100B0"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C82386" w14:paraId="565AEFE0" w14:textId="77777777">
        <w:trPr>
          <w:jc w:val="center"/>
        </w:trPr>
        <w:tc>
          <w:tcPr>
            <w:tcW w:w="4390" w:type="dxa"/>
          </w:tcPr>
          <w:p w14:paraId="547855C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Ретортний кокс</w:t>
            </w:r>
          </w:p>
        </w:tc>
        <w:tc>
          <w:tcPr>
            <w:tcW w:w="2522" w:type="dxa"/>
          </w:tcPr>
          <w:p w14:paraId="2780978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28,2</w:t>
            </w:r>
          </w:p>
        </w:tc>
        <w:tc>
          <w:tcPr>
            <w:tcW w:w="2552" w:type="dxa"/>
          </w:tcPr>
          <w:p w14:paraId="0B40F74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C82386" w14:paraId="45CB9567" w14:textId="77777777">
        <w:trPr>
          <w:jc w:val="center"/>
        </w:trPr>
        <w:tc>
          <w:tcPr>
            <w:tcW w:w="4390" w:type="dxa"/>
          </w:tcPr>
          <w:p w14:paraId="79B14E1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Бітум</w:t>
            </w:r>
          </w:p>
        </w:tc>
        <w:tc>
          <w:tcPr>
            <w:tcW w:w="2522" w:type="dxa"/>
          </w:tcPr>
          <w:p w14:paraId="220DFA3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28,0</w:t>
            </w:r>
          </w:p>
        </w:tc>
        <w:tc>
          <w:tcPr>
            <w:tcW w:w="2552" w:type="dxa"/>
          </w:tcPr>
          <w:p w14:paraId="0D45B20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C82386" w14:paraId="2BF4FA81" w14:textId="77777777">
        <w:trPr>
          <w:jc w:val="center"/>
        </w:trPr>
        <w:tc>
          <w:tcPr>
            <w:tcW w:w="4390" w:type="dxa"/>
          </w:tcPr>
          <w:p w14:paraId="2E2F689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Заводський газ</w:t>
            </w:r>
          </w:p>
        </w:tc>
        <w:tc>
          <w:tcPr>
            <w:tcW w:w="2522" w:type="dxa"/>
          </w:tcPr>
          <w:p w14:paraId="6BCCFA7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38,7</w:t>
            </w:r>
          </w:p>
        </w:tc>
        <w:tc>
          <w:tcPr>
            <w:tcW w:w="2552" w:type="dxa"/>
          </w:tcPr>
          <w:p w14:paraId="31B29B1A"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10,8</w:t>
            </w:r>
          </w:p>
        </w:tc>
      </w:tr>
      <w:tr w:rsidR="00C82386" w14:paraId="0BE91DC1" w14:textId="77777777">
        <w:trPr>
          <w:jc w:val="center"/>
        </w:trPr>
        <w:tc>
          <w:tcPr>
            <w:tcW w:w="4390" w:type="dxa"/>
          </w:tcPr>
          <w:p w14:paraId="703AFA5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Коксувальний газ</w:t>
            </w:r>
          </w:p>
        </w:tc>
        <w:tc>
          <w:tcPr>
            <w:tcW w:w="2522" w:type="dxa"/>
          </w:tcPr>
          <w:p w14:paraId="21A2760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38,7</w:t>
            </w:r>
          </w:p>
        </w:tc>
        <w:tc>
          <w:tcPr>
            <w:tcW w:w="2552" w:type="dxa"/>
          </w:tcPr>
          <w:p w14:paraId="7097D59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10,8</w:t>
            </w:r>
          </w:p>
        </w:tc>
      </w:tr>
      <w:tr w:rsidR="00C82386" w14:paraId="4E30A09D" w14:textId="77777777">
        <w:trPr>
          <w:jc w:val="center"/>
        </w:trPr>
        <w:tc>
          <w:tcPr>
            <w:tcW w:w="4390" w:type="dxa"/>
          </w:tcPr>
          <w:p w14:paraId="0927352E"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Доменний газ</w:t>
            </w:r>
          </w:p>
        </w:tc>
        <w:tc>
          <w:tcPr>
            <w:tcW w:w="2522" w:type="dxa"/>
          </w:tcPr>
          <w:p w14:paraId="402FE4C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2,47</w:t>
            </w:r>
          </w:p>
        </w:tc>
        <w:tc>
          <w:tcPr>
            <w:tcW w:w="2552" w:type="dxa"/>
          </w:tcPr>
          <w:p w14:paraId="08696411"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0,7</w:t>
            </w:r>
          </w:p>
        </w:tc>
      </w:tr>
      <w:tr w:rsidR="00C82386" w14:paraId="6C7695DF" w14:textId="77777777">
        <w:trPr>
          <w:jc w:val="center"/>
        </w:trPr>
        <w:tc>
          <w:tcPr>
            <w:tcW w:w="4390" w:type="dxa"/>
          </w:tcPr>
          <w:p w14:paraId="3A8E88F8"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Кисневий сталеплавильний газ</w:t>
            </w:r>
          </w:p>
        </w:tc>
        <w:tc>
          <w:tcPr>
            <w:tcW w:w="2522" w:type="dxa"/>
          </w:tcPr>
          <w:p w14:paraId="09295515"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7,06</w:t>
            </w:r>
          </w:p>
        </w:tc>
        <w:tc>
          <w:tcPr>
            <w:tcW w:w="2552" w:type="dxa"/>
          </w:tcPr>
          <w:p w14:paraId="11B1C8F2"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r>
      <w:tr w:rsidR="00C82386" w14:paraId="0A493D5F" w14:textId="77777777">
        <w:trPr>
          <w:jc w:val="center"/>
        </w:trPr>
        <w:tc>
          <w:tcPr>
            <w:tcW w:w="4390" w:type="dxa"/>
          </w:tcPr>
          <w:p w14:paraId="1C60816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Природній газ</w:t>
            </w:r>
          </w:p>
        </w:tc>
        <w:tc>
          <w:tcPr>
            <w:tcW w:w="2522" w:type="dxa"/>
          </w:tcPr>
          <w:p w14:paraId="3D51FE5A"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48,0</w:t>
            </w:r>
          </w:p>
        </w:tc>
        <w:tc>
          <w:tcPr>
            <w:tcW w:w="2552" w:type="dxa"/>
          </w:tcPr>
          <w:p w14:paraId="0D978EA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13,3</w:t>
            </w:r>
          </w:p>
        </w:tc>
      </w:tr>
      <w:tr w:rsidR="00C82386" w14:paraId="25E42226" w14:textId="77777777">
        <w:trPr>
          <w:jc w:val="center"/>
        </w:trPr>
        <w:tc>
          <w:tcPr>
            <w:tcW w:w="4390" w:type="dxa"/>
          </w:tcPr>
          <w:p w14:paraId="36C413A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Муніципальні відходи (фракція на біомаси)</w:t>
            </w:r>
          </w:p>
        </w:tc>
        <w:tc>
          <w:tcPr>
            <w:tcW w:w="2522" w:type="dxa"/>
          </w:tcPr>
          <w:p w14:paraId="1B335CC4"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2552" w:type="dxa"/>
          </w:tcPr>
          <w:p w14:paraId="1C7A9649"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r>
      <w:tr w:rsidR="00C82386" w14:paraId="0DE3579F" w14:textId="77777777">
        <w:trPr>
          <w:jc w:val="center"/>
        </w:trPr>
        <w:tc>
          <w:tcPr>
            <w:tcW w:w="4390" w:type="dxa"/>
          </w:tcPr>
          <w:p w14:paraId="3BFEC50D"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Відпрацьоване змащувальне масло</w:t>
            </w:r>
          </w:p>
        </w:tc>
        <w:tc>
          <w:tcPr>
            <w:tcW w:w="2522" w:type="dxa"/>
          </w:tcPr>
          <w:p w14:paraId="37DA54DF"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40,2</w:t>
            </w:r>
          </w:p>
        </w:tc>
        <w:tc>
          <w:tcPr>
            <w:tcW w:w="2552" w:type="dxa"/>
          </w:tcPr>
          <w:p w14:paraId="4DF6BDFC"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11,2</w:t>
            </w:r>
          </w:p>
        </w:tc>
      </w:tr>
      <w:tr w:rsidR="00C82386" w14:paraId="22941965" w14:textId="77777777">
        <w:trPr>
          <w:jc w:val="center"/>
        </w:trPr>
        <w:tc>
          <w:tcPr>
            <w:tcW w:w="4390" w:type="dxa"/>
          </w:tcPr>
          <w:p w14:paraId="65A537E4"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Торф</w:t>
            </w:r>
          </w:p>
        </w:tc>
        <w:tc>
          <w:tcPr>
            <w:tcW w:w="2522" w:type="dxa"/>
          </w:tcPr>
          <w:p w14:paraId="0E5E0A76"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8,76</w:t>
            </w:r>
          </w:p>
        </w:tc>
        <w:tc>
          <w:tcPr>
            <w:tcW w:w="2552" w:type="dxa"/>
          </w:tcPr>
          <w:p w14:paraId="48C4022B" w14:textId="77777777" w:rsidR="00C82386" w:rsidRDefault="00E66F64">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w:t>
            </w:r>
          </w:p>
        </w:tc>
      </w:tr>
    </w:tbl>
    <w:p w14:paraId="269EEF24" w14:textId="77777777" w:rsidR="00C82386" w:rsidRDefault="00C82386">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A48FB70" w14:textId="77777777" w:rsidR="00C82386" w:rsidRDefault="00E66F64">
      <w:pPr>
        <w:spacing w:before="240"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Додаток В</w:t>
      </w:r>
    </w:p>
    <w:p w14:paraId="1CE2DCD8" w14:textId="77777777" w:rsidR="00C82386" w:rsidRDefault="00E66F64" w:rsidP="00CE13D9">
      <w:pPr>
        <w:pBdr>
          <w:top w:val="nil"/>
          <w:left w:val="nil"/>
          <w:bottom w:val="nil"/>
          <w:right w:val="nil"/>
          <w:between w:val="nil"/>
        </w:pBdr>
        <w:spacing w:after="0"/>
        <w:jc w:val="center"/>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Довідкова</w:t>
      </w:r>
      <w:r>
        <w:rPr>
          <w:rFonts w:ascii="Times New Roman" w:eastAsia="Times New Roman" w:hAnsi="Times New Roman" w:cs="Times New Roman"/>
          <w:color w:val="000000"/>
          <w:sz w:val="28"/>
          <w:szCs w:val="28"/>
        </w:rPr>
        <w:t xml:space="preserve"> інформація щодо підвищення витрат палива </w:t>
      </w:r>
      <w:r>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4"/>
          <w:szCs w:val="24"/>
        </w:rPr>
        <w:t>на підтримання прийнятних температурних умов у салоні автобусу</w:t>
      </w:r>
    </w:p>
    <w:p w14:paraId="463F0630"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підтримання прийнятних (комфортних) температурних умов у салоні автомобіля, а також забезпечення належної оглядовості тощо залежно від фактичної температури повітря навколишнього середовища використовують базові значення надбавки:</w:t>
      </w:r>
    </w:p>
    <w:p w14:paraId="7ADD305B" w14:textId="77777777" w:rsidR="00C82386" w:rsidRDefault="00E66F64" w:rsidP="00CE13D9">
      <w:pPr>
        <w:pBdr>
          <w:top w:val="nil"/>
          <w:left w:val="nil"/>
          <w:bottom w:val="nil"/>
          <w:right w:val="nil"/>
          <w:between w:val="nil"/>
        </w:pBdr>
        <w:shd w:val="clear" w:color="auto" w:fill="FFFFFF"/>
        <w:spacing w:before="105" w:after="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обігрів салону, скла тощо залежно від фактичної температури повітря:</w:t>
      </w:r>
    </w:p>
    <w:p w14:paraId="129519DC"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+5° C та до -5° C включно - до 0,5 %;</w:t>
      </w:r>
    </w:p>
    <w:p w14:paraId="7D0DB7B4"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-5° C та до -15° C включно - до 1 %;</w:t>
      </w:r>
    </w:p>
    <w:p w14:paraId="124D69BB"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-15° C та до -25° C включно - до 1,5 %;</w:t>
      </w:r>
    </w:p>
    <w:p w14:paraId="3EDDEFCB"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-25° C - до 2 %.</w:t>
      </w:r>
    </w:p>
    <w:p w14:paraId="634515D0"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разі обґрунтованого використання автономних (незалежних) систем обігріву (за умови відсутності в додатку Г норм витрат палива на роботу зазначеного обладнання) залежно від фактичної температури повітря:</w:t>
      </w:r>
    </w:p>
    <w:p w14:paraId="6C62A8F2"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+15° C та до +5° C включно - до 2 %;</w:t>
      </w:r>
    </w:p>
    <w:p w14:paraId="1FF84AB2"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+5° C та до -5° C включно - до 4 %;</w:t>
      </w:r>
    </w:p>
    <w:p w14:paraId="13564F08"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-5° C та до -15° C включно - до 6 %;</w:t>
      </w:r>
    </w:p>
    <w:p w14:paraId="71229A81"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-15° C та до -25° C включно - до 8 %;</w:t>
      </w:r>
    </w:p>
    <w:p w14:paraId="578E3455" w14:textId="77777777" w:rsidR="00C82386" w:rsidRDefault="00E66F64" w:rsidP="00CE13D9">
      <w:pPr>
        <w:pBdr>
          <w:top w:val="nil"/>
          <w:left w:val="nil"/>
          <w:bottom w:val="nil"/>
          <w:right w:val="nil"/>
          <w:between w:val="nil"/>
        </w:pBdr>
        <w:shd w:val="clear" w:color="auto" w:fill="FFFFFF"/>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нижче ніж -25° C - до 10 %;</w:t>
      </w:r>
    </w:p>
    <w:p w14:paraId="057A8942"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охолодження салону автомобіля у разі використання кондиціонера або установки "клімат-контроль" залежно від фактичної температури повітря:</w:t>
      </w:r>
    </w:p>
    <w:p w14:paraId="48F05D6D" w14:textId="77777777" w:rsidR="00C82386" w:rsidRDefault="00E66F64" w:rsidP="00CE13D9">
      <w:pPr>
        <w:pBdr>
          <w:top w:val="nil"/>
          <w:left w:val="nil"/>
          <w:bottom w:val="nil"/>
          <w:right w:val="nil"/>
          <w:between w:val="nil"/>
        </w:pBdr>
        <w:shd w:val="clear" w:color="auto" w:fill="FFFFFF"/>
        <w:spacing w:before="105" w:after="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 +20° C включно та до +25° C включно - до 5 %;</w:t>
      </w:r>
    </w:p>
    <w:p w14:paraId="483CFE22" w14:textId="77777777" w:rsidR="00C82386" w:rsidRDefault="00E66F64" w:rsidP="00CE13D9">
      <w:pPr>
        <w:pBdr>
          <w:top w:val="nil"/>
          <w:left w:val="nil"/>
          <w:bottom w:val="nil"/>
          <w:right w:val="nil"/>
          <w:between w:val="nil"/>
        </w:pBdr>
        <w:shd w:val="clear" w:color="auto" w:fill="FFFFFF"/>
        <w:spacing w:before="105" w:after="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вище ніж +25° C та до +30° C включно - до 7 %;</w:t>
      </w:r>
    </w:p>
    <w:p w14:paraId="66EE2887" w14:textId="77777777" w:rsidR="00C82386" w:rsidRDefault="00E66F64" w:rsidP="00CE13D9">
      <w:pPr>
        <w:pBdr>
          <w:top w:val="nil"/>
          <w:left w:val="nil"/>
          <w:bottom w:val="nil"/>
          <w:right w:val="nil"/>
          <w:between w:val="nil"/>
        </w:pBdr>
        <w:shd w:val="clear" w:color="auto" w:fill="FFFFFF"/>
        <w:spacing w:before="105" w:after="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вище ніж +30° C - до 10 %;</w:t>
      </w:r>
    </w:p>
    <w:p w14:paraId="5995BC80"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разі необхідності використання передбаченої конструкцією автомобіля функції осушення повітря у салоні (що забезпечується за рахунок охолодження повітря і відповідно конденсації вологи у холодильному устаткуванні кондиціонера або установки "клімат-контроль" перед наступним його підігріванням та подачею у салон) в межах фактичної температури повітря навколишнього середовища нижче ніж +20° C та до 0° C включно - до 4 %.</w:t>
      </w:r>
    </w:p>
    <w:p w14:paraId="606D6532"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Примітка 1. </w:t>
      </w:r>
      <w:r>
        <w:rPr>
          <w:rFonts w:ascii="Times New Roman" w:eastAsia="Times New Roman" w:hAnsi="Times New Roman" w:cs="Times New Roman"/>
          <w:color w:val="000000"/>
          <w:sz w:val="24"/>
          <w:szCs w:val="24"/>
        </w:rPr>
        <w:t>Для всіх автомобілів, крім автобусів, значення надбавки, зазначеної в цьому підпункті, коригується залежно від робочого об'єму двигуна шляхом множення її базового значення на умовний коефіцієнт використання потужності двигуна К</w:t>
      </w:r>
      <w:r>
        <w:rPr>
          <w:rFonts w:ascii="Times New Roman" w:eastAsia="Times New Roman" w:hAnsi="Times New Roman" w:cs="Times New Roman"/>
          <w:color w:val="000000"/>
          <w:sz w:val="24"/>
          <w:szCs w:val="24"/>
          <w:vertAlign w:val="subscript"/>
        </w:rPr>
        <w:t>ВП</w:t>
      </w:r>
      <w:r>
        <w:rPr>
          <w:rFonts w:ascii="Times New Roman" w:eastAsia="Times New Roman" w:hAnsi="Times New Roman" w:cs="Times New Roman"/>
          <w:color w:val="000000"/>
          <w:sz w:val="24"/>
          <w:szCs w:val="24"/>
        </w:rPr>
        <w:t>, що дорівнює К</w:t>
      </w:r>
      <w:r>
        <w:rPr>
          <w:rFonts w:ascii="Times New Roman" w:eastAsia="Times New Roman" w:hAnsi="Times New Roman" w:cs="Times New Roman"/>
          <w:color w:val="000000"/>
          <w:sz w:val="24"/>
          <w:szCs w:val="24"/>
          <w:vertAlign w:val="subscript"/>
        </w:rPr>
        <w:t>ВП </w:t>
      </w:r>
      <w:r>
        <w:rPr>
          <w:rFonts w:ascii="Times New Roman" w:eastAsia="Times New Roman" w:hAnsi="Times New Roman" w:cs="Times New Roman"/>
          <w:color w:val="000000"/>
          <w:sz w:val="24"/>
          <w:szCs w:val="24"/>
        </w:rPr>
        <w:t>= 2000 / V</w:t>
      </w:r>
      <w:r>
        <w:rPr>
          <w:rFonts w:ascii="Times New Roman" w:eastAsia="Times New Roman" w:hAnsi="Times New Roman" w:cs="Times New Roman"/>
          <w:color w:val="000000"/>
          <w:sz w:val="24"/>
          <w:szCs w:val="24"/>
          <w:vertAlign w:val="subscript"/>
        </w:rPr>
        <w:t>р</w:t>
      </w:r>
      <w:r>
        <w:rPr>
          <w:rFonts w:ascii="Times New Roman" w:eastAsia="Times New Roman" w:hAnsi="Times New Roman" w:cs="Times New Roman"/>
          <w:color w:val="000000"/>
          <w:sz w:val="24"/>
          <w:szCs w:val="24"/>
        </w:rPr>
        <w:t>, де V</w:t>
      </w:r>
      <w:r>
        <w:rPr>
          <w:rFonts w:ascii="Times New Roman" w:eastAsia="Times New Roman" w:hAnsi="Times New Roman" w:cs="Times New Roman"/>
          <w:color w:val="000000"/>
          <w:sz w:val="24"/>
          <w:szCs w:val="24"/>
          <w:vertAlign w:val="subscript"/>
        </w:rPr>
        <w:t>р </w:t>
      </w:r>
      <w:r>
        <w:rPr>
          <w:rFonts w:ascii="Times New Roman" w:eastAsia="Times New Roman" w:hAnsi="Times New Roman" w:cs="Times New Roman"/>
          <w:color w:val="000000"/>
          <w:sz w:val="24"/>
          <w:szCs w:val="24"/>
        </w:rPr>
        <w:t>- робочий об'єм двигуна у кубічних сантиметрах.</w:t>
      </w:r>
    </w:p>
    <w:p w14:paraId="5FD0222D" w14:textId="77777777" w:rsidR="00C82386" w:rsidRDefault="00E66F64" w:rsidP="00CE13D9">
      <w:pPr>
        <w:pBdr>
          <w:top w:val="nil"/>
          <w:left w:val="nil"/>
          <w:bottom w:val="nil"/>
          <w:right w:val="nil"/>
          <w:between w:val="nil"/>
        </w:pBdr>
        <w:shd w:val="clear" w:color="auto" w:fill="FFFFFF"/>
        <w:spacing w:before="105" w:after="135"/>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4"/>
          <w:szCs w:val="24"/>
        </w:rPr>
        <w:t>Примітка 2. </w:t>
      </w:r>
      <w:r>
        <w:rPr>
          <w:rFonts w:ascii="Times New Roman" w:eastAsia="Times New Roman" w:hAnsi="Times New Roman" w:cs="Times New Roman"/>
          <w:color w:val="000000"/>
          <w:sz w:val="24"/>
          <w:szCs w:val="24"/>
        </w:rPr>
        <w:t>Обґрунтованість використання надбавки на осушення повітря у салоні визначається безпосередньо керівництвом підприємства залежно від фактичних потреб, що визначаються умовами експлуатації та рекомендаціями заводу - виробника автомобіля, наприклад, у разі потреби, швидкого і ефективного очищення скла від конденсату (запітніле скло) в умовах підвищеної вологості повітря навколишнього середовища тощо.</w:t>
      </w:r>
      <w:r>
        <w:br w:type="page"/>
      </w:r>
    </w:p>
    <w:p w14:paraId="4EBC1195" w14:textId="77777777" w:rsidR="00C82386"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10" w:name="_heading=h.2y3w247" w:colFirst="0" w:colLast="0"/>
      <w:bookmarkEnd w:id="110"/>
      <w:r>
        <w:rPr>
          <w:rFonts w:ascii="Times New Roman" w:eastAsia="Times New Roman" w:hAnsi="Times New Roman" w:cs="Times New Roman"/>
          <w:b/>
          <w:color w:val="000000"/>
          <w:sz w:val="24"/>
          <w:szCs w:val="24"/>
        </w:rPr>
        <w:lastRenderedPageBreak/>
        <w:t xml:space="preserve">ДОДАТОК 2. </w:t>
      </w:r>
      <w:r>
        <w:rPr>
          <w:rFonts w:ascii="Times New Roman" w:eastAsia="Times New Roman" w:hAnsi="Times New Roman" w:cs="Times New Roman"/>
          <w:b/>
          <w:color w:val="000000"/>
          <w:sz w:val="24"/>
          <w:szCs w:val="24"/>
        </w:rPr>
        <w:br/>
        <w:t>Оцінка ризиків та вразливості до змін клімату Житомирської міської громади</w:t>
      </w:r>
    </w:p>
    <w:p w14:paraId="1FFB56ED" w14:textId="77777777" w:rsidR="00C82386" w:rsidRDefault="00E66F64">
      <w:pPr>
        <w:keepNext/>
        <w:keepLines/>
        <w:pBdr>
          <w:top w:val="nil"/>
          <w:left w:val="nil"/>
          <w:bottom w:val="nil"/>
          <w:right w:val="nil"/>
          <w:between w:val="nil"/>
        </w:pBdr>
        <w:spacing w:before="200" w:after="0"/>
        <w:ind w:left="60"/>
        <w:rPr>
          <w:rFonts w:ascii="Times New Roman" w:eastAsia="Times New Roman" w:hAnsi="Times New Roman" w:cs="Times New Roman"/>
          <w:b/>
          <w:color w:val="000000"/>
          <w:sz w:val="24"/>
          <w:szCs w:val="24"/>
        </w:rPr>
      </w:pPr>
      <w:bookmarkStart w:id="111" w:name="_heading=h.1d96cc0" w:colFirst="0" w:colLast="0"/>
      <w:bookmarkEnd w:id="111"/>
      <w:r>
        <w:rPr>
          <w:rFonts w:ascii="Times New Roman" w:eastAsia="Times New Roman" w:hAnsi="Times New Roman" w:cs="Times New Roman"/>
          <w:b/>
          <w:color w:val="000000"/>
          <w:sz w:val="24"/>
          <w:szCs w:val="24"/>
        </w:rPr>
        <w:t xml:space="preserve">Д2.1 Методика дослідження </w:t>
      </w:r>
    </w:p>
    <w:p w14:paraId="084274C1"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Прояви зміни клімату вже простежуються не тільки в глобальному масштабі, а й на локальному рівні окремих громад чи міст. </w:t>
      </w:r>
    </w:p>
    <w:p w14:paraId="7885BB7E"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Зміни стають все більш помітними у повсякденному житті і перейшли з площини суто наукових досліджень у практичну площину оцінки того, як можна уповільнити зміну клімату, та що робити для зменшення рівня її впливу. Оцінка вразливості громади до зміни клімату вже має суттєве соціально-економічне значення.</w:t>
      </w:r>
    </w:p>
    <w:p w14:paraId="3D76D77F"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Визначним поняттям оцінки вразливості громади є її адаптаційний потенціал, тобто здатність громади пристосовуватися до умов, що постійно змінюються без суттєвої втрати своїх властивостей (у випадку міста/громади – без значних втрат для комфортного проживання та розвитку). </w:t>
      </w:r>
    </w:p>
    <w:p w14:paraId="1335ED6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Під час проведення оцінки вразливості аналізуються конкретні сектори, напрямки, групи населення, що зазнають або можуть зазнавати суттєвих впливів найбільших ризиків, які спричинені зміною клімату. </w:t>
      </w:r>
    </w:p>
    <w:p w14:paraId="16E0EF6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Оцінка вразливості також виявляє потенційно можливі загрози, вірогідність їх виникнення та окреслює напрямок усунення ризиків чи зниження їх впливу. </w:t>
      </w:r>
    </w:p>
    <w:p w14:paraId="4E4CB5E8"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Угода Мерів щодо клімату і енергії виділяє наступні типові кліматичні загрози: </w:t>
      </w:r>
    </w:p>
    <w:p w14:paraId="6FEB524E"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w:t>
      </w:r>
    </w:p>
    <w:p w14:paraId="31C1700D"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Екстремальний холод.</w:t>
      </w:r>
    </w:p>
    <w:p w14:paraId="64F463FC"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w:t>
      </w:r>
    </w:p>
    <w:p w14:paraId="0EAC9C68"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Повені.</w:t>
      </w:r>
    </w:p>
    <w:p w14:paraId="0EF8FDCD"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рівня моря.</w:t>
      </w:r>
    </w:p>
    <w:p w14:paraId="012D67E9"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Засухи.</w:t>
      </w:r>
    </w:p>
    <w:p w14:paraId="45F7FF3B"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Шторми. </w:t>
      </w:r>
    </w:p>
    <w:p w14:paraId="56074D01"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Зсуви.</w:t>
      </w:r>
    </w:p>
    <w:p w14:paraId="71220B1C" w14:textId="77777777" w:rsidR="00C82386" w:rsidRDefault="00E66F64">
      <w:pPr>
        <w:numPr>
          <w:ilvl w:val="0"/>
          <w:numId w:val="74"/>
        </w:numPr>
        <w:pBdr>
          <w:top w:val="nil"/>
          <w:left w:val="nil"/>
          <w:bottom w:val="nil"/>
          <w:right w:val="nil"/>
          <w:between w:val="nil"/>
        </w:pBdr>
        <w:spacing w:after="0" w:line="259"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Лісові пожежі.</w:t>
      </w:r>
    </w:p>
    <w:p w14:paraId="421112A7"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Водночас кожна окрема екосистема може виокремлювати і інші кліматичні загрози, які є властивими для неї. Міста, як правило, мають свої специфічні особливості, що можуть значно впливати на можливі наслідки зміни клімату. Це викликано скупченням населення та промислових об’єктів на відносно невеликій території. Тому в умовах міста, коли природні фактори жорстко підпорядковані інфраструктурним, важливою задачею є виявлення найбільш вразливих елементів міської інфраструктури.</w:t>
      </w:r>
    </w:p>
    <w:p w14:paraId="240576A6"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Враховуючи вищенаведене, під час проведення оцінки вразливості необхідно враховувати загрози для інфраструктури міста, що можуть мати вплив на забезпеченість сталого та комфортного життя мешканців: здоров’я мешканців, водо- та енерго- постачання, якість води, стан будівель тощо.</w:t>
      </w:r>
    </w:p>
    <w:p w14:paraId="00A579F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основі оцінки вразливості громада розробляє чіткий план адаптаційних заходів до зміни клімату. Угода мерів щодо клімату та енергії рекомендує наступний цикл впровадження адаптаційних заходів:</w:t>
      </w:r>
    </w:p>
    <w:p w14:paraId="6744293B" w14:textId="77777777" w:rsidR="00C82386" w:rsidRDefault="00E66F64">
      <w:pPr>
        <w:numPr>
          <w:ilvl w:val="0"/>
          <w:numId w:val="72"/>
        </w:numPr>
        <w:pBdr>
          <w:top w:val="nil"/>
          <w:left w:val="nil"/>
          <w:bottom w:val="nil"/>
          <w:right w:val="nil"/>
          <w:between w:val="nil"/>
        </w:pBdr>
        <w:spacing w:after="0" w:line="259" w:lineRule="auto"/>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Підготовка основи для адаптації: збір даних, опитування.</w:t>
      </w:r>
    </w:p>
    <w:p w14:paraId="3CEEA0FD" w14:textId="77777777" w:rsidR="00C82386" w:rsidRDefault="00E66F64">
      <w:pPr>
        <w:numPr>
          <w:ilvl w:val="0"/>
          <w:numId w:val="72"/>
        </w:numPr>
        <w:pBdr>
          <w:top w:val="nil"/>
          <w:left w:val="nil"/>
          <w:bottom w:val="nil"/>
          <w:right w:val="nil"/>
          <w:between w:val="nil"/>
        </w:pBdr>
        <w:spacing w:after="0" w:line="259" w:lineRule="auto"/>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Оцінка ризиків та вразливостей до зміни клімату.</w:t>
      </w:r>
    </w:p>
    <w:p w14:paraId="29A2E613" w14:textId="77777777" w:rsidR="00C82386" w:rsidRDefault="00E66F64">
      <w:pPr>
        <w:numPr>
          <w:ilvl w:val="0"/>
          <w:numId w:val="72"/>
        </w:numPr>
        <w:pBdr>
          <w:top w:val="nil"/>
          <w:left w:val="nil"/>
          <w:bottom w:val="nil"/>
          <w:right w:val="nil"/>
          <w:between w:val="nil"/>
        </w:pBdr>
        <w:spacing w:after="0" w:line="259" w:lineRule="auto"/>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Оцінка і відбір варіантів для адаптації.</w:t>
      </w:r>
    </w:p>
    <w:p w14:paraId="69612A69" w14:textId="77777777" w:rsidR="00C82386" w:rsidRDefault="00E66F64">
      <w:pPr>
        <w:numPr>
          <w:ilvl w:val="0"/>
          <w:numId w:val="72"/>
        </w:numPr>
        <w:pBdr>
          <w:top w:val="nil"/>
          <w:left w:val="nil"/>
          <w:bottom w:val="nil"/>
          <w:right w:val="nil"/>
          <w:between w:val="nil"/>
        </w:pBdr>
        <w:spacing w:after="0" w:line="259" w:lineRule="auto"/>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w:t>
      </w:r>
    </w:p>
    <w:p w14:paraId="4FA4F13C" w14:textId="77777777" w:rsidR="00C82386" w:rsidRDefault="00E66F64">
      <w:pPr>
        <w:numPr>
          <w:ilvl w:val="0"/>
          <w:numId w:val="72"/>
        </w:numPr>
        <w:pBdr>
          <w:top w:val="nil"/>
          <w:left w:val="nil"/>
          <w:bottom w:val="nil"/>
          <w:right w:val="nil"/>
          <w:between w:val="nil"/>
        </w:pBdr>
        <w:spacing w:after="0" w:line="259" w:lineRule="auto"/>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Моніторинг та оцінка.</w:t>
      </w:r>
    </w:p>
    <w:p w14:paraId="05C764A4" w14:textId="77777777" w:rsidR="00C82386" w:rsidRDefault="00E66F64">
      <w:pPr>
        <w:spacing w:before="24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момент розробки документу існувало декілька варіацій методик оцінки вразливості міст чи громад, проте усі проаналізовані методики містять рекомендацію щодо обов’язкового врахування думки мешканців громади.</w:t>
      </w:r>
    </w:p>
    <w:p w14:paraId="4D6C92E3"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Опитування мешканців грає важливу роль як у визначенні вразливостей до зміни клімату, так і для розробки заходів з адаптації, оскільки лише розуміння та готовність населення їх впроваджувати визначає успішність їх реалізації. </w:t>
      </w:r>
    </w:p>
    <w:p w14:paraId="594BE7DA" w14:textId="77777777" w:rsidR="00C82386" w:rsidRDefault="00E66F64">
      <w:pPr>
        <w:ind w:firstLine="709"/>
        <w:jc w:val="both"/>
      </w:pPr>
      <w:r>
        <w:rPr>
          <w:rFonts w:ascii="Times New Roman" w:eastAsia="Times New Roman" w:hAnsi="Times New Roman" w:cs="Times New Roman"/>
          <w:color w:val="000000"/>
          <w:sz w:val="24"/>
          <w:szCs w:val="24"/>
        </w:rPr>
        <w:t>Опитування мешканців Житомирської міської територіальної громади було проведене в серпні-вересні 2020 року та 2024 року і мало на меті дізнатися як жителі оцінюють вплив зміни клімату на їх життя та наскільки інфраструктура громади готова до таких викликів. У 2024 році прийняло участь 185 респондентів, що на 5 респондентів більше, порівняно з 2020 роком. Склад респондентів за обидва опитування майже не змінився і становив: 72,8% і 76% - жінки, 22,8% і 22% - чоловіки, 4,4% і 3% - не повідомили (за 2020 і 2024 рік відповідно). Опитування в обох роках відбувалося он-лайн</w:t>
      </w:r>
      <w:r>
        <w:rPr>
          <w:rFonts w:ascii="Times New Roman" w:eastAsia="Times New Roman" w:hAnsi="Times New Roman" w:cs="Times New Roman"/>
          <w:color w:val="000000"/>
          <w:sz w:val="24"/>
          <w:szCs w:val="24"/>
          <w:vertAlign w:val="superscript"/>
        </w:rPr>
        <w:t>19</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 </w:t>
      </w:r>
    </w:p>
    <w:p w14:paraId="500A8AC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Під час обох опитувань більшість респондентів проживали в Житомирі довше 30 років (2020 – 50,6%, 2024 – 56 %), і 10 років (2020 – 37,8%, 2024 – 35%). Проте у 2024 році більш активно заповнювали опитувальник жителі Центру (2020 - 33%, 2024– 44%), активність жителів Богунії практично не змінилася (2020 – 12,2%, 2024 – 15%), а от Польова - зросла в два рази: (2020 – 6,1%, 2024 – 12%), решта – на території інших мікрорайонів Житомира.</w:t>
      </w:r>
    </w:p>
    <w:p w14:paraId="3F7B0CC6" w14:textId="77777777" w:rsidR="00C82386" w:rsidRDefault="00E66F64">
      <w:pPr>
        <w:ind w:firstLine="709"/>
        <w:jc w:val="both"/>
      </w:pPr>
      <w:r>
        <w:rPr>
          <w:rFonts w:ascii="Times New Roman" w:eastAsia="Times New Roman" w:hAnsi="Times New Roman" w:cs="Times New Roman"/>
          <w:color w:val="000000"/>
          <w:sz w:val="24"/>
          <w:szCs w:val="24"/>
        </w:rPr>
        <w:t xml:space="preserve">В обох опитуваннях найчисленніша вікова група, була 30-45 років (2020 – 39,4%, 2024 – 43%), на другому місці 45-65 років (2020 – 36,7%, 2024 – 33%), найменш активно взяли участь в опитуванню люди молодші 18 років та старші за 65 років. Більшість, а саме 76,1% (2020) та 71% (2024) відповідачів – мають дітей. </w:t>
      </w:r>
      <w:r>
        <w:rPr>
          <w:rFonts w:ascii="Times New Roman" w:eastAsia="Times New Roman" w:hAnsi="Times New Roman" w:cs="Times New Roman"/>
          <w:sz w:val="24"/>
          <w:szCs w:val="24"/>
        </w:rPr>
        <w:t xml:space="preserve"> </w:t>
      </w:r>
    </w:p>
    <w:p w14:paraId="6EA5D3E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Опитування 2020 року показало, що зміна клімату відмічається переважаючою більшістю (95%) респондентів, причому 67,2% відмічають значну зміну клімату. І лише 3,3% вважають, що клімат протягом останніх 10-15 років не змінився. Більшість мешканців відчувають вплив зміни клімату як на самопочуття, так і відмічають її вплив на інфраструктуру громади. </w:t>
      </w:r>
    </w:p>
    <w:p w14:paraId="6ABF4C29"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Як під час оцінки вразливості, так і під час розробки адаптаційних заходів, що викладено у відповідному розділі, враховані очікування мешканців від дій місцевої влади. </w:t>
      </w:r>
    </w:p>
    <w:p w14:paraId="47D9BBDA"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 розроблявся на основі методики, що представлена у Практичному кейсі</w:t>
      </w:r>
      <w:r>
        <w:rPr>
          <w:rFonts w:ascii="Times New Roman" w:eastAsia="Times New Roman" w:hAnsi="Times New Roman" w:cs="Times New Roman"/>
          <w:sz w:val="24"/>
          <w:szCs w:val="24"/>
          <w:vertAlign w:val="superscript"/>
        </w:rPr>
        <w:footnoteReference w:id="35"/>
      </w:r>
      <w:r>
        <w:rPr>
          <w:rFonts w:ascii="Times New Roman" w:eastAsia="Times New Roman" w:hAnsi="Times New Roman" w:cs="Times New Roman"/>
          <w:sz w:val="24"/>
          <w:szCs w:val="24"/>
        </w:rPr>
        <w:t xml:space="preserve"> з визначення вразливості населеного пункту до зміни клімату (рекомендована Угодою </w:t>
      </w:r>
      <w:r>
        <w:rPr>
          <w:rFonts w:ascii="Times New Roman" w:eastAsia="Times New Roman" w:hAnsi="Times New Roman" w:cs="Times New Roman"/>
          <w:sz w:val="24"/>
          <w:szCs w:val="24"/>
        </w:rPr>
        <w:lastRenderedPageBreak/>
        <w:t xml:space="preserve">мерів щодо </w:t>
      </w:r>
      <w:r w:rsidRPr="00C0544D">
        <w:rPr>
          <w:rFonts w:ascii="Times New Roman" w:eastAsia="Times New Roman" w:hAnsi="Times New Roman" w:cs="Times New Roman"/>
          <w:sz w:val="24"/>
          <w:szCs w:val="24"/>
        </w:rPr>
        <w:t>клімату та енергії) та з використанням кліматичного аналізу Шевченко О. (докторки географічних наук, доцентки кафедри метеорології та кліматології КНУ ім. Т. Шевченко).</w:t>
      </w:r>
    </w:p>
    <w:p w14:paraId="070876CF"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оцінки впливу зміни клімату на окремі сектори життєдіяльності громади та виявлення найбільш вразливих груп населення була проведена оцінка у відповідності до «How to develop a Sustainable Energy and Climate Action Plan in the Eastern Partnership Countries»</w:t>
      </w:r>
      <w:r>
        <w:rPr>
          <w:rFonts w:ascii="Times New Roman" w:eastAsia="Times New Roman" w:hAnsi="Times New Roman" w:cs="Times New Roman"/>
          <w:sz w:val="24"/>
          <w:szCs w:val="24"/>
          <w:vertAlign w:val="superscript"/>
        </w:rPr>
        <w:footnoteReference w:id="36"/>
      </w:r>
      <w:r>
        <w:rPr>
          <w:rFonts w:ascii="Times New Roman" w:eastAsia="Times New Roman" w:hAnsi="Times New Roman" w:cs="Times New Roman"/>
          <w:sz w:val="24"/>
          <w:szCs w:val="24"/>
        </w:rPr>
        <w:t>. Ця оцінка базується на основі показників та добре себе зарекомендувала для середніх міст, оскільки не потребує використання дороговартісного комп’ютерного моделювання та може ґрунтуватися на наявних даних</w:t>
      </w:r>
      <w:r>
        <w:rPr>
          <w:rFonts w:ascii="Times New Roman" w:eastAsia="Times New Roman" w:hAnsi="Times New Roman" w:cs="Times New Roman"/>
          <w:sz w:val="24"/>
          <w:szCs w:val="24"/>
          <w:vertAlign w:val="superscript"/>
        </w:rPr>
        <w:footnoteReference w:id="37"/>
      </w:r>
      <w:r>
        <w:rPr>
          <w:rFonts w:ascii="Times New Roman" w:eastAsia="Times New Roman" w:hAnsi="Times New Roman" w:cs="Times New Roman"/>
          <w:sz w:val="24"/>
          <w:szCs w:val="24"/>
        </w:rPr>
        <w:t xml:space="preserve">. </w:t>
      </w:r>
    </w:p>
    <w:p w14:paraId="6AC2AA27"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того, щоб визначити до яких саме проявів зміни клімату Житомирська міська громада є найбільш вразливою та які саме першочергові заходи з адаптації необхідно розробляти, потрібно визначити ризики пов’язані зі зміною клімату, рівень чутливості до ризиків та потенціал до адаптації.</w:t>
      </w:r>
    </w:p>
    <w:p w14:paraId="49069AE5"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цього необхідно врахувати наступні параметри: </w:t>
      </w:r>
    </w:p>
    <w:p w14:paraId="1D711F48" w14:textId="77777777" w:rsidR="00C82386" w:rsidRDefault="00E66F64">
      <w:pPr>
        <w:numPr>
          <w:ilvl w:val="0"/>
          <w:numId w:val="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дія впливу (періодичність виникнення ризику, наприклад: 1-2 рази в 10 років);</w:t>
      </w:r>
    </w:p>
    <w:p w14:paraId="17C9C9B3" w14:textId="77777777" w:rsidR="00C82386" w:rsidRDefault="00E66F64">
      <w:pPr>
        <w:numPr>
          <w:ilvl w:val="0"/>
          <w:numId w:val="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рівень чутливості до ризиків, пов’язаних зі зміною клімату (наприклад: протягом останніх 10 років були випадки затоплення перших поверхів);</w:t>
      </w:r>
    </w:p>
    <w:p w14:paraId="334BA8E0" w14:textId="77777777" w:rsidR="00C82386" w:rsidRDefault="00E66F64">
      <w:pPr>
        <w:numPr>
          <w:ilvl w:val="0"/>
          <w:numId w:val="3"/>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потенціал адаптації  (наприклад: існує недостатньо потужна система зливової каналізації, яка не обслуговується належним чином та якої недостатньо для існуючої інфраструктури);</w:t>
      </w:r>
    </w:p>
    <w:p w14:paraId="789A72D6" w14:textId="77777777" w:rsidR="00C82386" w:rsidRDefault="00E66F64">
      <w:pPr>
        <w:numPr>
          <w:ilvl w:val="0"/>
          <w:numId w:val="3"/>
        </w:numPr>
        <w:pBdr>
          <w:top w:val="nil"/>
          <w:left w:val="nil"/>
          <w:bottom w:val="nil"/>
          <w:right w:val="nil"/>
          <w:between w:val="nil"/>
        </w:pBdr>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ризики, що розглядаються: екстремальна спека; екстремальний холод; екстремальні опади; повені; підвищення рівня моря/річки; посуха; урагани/сильні вітри; лісові пожежі. </w:t>
      </w:r>
    </w:p>
    <w:p w14:paraId="5834774C"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Окрім кліматичних ризиків, що рекомендуються Угодою мерів, було введено кілька ризиків, які є притаманними цій громаді. Оцінка проводиться для наступних кліматичних ризиків: </w:t>
      </w:r>
    </w:p>
    <w:p w14:paraId="6FD18CAD"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w:t>
      </w:r>
    </w:p>
    <w:p w14:paraId="550EC288"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екстремальний холод;</w:t>
      </w:r>
    </w:p>
    <w:p w14:paraId="3249B4A6"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 зливи, снігопади, град;</w:t>
      </w:r>
    </w:p>
    <w:p w14:paraId="50A40498"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рівня води;</w:t>
      </w:r>
    </w:p>
    <w:p w14:paraId="3F510F37"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посуха;</w:t>
      </w:r>
    </w:p>
    <w:p w14:paraId="23C17C36" w14:textId="77777777" w:rsidR="00C82386" w:rsidRDefault="00E66F64">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пожежі низові;</w:t>
      </w:r>
    </w:p>
    <w:p w14:paraId="50C6E52E" w14:textId="77777777" w:rsidR="00C82386" w:rsidRDefault="00E66F64">
      <w:pPr>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інфекційні захворювання та алергічні прояви;</w:t>
      </w:r>
    </w:p>
    <w:p w14:paraId="7952ED13" w14:textId="77777777" w:rsidR="00C82386" w:rsidRDefault="00C82386">
      <w:pPr>
        <w:pBdr>
          <w:top w:val="nil"/>
          <w:left w:val="nil"/>
          <w:bottom w:val="nil"/>
          <w:right w:val="nil"/>
          <w:between w:val="nil"/>
        </w:pBdr>
        <w:ind w:left="720"/>
        <w:jc w:val="both"/>
        <w:rPr>
          <w:rFonts w:ascii="Times New Roman" w:eastAsia="Times New Roman" w:hAnsi="Times New Roman" w:cs="Times New Roman"/>
          <w:color w:val="000000"/>
          <w:sz w:val="24"/>
          <w:szCs w:val="24"/>
        </w:rPr>
      </w:pPr>
    </w:p>
    <w:p w14:paraId="7D5DEA29" w14:textId="77777777" w:rsidR="00C82386" w:rsidRDefault="00E66F64">
      <w:pPr>
        <w:keepNext/>
        <w:keepLines/>
        <w:pBdr>
          <w:top w:val="nil"/>
          <w:left w:val="nil"/>
          <w:bottom w:val="nil"/>
          <w:right w:val="nil"/>
          <w:between w:val="nil"/>
        </w:pBdr>
        <w:spacing w:after="0"/>
        <w:ind w:left="60"/>
        <w:rPr>
          <w:rFonts w:ascii="Times New Roman" w:eastAsia="Times New Roman" w:hAnsi="Times New Roman" w:cs="Times New Roman"/>
          <w:b/>
          <w:color w:val="000000"/>
          <w:sz w:val="24"/>
          <w:szCs w:val="24"/>
        </w:rPr>
      </w:pPr>
      <w:bookmarkStart w:id="112" w:name="_heading=h.3x8tuzt" w:colFirst="0" w:colLast="0"/>
      <w:bookmarkEnd w:id="112"/>
      <w:r>
        <w:rPr>
          <w:rFonts w:ascii="Times New Roman" w:eastAsia="Times New Roman" w:hAnsi="Times New Roman" w:cs="Times New Roman"/>
          <w:b/>
          <w:color w:val="000000"/>
          <w:sz w:val="24"/>
          <w:szCs w:val="24"/>
        </w:rPr>
        <w:lastRenderedPageBreak/>
        <w:t>Д2.2 Оцінка вразливості до зміни клімату Житомирської міської громади</w:t>
      </w:r>
    </w:p>
    <w:p w14:paraId="16ED1544"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даному розділі наведено деталізовані показники вразливості до різних кліматичних ризиків Житомирської міської територіальної громади.</w:t>
      </w:r>
    </w:p>
    <w:p w14:paraId="20559A9C" w14:textId="77777777" w:rsidR="00C82386" w:rsidRDefault="00E66F64">
      <w:pPr>
        <w:keepNext/>
        <w:keepLines/>
        <w:pBdr>
          <w:top w:val="nil"/>
          <w:left w:val="nil"/>
          <w:bottom w:val="nil"/>
          <w:right w:val="nil"/>
          <w:between w:val="nil"/>
        </w:pBdr>
        <w:spacing w:before="200" w:after="0"/>
        <w:rPr>
          <w:rFonts w:ascii="Times New Roman" w:eastAsia="Times New Roman" w:hAnsi="Times New Roman" w:cs="Times New Roman"/>
          <w:b/>
          <w:color w:val="000000"/>
          <w:sz w:val="24"/>
          <w:szCs w:val="24"/>
        </w:rPr>
      </w:pPr>
      <w:bookmarkStart w:id="113" w:name="_heading=h.2ce457m" w:colFirst="0" w:colLast="0"/>
      <w:bookmarkEnd w:id="113"/>
      <w:r>
        <w:rPr>
          <w:rFonts w:ascii="Times New Roman" w:eastAsia="Times New Roman" w:hAnsi="Times New Roman" w:cs="Times New Roman"/>
          <w:b/>
          <w:color w:val="000000"/>
          <w:sz w:val="24"/>
          <w:szCs w:val="24"/>
        </w:rPr>
        <w:t>Д2.2.1 Оцінка вразливості до екстремальної спеки</w:t>
      </w:r>
    </w:p>
    <w:p w14:paraId="0F192266"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Зростання температури повітря на Житомирщині в останні роки відбувається швидкими темпами та відбувається в усі сезони та місяці року. У Житомирській області зменшується кількість днів з морозом та спостерігається тенденція до зменшення суворості зими. У теплий період зростає кількість днів з температурами понад +20°С та понад +25°С. Також фіксується і прогнозується зростання хвиль тепла – атмосферного явища, що проявляється у вигляді аномально теплої погоди на значній території. Деталізований опис кліматичних передумов та прогноз впливу зміни клімату на території Житомирської міської громади детально описані у Пункті 2.3. </w:t>
      </w:r>
    </w:p>
    <w:p w14:paraId="524960B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Проте для наочності наведемо графіки середньорічної температури за даними спостереження в м. Житомир Гідрометеослужби України з 1945 року по 2020, який підтверджує тенденцію до зростання температури в м. Житомир. </w:t>
      </w:r>
    </w:p>
    <w:p w14:paraId="64105F7D" w14:textId="77777777" w:rsidR="00C82386" w:rsidRDefault="00E66F64">
      <w:pPr>
        <w:jc w:val="both"/>
        <w:rPr>
          <w:rFonts w:ascii="Times New Roman" w:eastAsia="Times New Roman" w:hAnsi="Times New Roman" w:cs="Times New Roman"/>
          <w:sz w:val="24"/>
          <w:szCs w:val="24"/>
        </w:rPr>
      </w:pPr>
      <w:r>
        <w:rPr>
          <w:noProof/>
          <w:lang w:val="ru-RU"/>
        </w:rPr>
        <w:drawing>
          <wp:inline distT="0" distB="0" distL="0" distR="0" wp14:anchorId="3BFDF5AB" wp14:editId="18C676FE">
            <wp:extent cx="5719758" cy="2617806"/>
            <wp:effectExtent l="0" t="0" r="0" b="0"/>
            <wp:docPr id="2144252002" name="image127.png" descr="Зображення, що містить текст, Шрифт, ряд, знімок екран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7.png" descr="Зображення, що містить текст, Шрифт, ряд, знімок екрана&#10;&#10;Автоматично згенерований опис"/>
                    <pic:cNvPicPr preferRelativeResize="0"/>
                  </pic:nvPicPr>
                  <pic:blipFill>
                    <a:blip r:embed="rId211"/>
                    <a:srcRect/>
                    <a:stretch>
                      <a:fillRect/>
                    </a:stretch>
                  </pic:blipFill>
                  <pic:spPr>
                    <a:xfrm>
                      <a:off x="0" y="0"/>
                      <a:ext cx="5719758" cy="2617806"/>
                    </a:xfrm>
                    <a:prstGeom prst="rect">
                      <a:avLst/>
                    </a:prstGeom>
                    <a:ln/>
                  </pic:spPr>
                </pic:pic>
              </a:graphicData>
            </a:graphic>
          </wp:inline>
        </w:drawing>
      </w:r>
    </w:p>
    <w:p w14:paraId="632C26C9" w14:textId="77777777" w:rsidR="00C82386" w:rsidRDefault="00E66F64">
      <w:pPr>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7.1. Середньорічна температура повітря в м. Житомир за період з 1945-2020 рр.</w:t>
      </w:r>
    </w:p>
    <w:p w14:paraId="2FD8C7D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Зростання температур призводить до скорочення водних ресурсів та впливає на якість водних ресурсів, в тому числі і впливає на доступ до чистої питної води (детальніше нижче). Має вплив на зростання частоти повторюваності та інтенсивність проявів екстремальних опадів, посилення посухи, пожежонебезпеки. Все це створює додатковий значний тиск на інфраструктуру громади, яка піддається надмірному навантаженню під час спекотних періодів.</w:t>
      </w:r>
    </w:p>
    <w:p w14:paraId="2A7715EA"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Під час двох опитувань мешканців більшість респондентів відзначають недостатність елементів інфраструктури, що здатні зменшити тепловий вплив. Так лише 26,1% (2020) і 28% (2024) респондентів вважають, що дерева забезпечують достатній рівень затінку на вулицях, в той час, як 71,1% (2020) і 66% (2024) вважають, що таких ділянок мало, що вказує на те, що думка у цьому питанні майже не змінилася.</w:t>
      </w:r>
    </w:p>
    <w:p w14:paraId="35907C30" w14:textId="77777777" w:rsidR="00C82386" w:rsidRDefault="00C82386">
      <w:pPr>
        <w:ind w:firstLine="709"/>
        <w:jc w:val="both"/>
        <w:rPr>
          <w:rFonts w:ascii="Times New Roman" w:eastAsia="Times New Roman" w:hAnsi="Times New Roman" w:cs="Times New Roman"/>
          <w:sz w:val="24"/>
          <w:szCs w:val="24"/>
        </w:rPr>
      </w:pPr>
    </w:p>
    <w:p w14:paraId="02F91089" w14:textId="77777777" w:rsidR="00C82386" w:rsidRDefault="00E66F64">
      <w:pPr>
        <w:ind w:firstLine="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Зростання кількості спекотних днів, особливо у поєднання із високою відносною вологістю повітря спричинюють значний негативний вплив на здоров’я мешканців громади. Особливо цей вплив відчувають люди вразливих груп населення: із хронічними захворюваннями, люди старшого віку та діти. Аномально тривалі періоди екстремальної спеки можуть призводити до зростання випадків загострення хронічних серцево-судинних захворювань, хоча станом на 2020 рік такої вираженої динаміки не спостерігається.</w:t>
      </w:r>
      <w:r>
        <w:rPr>
          <w:noProof/>
          <w:lang w:val="ru-RU"/>
        </w:rPr>
        <mc:AlternateContent>
          <mc:Choice Requires="wps">
            <w:drawing>
              <wp:anchor distT="0" distB="0" distL="114300" distR="114300" simplePos="0" relativeHeight="251660288" behindDoc="0" locked="0" layoutInCell="1" hidden="0" allowOverlap="1" wp14:anchorId="10CFA7E6" wp14:editId="0968C9D2">
                <wp:simplePos x="0" y="0"/>
                <wp:positionH relativeFrom="column">
                  <wp:posOffset>152400</wp:posOffset>
                </wp:positionH>
                <wp:positionV relativeFrom="paragraph">
                  <wp:posOffset>1930400</wp:posOffset>
                </wp:positionV>
                <wp:extent cx="635" cy="12700"/>
                <wp:effectExtent l="0" t="0" r="0" b="0"/>
                <wp:wrapSquare wrapText="bothSides" distT="0" distB="0" distL="114300" distR="114300"/>
                <wp:docPr id="2144251949" name="Прямоугольник 2144251949"/>
                <wp:cNvGraphicFramePr/>
                <a:graphic xmlns:a="http://schemas.openxmlformats.org/drawingml/2006/main">
                  <a:graphicData uri="http://schemas.microsoft.com/office/word/2010/wordprocessingShape">
                    <wps:wsp>
                      <wps:cNvSpPr/>
                      <wps:spPr>
                        <a:xfrm>
                          <a:off x="3526725" y="3779683"/>
                          <a:ext cx="3638550" cy="635"/>
                        </a:xfrm>
                        <a:prstGeom prst="rect">
                          <a:avLst/>
                        </a:prstGeom>
                        <a:solidFill>
                          <a:srgbClr val="FFFFFF"/>
                        </a:solidFill>
                        <a:ln>
                          <a:noFill/>
                        </a:ln>
                      </wps:spPr>
                      <wps:txbx>
                        <w:txbxContent>
                          <w:p w14:paraId="23F0684A" w14:textId="77777777" w:rsidR="00BD7402" w:rsidRDefault="00BD7402">
                            <w:pPr>
                              <w:spacing w:line="275" w:lineRule="auto"/>
                              <w:textDirection w:val="btLr"/>
                            </w:pPr>
                            <w:r>
                              <w:rPr>
                                <w:rFonts w:ascii="Times New Roman" w:eastAsia="Times New Roman" w:hAnsi="Times New Roman" w:cs="Times New Roman"/>
                                <w:color w:val="000000"/>
                                <w:sz w:val="24"/>
                              </w:rPr>
                              <w:t>Рисунок 7.2. Кількість звернень зі скаргами на серцево-судинні захворювання за даними Управління охорони здоров’я Житомирської міської ради.</w:t>
                            </w:r>
                          </w:p>
                        </w:txbxContent>
                      </wps:txbx>
                      <wps:bodyPr spcFirstLastPara="1" wrap="square" lIns="0" tIns="0" rIns="0" bIns="0" anchor="t" anchorCtr="0">
                        <a:noAutofit/>
                      </wps:bodyPr>
                    </wps:wsp>
                  </a:graphicData>
                </a:graphic>
              </wp:anchor>
            </w:drawing>
          </mc:Choice>
          <mc:Fallback>
            <w:pict>
              <v:rect w14:anchorId="10CFA7E6" id="Прямоугольник 2144251949" o:spid="_x0000_s1060" style="position:absolute;left:0;text-align:left;margin-left:12pt;margin-top:152pt;width:.05pt;height: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" stroked="f">
                <v:textbox inset="0,0,0,0">
                  <w:txbxContent>
                    <w:p w14:paraId="23F0684A" w14:textId="77777777" w:rsidR="00BD7402" w:rsidRDefault="00BD7402">
                      <w:pPr>
                        <w:spacing w:line="275" w:lineRule="auto"/>
                        <w:textDirection w:val="btLr"/>
                      </w:pPr>
                      <w:r>
                        <w:rPr>
                          <w:rFonts w:ascii="Times New Roman" w:eastAsia="Times New Roman" w:hAnsi="Times New Roman" w:cs="Times New Roman"/>
                          <w:color w:val="000000"/>
                          <w:sz w:val="24"/>
                        </w:rPr>
                        <w:t>Рисунок 7.2. Кількість звернень зі скаргами на серцево-судинні захворювання за даними Управління охорони здоров’я Житомирської міської ради.</w:t>
                      </w:r>
                    </w:p>
                  </w:txbxContent>
                </v:textbox>
                <w10:wrap type="square"/>
              </v:rect>
            </w:pict>
          </mc:Fallback>
        </mc:AlternateContent>
      </w:r>
      <w:r>
        <w:rPr>
          <w:noProof/>
          <w:lang w:val="ru-RU"/>
        </w:rPr>
        <w:drawing>
          <wp:anchor distT="0" distB="0" distL="114300" distR="114300" simplePos="0" relativeHeight="251661312" behindDoc="0" locked="0" layoutInCell="1" hidden="0" allowOverlap="1" wp14:anchorId="141337A9" wp14:editId="404B14FA">
            <wp:simplePos x="0" y="0"/>
            <wp:positionH relativeFrom="column">
              <wp:posOffset>91443</wp:posOffset>
            </wp:positionH>
            <wp:positionV relativeFrom="paragraph">
              <wp:posOffset>2540</wp:posOffset>
            </wp:positionV>
            <wp:extent cx="3806825" cy="1857375"/>
            <wp:effectExtent l="0" t="0" r="0" b="0"/>
            <wp:wrapSquare wrapText="bothSides" distT="0" distB="0" distL="114300" distR="114300"/>
            <wp:docPr id="2144252008" name="image130.png" descr="Зображення, що містить Графік, ряд, схем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30.png" descr="Зображення, що містить Графік, ряд, схема&#10;&#10;Автоматично згенерований опис"/>
                    <pic:cNvPicPr preferRelativeResize="0"/>
                  </pic:nvPicPr>
                  <pic:blipFill>
                    <a:blip r:embed="rId212"/>
                    <a:srcRect/>
                    <a:stretch>
                      <a:fillRect/>
                    </a:stretch>
                  </pic:blipFill>
                  <pic:spPr>
                    <a:xfrm>
                      <a:off x="0" y="0"/>
                      <a:ext cx="3806825" cy="1857375"/>
                    </a:xfrm>
                    <a:prstGeom prst="rect">
                      <a:avLst/>
                    </a:prstGeom>
                    <a:ln/>
                  </pic:spPr>
                </pic:pic>
              </a:graphicData>
            </a:graphic>
          </wp:anchor>
        </w:drawing>
      </w:r>
    </w:p>
    <w:p w14:paraId="27FC1C1B"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Вплив екстремальної спеки на окремі елементи інфраструктури громади складно виокремити, під загрозою його впливу перебувають практично всі сектори, проте найбільш вразливими є сектори: водні ресурси, відходи, планування землекористування, сільське господарство та охорона здоров’я.</w:t>
      </w:r>
    </w:p>
    <w:p w14:paraId="0DCF0477" w14:textId="77777777" w:rsidR="00C82386" w:rsidRDefault="00C82386">
      <w:pPr>
        <w:spacing w:after="0"/>
        <w:ind w:firstLine="709"/>
        <w:jc w:val="both"/>
        <w:rPr>
          <w:rFonts w:ascii="Times New Roman" w:eastAsia="Times New Roman" w:hAnsi="Times New Roman" w:cs="Times New Roman"/>
          <w:b/>
          <w:sz w:val="24"/>
          <w:szCs w:val="24"/>
          <w:u w:val="single"/>
        </w:rPr>
      </w:pPr>
    </w:p>
    <w:p w14:paraId="59EB0CBD" w14:textId="77777777" w:rsidR="00C82386" w:rsidRDefault="00E66F64">
      <w:pPr>
        <w:spacing w:after="0"/>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 xml:space="preserve">Вплив на сектор відходів: </w:t>
      </w:r>
    </w:p>
    <w:p w14:paraId="2954A1C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Підвищення температури та періоди екстремальної спеки створюють додаткове навантаження на служби, що відповідають за утримання громади у відповідному санітарному стані. Практика поводження з відходами традиційно була в основному орієнтована на їх збір та вивезення, а не на переробку та утилізацію. Так в опитуваннях, що проводилося у серпні-вересні 2020 і 2024 року, опитуваними відзначається невідповідне реагування комунальних служб, особливо в періоди підвищення температур,  які мають забезпечувати вчасне вивезення сміття, що </w:t>
      </w:r>
      <w:r>
        <w:rPr>
          <w:rFonts w:ascii="Times New Roman" w:eastAsia="Times New Roman" w:hAnsi="Times New Roman" w:cs="Times New Roman"/>
          <w:sz w:val="24"/>
          <w:szCs w:val="24"/>
        </w:rPr>
        <w:t>спричиняє</w:t>
      </w:r>
      <w:r>
        <w:rPr>
          <w:rFonts w:ascii="Times New Roman" w:eastAsia="Times New Roman" w:hAnsi="Times New Roman" w:cs="Times New Roman"/>
          <w:color w:val="000000"/>
          <w:sz w:val="24"/>
          <w:szCs w:val="24"/>
        </w:rPr>
        <w:t xml:space="preserve"> його накопичення та дискомфорт мешканців: кількість тих, хто постійно відчувають сморід зменшилася (66,1% - 2020, 54% - 2024), а кількість тих, кому відомо про такі випадки майже не змінилася (30% - 2020, 35% - 2024). Також тих, хто знає, що кількість комах/гризунів зростає, збільшилася вдвічі (23,9% - 2020, 45% - 2024), а тих хто прямо стикнулися з цим зменшилася (44,4% - 2020, 36% - 2024).</w:t>
      </w:r>
    </w:p>
    <w:p w14:paraId="2ECE1C97" w14:textId="77777777" w:rsidR="00C82386" w:rsidRDefault="00C82386">
      <w:pPr>
        <w:ind w:firstLine="709"/>
        <w:jc w:val="both"/>
        <w:rPr>
          <w:rFonts w:ascii="Times New Roman" w:eastAsia="Times New Roman" w:hAnsi="Times New Roman" w:cs="Times New Roman"/>
          <w:sz w:val="24"/>
          <w:szCs w:val="24"/>
        </w:rPr>
      </w:pPr>
    </w:p>
    <w:p w14:paraId="342B9E87" w14:textId="77777777" w:rsidR="00C82386" w:rsidRDefault="00E66F64">
      <w:pPr>
        <w:jc w:val="both"/>
      </w:pPr>
      <w:r>
        <w:rPr>
          <w:noProof/>
          <w:lang w:val="ru-RU"/>
        </w:rPr>
        <w:lastRenderedPageBreak/>
        <w:drawing>
          <wp:inline distT="0" distB="0" distL="0" distR="0" wp14:anchorId="1B7098B5" wp14:editId="499F2215">
            <wp:extent cx="5943600" cy="3533775"/>
            <wp:effectExtent l="0" t="0" r="0" b="0"/>
            <wp:docPr id="2144252003"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213"/>
                    <a:srcRect/>
                    <a:stretch>
                      <a:fillRect/>
                    </a:stretch>
                  </pic:blipFill>
                  <pic:spPr>
                    <a:xfrm>
                      <a:off x="0" y="0"/>
                      <a:ext cx="5943600" cy="3533775"/>
                    </a:xfrm>
                    <a:prstGeom prst="rect">
                      <a:avLst/>
                    </a:prstGeom>
                    <a:ln/>
                  </pic:spPr>
                </pic:pic>
              </a:graphicData>
            </a:graphic>
          </wp:inline>
        </w:drawing>
      </w:r>
    </w:p>
    <w:p w14:paraId="086D7A70" w14:textId="77777777" w:rsidR="00C82386" w:rsidRDefault="00E66F64">
      <w:pPr>
        <w:jc w:val="both"/>
        <w:rPr>
          <w:rFonts w:ascii="Times New Roman" w:eastAsia="Times New Roman" w:hAnsi="Times New Roman" w:cs="Times New Roman"/>
          <w:sz w:val="24"/>
          <w:szCs w:val="24"/>
        </w:rPr>
      </w:pPr>
      <w:r>
        <w:rPr>
          <w:noProof/>
          <w:lang w:val="ru-RU"/>
        </w:rPr>
        <w:drawing>
          <wp:inline distT="0" distB="0" distL="0" distR="0" wp14:anchorId="78EB60A8" wp14:editId="78E815D9">
            <wp:extent cx="5943600" cy="3305175"/>
            <wp:effectExtent l="0" t="0" r="0" b="0"/>
            <wp:docPr id="2144251999"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14"/>
                    <a:srcRect/>
                    <a:stretch>
                      <a:fillRect/>
                    </a:stretch>
                  </pic:blipFill>
                  <pic:spPr>
                    <a:xfrm>
                      <a:off x="0" y="0"/>
                      <a:ext cx="5943600" cy="3305175"/>
                    </a:xfrm>
                    <a:prstGeom prst="rect">
                      <a:avLst/>
                    </a:prstGeom>
                    <a:ln/>
                  </pic:spPr>
                </pic:pic>
              </a:graphicData>
            </a:graphic>
          </wp:inline>
        </w:drawing>
      </w:r>
      <w:r>
        <w:rPr>
          <w:rFonts w:ascii="Times New Roman" w:eastAsia="Times New Roman" w:hAnsi="Times New Roman" w:cs="Times New Roman"/>
          <w:sz w:val="24"/>
          <w:szCs w:val="24"/>
        </w:rPr>
        <w:t>Рисунок 7.3. Гістограми-порівняння за результатами опитування мешканців м. Житомир щодо відчуття смороду від смітників та зростання кількості гризунів/комах, станом на серпень-вересень 2020 і 2024 років.</w:t>
      </w:r>
    </w:p>
    <w:p w14:paraId="6AFEC28C"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Проте з жовтня 2020 року вивіз твердих побутових відходів здійснює ТОВ «Ґрін Бін Україна» на більшості території міста Житомир. Підприємство використовує сучасні контейнери та поступово облаштовує прибудинкові контейнерні майданчики під накриттям. Це сприяє поступовому вирішенню проблеми із застарілими контейнерами для збору сміття і техніки, що обслуговує його вивезення (70-80% сміттєвозів). Проблемним </w:t>
      </w:r>
      <w:r>
        <w:rPr>
          <w:rFonts w:ascii="Times New Roman" w:eastAsia="Times New Roman" w:hAnsi="Times New Roman" w:cs="Times New Roman"/>
          <w:sz w:val="24"/>
          <w:szCs w:val="24"/>
        </w:rPr>
        <w:lastRenderedPageBreak/>
        <w:t>питанням залишається організація майданчиків для збору ТПВ в секторі приватної забудови</w:t>
      </w:r>
      <w:r>
        <w:rPr>
          <w:rFonts w:ascii="Times New Roman" w:eastAsia="Times New Roman" w:hAnsi="Times New Roman" w:cs="Times New Roman"/>
          <w:sz w:val="24"/>
          <w:szCs w:val="24"/>
          <w:vertAlign w:val="superscript"/>
        </w:rPr>
        <w:footnoteReference w:id="38"/>
      </w:r>
      <w:r>
        <w:rPr>
          <w:rFonts w:ascii="Times New Roman" w:eastAsia="Times New Roman" w:hAnsi="Times New Roman" w:cs="Times New Roman"/>
          <w:sz w:val="24"/>
          <w:szCs w:val="24"/>
        </w:rPr>
        <w:t>.</w:t>
      </w:r>
    </w:p>
    <w:p w14:paraId="4A7A66FA"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Роздільне сортування сміття знаходиться на початковому етапу розвитку, хоча з 2016 року реалізується проект «Житомир не смітник!», в рамках першого етапу якого, у 2017 році було встановлено 190 якісних великогабаритних металевих контейнерів для збору пластику, скла, паперу, металу</w:t>
      </w:r>
      <w:r>
        <w:rPr>
          <w:rFonts w:ascii="Times New Roman" w:eastAsia="Times New Roman" w:hAnsi="Times New Roman" w:cs="Times New Roman"/>
          <w:sz w:val="24"/>
          <w:szCs w:val="24"/>
          <w:vertAlign w:val="superscript"/>
        </w:rPr>
        <w:footnoteReference w:id="39"/>
      </w:r>
      <w:r>
        <w:rPr>
          <w:rFonts w:ascii="Times New Roman" w:eastAsia="Times New Roman" w:hAnsi="Times New Roman" w:cs="Times New Roman"/>
          <w:sz w:val="24"/>
          <w:szCs w:val="24"/>
        </w:rPr>
        <w:t xml:space="preserve">.   </w:t>
      </w:r>
    </w:p>
    <w:p w14:paraId="54CD50DF" w14:textId="77777777" w:rsidR="00C82386" w:rsidRDefault="00E66F64">
      <w:pPr>
        <w:jc w:val="both"/>
        <w:rPr>
          <w:rFonts w:ascii="Times New Roman" w:eastAsia="Times New Roman" w:hAnsi="Times New Roman" w:cs="Times New Roman"/>
          <w:sz w:val="24"/>
          <w:szCs w:val="24"/>
        </w:rPr>
      </w:pPr>
      <w:r>
        <w:t xml:space="preserve"> </w:t>
      </w:r>
      <w:r>
        <w:rPr>
          <w:rFonts w:ascii="Times New Roman" w:eastAsia="Times New Roman" w:hAnsi="Times New Roman" w:cs="Times New Roman"/>
          <w:sz w:val="24"/>
          <w:szCs w:val="24"/>
        </w:rPr>
        <w:t xml:space="preserve">Також розвиваються і пункти прийому вторинної сировини, так на  всеукраїнській мапі сортування сміття </w:t>
      </w:r>
      <w:hyperlink r:id="rId215">
        <w:r>
          <w:rPr>
            <w:rFonts w:ascii="Times New Roman" w:eastAsia="Times New Roman" w:hAnsi="Times New Roman" w:cs="Times New Roman"/>
            <w:color w:val="000000"/>
            <w:sz w:val="24"/>
            <w:szCs w:val="24"/>
            <w:u w:val="single"/>
          </w:rPr>
          <w:t>https://recyclingpoints.org/</w:t>
        </w:r>
      </w:hyperlink>
      <w:r>
        <w:rPr>
          <w:rFonts w:ascii="Times New Roman" w:eastAsia="Times New Roman" w:hAnsi="Times New Roman" w:cs="Times New Roman"/>
          <w:sz w:val="24"/>
          <w:szCs w:val="24"/>
        </w:rPr>
        <w:t xml:space="preserve"> відзначено біля 30 пунктів на які можна здати сміття для сортування. </w:t>
      </w:r>
      <w:r>
        <w:rPr>
          <w:noProof/>
          <w:lang w:val="ru-RU"/>
        </w:rPr>
        <w:drawing>
          <wp:anchor distT="0" distB="0" distL="114300" distR="114300" simplePos="0" relativeHeight="251662336" behindDoc="0" locked="0" layoutInCell="1" hidden="0" allowOverlap="1" wp14:anchorId="7A9B19BE" wp14:editId="2B378E3A">
            <wp:simplePos x="0" y="0"/>
            <wp:positionH relativeFrom="column">
              <wp:posOffset>2</wp:posOffset>
            </wp:positionH>
            <wp:positionV relativeFrom="paragraph">
              <wp:posOffset>34290</wp:posOffset>
            </wp:positionV>
            <wp:extent cx="3930015" cy="2416175"/>
            <wp:effectExtent l="0" t="0" r="0" b="0"/>
            <wp:wrapSquare wrapText="bothSides" distT="0" distB="0" distL="114300" distR="114300"/>
            <wp:docPr id="2144251959" name="image79.png" descr="Зображення, що містить карта, текст, атлан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79.png" descr="Зображення, що містить карта, текст, атлант&#10;&#10;Автоматично згенерований опис"/>
                    <pic:cNvPicPr preferRelativeResize="0"/>
                  </pic:nvPicPr>
                  <pic:blipFill>
                    <a:blip r:embed="rId216"/>
                    <a:srcRect l="16012" t="29596"/>
                    <a:stretch>
                      <a:fillRect/>
                    </a:stretch>
                  </pic:blipFill>
                  <pic:spPr>
                    <a:xfrm>
                      <a:off x="0" y="0"/>
                      <a:ext cx="3930015" cy="2416175"/>
                    </a:xfrm>
                    <a:prstGeom prst="rect">
                      <a:avLst/>
                    </a:prstGeom>
                    <a:ln/>
                  </pic:spPr>
                </pic:pic>
              </a:graphicData>
            </a:graphic>
          </wp:anchor>
        </w:drawing>
      </w:r>
      <w:r>
        <w:rPr>
          <w:noProof/>
          <w:lang w:val="ru-RU"/>
        </w:rPr>
        <mc:AlternateContent>
          <mc:Choice Requires="wps">
            <w:drawing>
              <wp:anchor distT="0" distB="0" distL="114300" distR="114300" simplePos="0" relativeHeight="251663360" behindDoc="0" locked="0" layoutInCell="1" hidden="0" allowOverlap="1" wp14:anchorId="0D5818D2" wp14:editId="07BCEA4A">
                <wp:simplePos x="0" y="0"/>
                <wp:positionH relativeFrom="column">
                  <wp:posOffset>1</wp:posOffset>
                </wp:positionH>
                <wp:positionV relativeFrom="paragraph">
                  <wp:posOffset>2489200</wp:posOffset>
                </wp:positionV>
                <wp:extent cx="635" cy="12700"/>
                <wp:effectExtent l="0" t="0" r="0" b="0"/>
                <wp:wrapSquare wrapText="bothSides" distT="0" distB="0" distL="114300" distR="114300"/>
                <wp:docPr id="2144251947" name="Прямоугольник 2144251947"/>
                <wp:cNvGraphicFramePr/>
                <a:graphic xmlns:a="http://schemas.openxmlformats.org/drawingml/2006/main">
                  <a:graphicData uri="http://schemas.microsoft.com/office/word/2010/wordprocessingShape">
                    <wps:wsp>
                      <wps:cNvSpPr/>
                      <wps:spPr>
                        <a:xfrm>
                          <a:off x="3380993" y="3779683"/>
                          <a:ext cx="3930015" cy="635"/>
                        </a:xfrm>
                        <a:prstGeom prst="rect">
                          <a:avLst/>
                        </a:prstGeom>
                        <a:solidFill>
                          <a:srgbClr val="FFFFFF"/>
                        </a:solidFill>
                        <a:ln>
                          <a:noFill/>
                        </a:ln>
                      </wps:spPr>
                      <wps:txbx>
                        <w:txbxContent>
                          <w:p w14:paraId="4A5561CA" w14:textId="77777777" w:rsidR="00BD7402" w:rsidRDefault="00BD7402">
                            <w:pPr>
                              <w:spacing w:after="120" w:line="240" w:lineRule="auto"/>
                              <w:jc w:val="both"/>
                              <w:textDirection w:val="btLr"/>
                            </w:pPr>
                            <w:r>
                              <w:rPr>
                                <w:rFonts w:ascii="Times New Roman" w:eastAsia="Times New Roman" w:hAnsi="Times New Roman" w:cs="Times New Roman"/>
                                <w:color w:val="000000"/>
                                <w:sz w:val="24"/>
                              </w:rPr>
                              <w:t>Рисунок 7.4. Скріншот Всеукраїнської мапи сортування сміття:</w:t>
                            </w:r>
                            <w:r>
                              <w:rPr>
                                <w:rFonts w:ascii="Times New Roman" w:eastAsia="Times New Roman" w:hAnsi="Times New Roman" w:cs="Times New Roman"/>
                                <w:b/>
                                <w:color w:val="002060"/>
                                <w:sz w:val="24"/>
                              </w:rPr>
                              <w:t xml:space="preserve"> </w:t>
                            </w:r>
                            <w:r>
                              <w:rPr>
                                <w:rFonts w:ascii="Times New Roman" w:eastAsia="Times New Roman" w:hAnsi="Times New Roman" w:cs="Times New Roman"/>
                                <w:b/>
                                <w:color w:val="0000FF"/>
                                <w:sz w:val="24"/>
                                <w:u w:val="single"/>
                              </w:rPr>
                              <w:t>https://recyclingpoints.org/</w:t>
                            </w:r>
                          </w:p>
                        </w:txbxContent>
                      </wps:txbx>
                      <wps:bodyPr spcFirstLastPara="1" wrap="square" lIns="0" tIns="0" rIns="0" bIns="0" anchor="t" anchorCtr="0">
                        <a:noAutofit/>
                      </wps:bodyPr>
                    </wps:wsp>
                  </a:graphicData>
                </a:graphic>
              </wp:anchor>
            </w:drawing>
          </mc:Choice>
          <mc:Fallback>
            <w:pict>
              <v:rect w14:anchorId="0D5818D2" id="Прямоугольник 2144251947" o:spid="_x0000_s1061" style="position:absolute;left:0;text-align:left;margin-left:0;margin-top:196pt;width:.05pt;height:1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" stroked="f">
                <v:textbox inset="0,0,0,0">
                  <w:txbxContent>
                    <w:p w14:paraId="4A5561CA" w14:textId="77777777" w:rsidR="00BD7402" w:rsidRDefault="00BD7402">
                      <w:pPr>
                        <w:spacing w:after="120" w:line="240" w:lineRule="auto"/>
                        <w:jc w:val="both"/>
                        <w:textDirection w:val="btLr"/>
                      </w:pPr>
                      <w:r>
                        <w:rPr>
                          <w:rFonts w:ascii="Times New Roman" w:eastAsia="Times New Roman" w:hAnsi="Times New Roman" w:cs="Times New Roman"/>
                          <w:color w:val="000000"/>
                          <w:sz w:val="24"/>
                        </w:rPr>
                        <w:t>Рисунок 7.4. Скріншот Всеукраїнської мапи сортування сміття:</w:t>
                      </w:r>
                      <w:r>
                        <w:rPr>
                          <w:rFonts w:ascii="Times New Roman" w:eastAsia="Times New Roman" w:hAnsi="Times New Roman" w:cs="Times New Roman"/>
                          <w:b/>
                          <w:color w:val="002060"/>
                          <w:sz w:val="24"/>
                        </w:rPr>
                        <w:t xml:space="preserve"> </w:t>
                      </w:r>
                      <w:r>
                        <w:rPr>
                          <w:rFonts w:ascii="Times New Roman" w:eastAsia="Times New Roman" w:hAnsi="Times New Roman" w:cs="Times New Roman"/>
                          <w:b/>
                          <w:color w:val="0000FF"/>
                          <w:sz w:val="24"/>
                          <w:u w:val="single"/>
                        </w:rPr>
                        <w:t>https://recyclingpoints.org/</w:t>
                      </w:r>
                    </w:p>
                  </w:txbxContent>
                </v:textbox>
                <w10:wrap type="square"/>
              </v:rect>
            </w:pict>
          </mc:Fallback>
        </mc:AlternateContent>
      </w:r>
    </w:p>
    <w:p w14:paraId="63A462DC"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2021 році була затверджена Інвестиційна програма поводження з побутовими відходами по ТОВ «Ґрін Бін Україна» на 2021-2023 pp.</w:t>
      </w:r>
      <w:r>
        <w:rPr>
          <w:rFonts w:ascii="Times New Roman" w:eastAsia="Times New Roman" w:hAnsi="Times New Roman" w:cs="Times New Roman"/>
          <w:sz w:val="24"/>
          <w:szCs w:val="24"/>
          <w:vertAlign w:val="superscript"/>
        </w:rPr>
        <w:footnoteReference w:id="40"/>
      </w:r>
      <w:r>
        <w:rPr>
          <w:rFonts w:ascii="Times New Roman" w:eastAsia="Times New Roman" w:hAnsi="Times New Roman" w:cs="Times New Roman"/>
          <w:sz w:val="24"/>
          <w:szCs w:val="24"/>
        </w:rPr>
        <w:t xml:space="preserve"> в рамках якої передбачено оновлення технічного парку та двофракційний роздільний збір побутових відходів; вивезення крупногабаритних відходів з метою зменшення кількості несанкціонованих звалищ та налагодження вивезення побутових відходів з районів приватної забудови. </w:t>
      </w:r>
    </w:p>
    <w:p w14:paraId="347188AF" w14:textId="77777777" w:rsidR="00C82386" w:rsidRPr="00E130ED" w:rsidRDefault="00E66F64">
      <w:pPr>
        <w:ind w:firstLine="709"/>
        <w:jc w:val="both"/>
        <w:rPr>
          <w:rFonts w:ascii="Times New Roman" w:eastAsia="Times New Roman" w:hAnsi="Times New Roman" w:cs="Times New Roman"/>
          <w:sz w:val="24"/>
          <w:szCs w:val="24"/>
        </w:rPr>
      </w:pPr>
      <w:r w:rsidRPr="00E130ED">
        <w:rPr>
          <w:rFonts w:ascii="Times New Roman" w:eastAsia="Times New Roman" w:hAnsi="Times New Roman" w:cs="Times New Roman"/>
          <w:sz w:val="24"/>
          <w:szCs w:val="24"/>
        </w:rPr>
        <w:t>З травня 2021 року триває спорудження сміттєпереробного заводу з відбором вторинної сировини, виготовленням компосту та виробництва RDF-палива</w:t>
      </w:r>
      <w:r w:rsidRPr="00E130ED">
        <w:rPr>
          <w:rFonts w:ascii="Times New Roman" w:eastAsia="Times New Roman" w:hAnsi="Times New Roman" w:cs="Times New Roman"/>
          <w:sz w:val="24"/>
          <w:szCs w:val="24"/>
          <w:vertAlign w:val="superscript"/>
        </w:rPr>
        <w:footnoteReference w:id="41"/>
      </w:r>
      <w:r w:rsidRPr="00E130ED">
        <w:rPr>
          <w:rFonts w:ascii="Times New Roman" w:eastAsia="Times New Roman" w:hAnsi="Times New Roman" w:cs="Times New Roman"/>
          <w:sz w:val="24"/>
          <w:szCs w:val="24"/>
        </w:rPr>
        <w:t>. На підприємстві планується переробляти до 90% твердих побутових відходів міста, потужність переробки становить до 85 тисяч тон побутових відходів в рік</w:t>
      </w:r>
      <w:r w:rsidRPr="00E130ED">
        <w:rPr>
          <w:rFonts w:ascii="Times New Roman" w:eastAsia="Times New Roman" w:hAnsi="Times New Roman" w:cs="Times New Roman"/>
          <w:sz w:val="24"/>
          <w:szCs w:val="24"/>
          <w:vertAlign w:val="superscript"/>
        </w:rPr>
        <w:footnoteReference w:id="42"/>
      </w:r>
      <w:r w:rsidRPr="00E130ED">
        <w:rPr>
          <w:rFonts w:ascii="Times New Roman" w:eastAsia="Times New Roman" w:hAnsi="Times New Roman" w:cs="Times New Roman"/>
          <w:sz w:val="24"/>
          <w:szCs w:val="24"/>
        </w:rPr>
        <w:t>.  Спорудження сміттєпереробного заводу сприятиме вирішенню проблеми накопичення сміття на Житомирському міському полігоні із захоронення твердих побутових відходів, на якому ще на початок 2021 року було накопичено близько 15 мільйонів кубометрів сміття.</w:t>
      </w:r>
    </w:p>
    <w:p w14:paraId="02957799" w14:textId="77777777" w:rsidR="00C82386" w:rsidRDefault="00E66F64">
      <w:pPr>
        <w:spacing w:after="0"/>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 xml:space="preserve">Вплив на сектор водних ресурсів в контексті забезпечення населення питною водою: </w:t>
      </w:r>
    </w:p>
    <w:p w14:paraId="3B19C9C7" w14:textId="77777777" w:rsidR="00C82386" w:rsidRDefault="00E66F64">
      <w:pPr>
        <w:spacing w:before="12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Вплив на здоров’я та добробут населення доступ до якісної питної води в достатній кількості є одним з визначних індикаторів для оцінки вразливості з-за значущості його впливу на здоров’я населення. </w:t>
      </w:r>
    </w:p>
    <w:p w14:paraId="675E9CAD"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Вже протягом наступних 15-20 років кількість доступних водних ресурсів в Україні може зменшитись втричі</w:t>
      </w:r>
      <w:r>
        <w:rPr>
          <w:rFonts w:ascii="Times New Roman" w:eastAsia="Times New Roman" w:hAnsi="Times New Roman" w:cs="Times New Roman"/>
          <w:sz w:val="24"/>
          <w:szCs w:val="24"/>
          <w:vertAlign w:val="superscript"/>
        </w:rPr>
        <w:footnoteReference w:id="43"/>
      </w:r>
      <w:r>
        <w:rPr>
          <w:rFonts w:ascii="Times New Roman" w:eastAsia="Times New Roman" w:hAnsi="Times New Roman" w:cs="Times New Roman"/>
          <w:sz w:val="24"/>
          <w:szCs w:val="24"/>
        </w:rPr>
        <w:t xml:space="preserve"> відповідно до прогнозів тенденцій зміни клімату. На стан водних ресурсів, якість і доступність питної води для населення впливає як зростання кількості і тривалості періодів екстремальної спеки, так і зменшення кількості опадів. </w:t>
      </w:r>
    </w:p>
    <w:p w14:paraId="33AD915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Джерелом водопостачання населення міста Житомира та прилеглих до нього сіл є поверхневий водозабір водосховища «Відсічне» біля хутору Побитівка з річки Тетерів. Крім того, в місті Житомирі та області є підземні свердловини, що не використовуються для питних потреб мешканців. Вода джерел водопостачання, що використовується для забезпечення питних потреб, має відповідати І та ІІ класу, але в літні місяці року вона відповідає ІІІ та IV класу за деякими показниками. За своїми фізико-хімічними параметрами вода з джерела водопостачання (водосховища «Відсічне») належить до мало каламутних вод з середньою кольоровістю. Впродовж останніх років спостерігається поступове підвищення кольоровості вихідної води. Як і в більшості водосховищ країни, в літні періоди відбувається так зване «цвітіння» джерела водопостачання, зумовлене масовим розвитком водоростей. За даними гідробіологічного аналізу максимальний вміст фітопланктону складав 2022 тис. кл/см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хоча ще донедавна ця цифра становила 800-900 тис. кл/см</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w:t>
      </w:r>
    </w:p>
    <w:p w14:paraId="24AD46B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Охоплення населення послугами з централізованого водопостачання в 2018 та 2019 рр. становило відповідно 80 та 79 %. </w:t>
      </w:r>
    </w:p>
    <w:p w14:paraId="267EB65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міських громадах зниження кількості та якості питної води також зумовлено погіршенням технічного стану діючих очисних споруд, значним терміном експлуатації водопровідних і каналізаційних мереж, відсутністю/нестачею коштів на їх ремонт і реконструкцію. Зазначене стає причиною частих аварій, які зумовлюють великі втрати води, вторинне забруднення води тощо.</w:t>
      </w:r>
    </w:p>
    <w:p w14:paraId="66261BF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 загальна протяжність водопровідних мереж становить 526 км, з яких ветхих та аварійних мереж – 334,7 км (тобто, 64%). Протягом 2019 р. на водопровідних мережах міста відбулося 969 аварій. Обсяг втрат води в 2019 р. становив 11 216 тис. м3, обсяг втрат води на 1 км мережі – 20,14 тис. м3. Частка втрат води становила 43%.</w:t>
      </w:r>
    </w:p>
    <w:p w14:paraId="5F0BD64E" w14:textId="77777777" w:rsidR="00C82386" w:rsidRDefault="00E66F64">
      <w:pPr>
        <w:spacing w:after="0"/>
        <w:ind w:firstLine="709"/>
        <w:jc w:val="both"/>
      </w:pPr>
      <w:r>
        <w:rPr>
          <w:rFonts w:ascii="Times New Roman" w:eastAsia="Times New Roman" w:hAnsi="Times New Roman" w:cs="Times New Roman"/>
          <w:color w:val="000000"/>
          <w:sz w:val="24"/>
          <w:szCs w:val="24"/>
        </w:rPr>
        <w:t xml:space="preserve">В опитуваннях 2020 і 2024 року </w:t>
      </w:r>
      <w:r>
        <w:rPr>
          <w:rFonts w:ascii="Times New Roman" w:eastAsia="Times New Roman" w:hAnsi="Times New Roman" w:cs="Times New Roman"/>
          <w:sz w:val="24"/>
          <w:szCs w:val="24"/>
        </w:rPr>
        <w:t>опитуванні</w:t>
      </w:r>
      <w:r>
        <w:rPr>
          <w:rFonts w:ascii="Times New Roman" w:eastAsia="Times New Roman" w:hAnsi="Times New Roman" w:cs="Times New Roman"/>
          <w:color w:val="000000"/>
          <w:sz w:val="24"/>
          <w:szCs w:val="24"/>
        </w:rPr>
        <w:t xml:space="preserve">  також скаржаться на нестабільний стан роботи водопровідної мережі, 35% і 25% (2020 і 2024 року відповідно)  зауважили, що відбуваються регулярні відключення, а ті хто відмітили, що відключення води відбуваються лише деколи - зросло (59,4% - 2020, 70% - 2024), причому ті, опитувані що стверджують, що аварії водопровідної мережі часто трапляються зменшилися (55% - 2020, 39% - 2024), а тих, хто відповів, що це стається періодично (40% - 2020, 56% - 2024) також зросло. </w:t>
      </w:r>
      <w:r>
        <w:rPr>
          <w:rFonts w:ascii="Times New Roman" w:eastAsia="Times New Roman" w:hAnsi="Times New Roman" w:cs="Times New Roman"/>
          <w:sz w:val="24"/>
          <w:szCs w:val="24"/>
        </w:rPr>
        <w:t xml:space="preserve"> </w:t>
      </w:r>
    </w:p>
    <w:p w14:paraId="642946AD" w14:textId="77777777" w:rsidR="00C82386" w:rsidRDefault="00C82386">
      <w:pPr>
        <w:spacing w:after="0"/>
        <w:jc w:val="both"/>
        <w:rPr>
          <w:rFonts w:ascii="Times New Roman" w:eastAsia="Times New Roman" w:hAnsi="Times New Roman" w:cs="Times New Roman"/>
          <w:sz w:val="24"/>
          <w:szCs w:val="24"/>
        </w:rPr>
      </w:pPr>
    </w:p>
    <w:p w14:paraId="1E893A9C" w14:textId="77777777" w:rsidR="00C82386" w:rsidRDefault="00E66F64">
      <w:pPr>
        <w:spacing w:after="0"/>
        <w:jc w:val="both"/>
        <w:rPr>
          <w:rFonts w:ascii="Times New Roman" w:eastAsia="Times New Roman" w:hAnsi="Times New Roman" w:cs="Times New Roman"/>
          <w:sz w:val="24"/>
          <w:szCs w:val="24"/>
        </w:rPr>
      </w:pPr>
      <w:r>
        <w:rPr>
          <w:noProof/>
          <w:lang w:val="ru-RU"/>
        </w:rPr>
        <w:lastRenderedPageBreak/>
        <w:drawing>
          <wp:inline distT="0" distB="0" distL="0" distR="0" wp14:anchorId="7574BC9F" wp14:editId="1A751241">
            <wp:extent cx="5943600" cy="3314700"/>
            <wp:effectExtent l="0" t="0" r="0" b="0"/>
            <wp:docPr id="214425200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217"/>
                    <a:srcRect/>
                    <a:stretch>
                      <a:fillRect/>
                    </a:stretch>
                  </pic:blipFill>
                  <pic:spPr>
                    <a:xfrm>
                      <a:off x="0" y="0"/>
                      <a:ext cx="5943600" cy="3314700"/>
                    </a:xfrm>
                    <a:prstGeom prst="rect">
                      <a:avLst/>
                    </a:prstGeom>
                    <a:ln/>
                  </pic:spPr>
                </pic:pic>
              </a:graphicData>
            </a:graphic>
          </wp:inline>
        </w:drawing>
      </w:r>
      <w:r>
        <w:tab/>
      </w:r>
      <w:r>
        <w:rPr>
          <w:rFonts w:ascii="Times New Roman" w:eastAsia="Times New Roman" w:hAnsi="Times New Roman" w:cs="Times New Roman"/>
          <w:sz w:val="24"/>
          <w:szCs w:val="24"/>
        </w:rPr>
        <w:t>Рисунок 7.5. Гістограма-порівняння за результатами опитування мешканців м. Житомир ОТГ щодо якості водопровідної води, станом на серпень-вересень 2020 та 2024 років.</w:t>
      </w:r>
    </w:p>
    <w:p w14:paraId="119A2B65" w14:textId="77777777" w:rsidR="00C82386" w:rsidRDefault="00E66F64">
      <w:pP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Значну недовіру населення викликає також якість питної води, як у 2020, так і в 2024 році:</w:t>
      </w:r>
    </w:p>
    <w:p w14:paraId="627F886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Більшість (83,3% - 2020, 86% - 2024) купують воду, ще (8,3% - 2020, 8% - 2024) додатково її фільтрують. Доступ до питної води не вдома також проблематичний, але з роками покращився – лише 3,3% (2020) і вже 6% (2024) респондентів вважають, що доступ до неї вільний, натомість 65,6% і 67% (2020 і 2024 рік відповідно) вважають, що доступу до питної води не має, а 18,3% і 19% (2020 і 2024 рік відповідно) лише </w:t>
      </w:r>
      <w:r>
        <w:rPr>
          <w:rFonts w:ascii="Times New Roman" w:eastAsia="Times New Roman" w:hAnsi="Times New Roman" w:cs="Times New Roman"/>
          <w:sz w:val="24"/>
          <w:szCs w:val="24"/>
        </w:rPr>
        <w:t>інколи</w:t>
      </w:r>
      <w:r>
        <w:rPr>
          <w:rFonts w:ascii="Times New Roman" w:eastAsia="Times New Roman" w:hAnsi="Times New Roman" w:cs="Times New Roman"/>
          <w:color w:val="000000"/>
          <w:sz w:val="24"/>
          <w:szCs w:val="24"/>
        </w:rPr>
        <w:t xml:space="preserve"> можуть </w:t>
      </w:r>
      <w:r>
        <w:rPr>
          <w:rFonts w:ascii="Times New Roman" w:eastAsia="Times New Roman" w:hAnsi="Times New Roman" w:cs="Times New Roman"/>
          <w:sz w:val="24"/>
          <w:szCs w:val="24"/>
        </w:rPr>
        <w:t>задовольнити</w:t>
      </w:r>
      <w:r>
        <w:rPr>
          <w:rFonts w:ascii="Times New Roman" w:eastAsia="Times New Roman" w:hAnsi="Times New Roman" w:cs="Times New Roman"/>
          <w:color w:val="000000"/>
          <w:sz w:val="24"/>
          <w:szCs w:val="24"/>
        </w:rPr>
        <w:t xml:space="preserve"> свою потребу в питній воді.</w:t>
      </w:r>
    </w:p>
    <w:p w14:paraId="51A1830E" w14:textId="77777777" w:rsidR="00C82386" w:rsidRDefault="00E66F64">
      <w:pPr>
        <w:widowControl w:val="0"/>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Станом на лютий 2021 р. КП «Житомирводоканал» для приготування води питної якості використовує дві технології очистки – одноступеневу та двоступеневу. Остання технологія очистки вичерпала свій ресурс. </w:t>
      </w:r>
    </w:p>
    <w:p w14:paraId="3C2D9889" w14:textId="77777777" w:rsidR="00C82386" w:rsidRDefault="00E66F64">
      <w:pPr>
        <w:widowControl w:val="0"/>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Використовувана технологія застосування рідкого хлору для знезараження води є недостатньою, оскільки не може повністю гарантувати безпеку питної води по мікробіологічним показникам. Система знезараження води потребує комплексної модернізації. </w:t>
      </w:r>
    </w:p>
    <w:p w14:paraId="3C41A18D" w14:textId="77777777" w:rsidR="00C82386" w:rsidRDefault="00E66F64">
      <w:pPr>
        <w:widowControl w:val="0"/>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Якість очищеної води, яка подається у розподільні водопровідні мережі м. Житомир та прилеглих громад, змінюється впродовж року. Найвищі значення показників каламутності, забарвлення та вмісту речовин у воді фіксуються у періоди повеней та спекотну пору року. В даний час очищена вода, яка надається споживачам, відповідає встановленим стандартам, лише за окремими показниками застосовується норматив, який має право використовувати підприємство питного водопостачання в окремих випадках, пов'язаних з особливими природними умовами та технологією підготовки питної води, що не дозволяє довести якість питної води до жорсткішого нормативу, про що повинно бути зазначено у технологічному  регламенті або іншому документі з описом технологічного процесу виробництва питної води.  </w:t>
      </w:r>
    </w:p>
    <w:p w14:paraId="3CDF79A3" w14:textId="77777777" w:rsidR="00C82386" w:rsidRDefault="00E66F64">
      <w:pPr>
        <w:widowControl w:val="0"/>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На переважній більшості  місцевих промислових та господарських об’єктів немає локальних очисних споруд, відповідно на очисні споруди каналізації надходять стічні води з </w:t>
      </w:r>
      <w:r>
        <w:rPr>
          <w:rFonts w:ascii="Times New Roman" w:eastAsia="Times New Roman" w:hAnsi="Times New Roman" w:cs="Times New Roman"/>
          <w:sz w:val="24"/>
          <w:szCs w:val="24"/>
        </w:rPr>
        <w:t>наднормативними</w:t>
      </w:r>
      <w:r>
        <w:rPr>
          <w:rFonts w:ascii="Times New Roman" w:eastAsia="Times New Roman" w:hAnsi="Times New Roman" w:cs="Times New Roman"/>
          <w:color w:val="000000"/>
          <w:sz w:val="24"/>
          <w:szCs w:val="24"/>
        </w:rPr>
        <w:t xml:space="preserve"> забрудненнями. Так лише в рамках акції “Екологічно дружні автомийки” КП “Житомирводоканал” показники забруднюючих речовин у стічних водах лише 4 автомийок з 19 перебувають у межах норми.</w:t>
      </w:r>
      <w:r>
        <w:rPr>
          <w:rFonts w:ascii="Times New Roman" w:eastAsia="Times New Roman" w:hAnsi="Times New Roman" w:cs="Times New Roman"/>
          <w:color w:val="000000"/>
          <w:sz w:val="24"/>
          <w:szCs w:val="24"/>
          <w:vertAlign w:val="superscript"/>
        </w:rPr>
        <w:footnoteReference w:id="44"/>
      </w:r>
    </w:p>
    <w:p w14:paraId="644A2CC4"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Загальна протяжність мереж водовідведення становить 259,4 км, з них станом на 2018 рік – 185 км ветхих та аварійних мереж водовідведення. Мережа водовідведення стічних вод перебуває у незадовільному стані, до 80% її потребує заміни.</w:t>
      </w:r>
    </w:p>
    <w:p w14:paraId="0CA45125" w14:textId="77777777" w:rsidR="00C82386" w:rsidRDefault="00C82386">
      <w:pPr>
        <w:spacing w:after="0"/>
        <w:jc w:val="both"/>
        <w:rPr>
          <w:rFonts w:ascii="Times New Roman" w:eastAsia="Times New Roman" w:hAnsi="Times New Roman" w:cs="Times New Roman"/>
          <w:sz w:val="24"/>
          <w:szCs w:val="24"/>
        </w:rPr>
      </w:pPr>
    </w:p>
    <w:p w14:paraId="16C9A82C" w14:textId="77777777" w:rsidR="00C82386" w:rsidRDefault="00E66F64">
      <w:pPr>
        <w:keepNext/>
        <w:keepLines/>
        <w:pBdr>
          <w:top w:val="nil"/>
          <w:left w:val="nil"/>
          <w:bottom w:val="nil"/>
          <w:right w:val="nil"/>
          <w:between w:val="nil"/>
        </w:pBdr>
        <w:spacing w:before="200" w:after="0"/>
        <w:ind w:left="60"/>
        <w:rPr>
          <w:rFonts w:ascii="Times New Roman" w:eastAsia="Times New Roman" w:hAnsi="Times New Roman" w:cs="Times New Roman"/>
          <w:b/>
          <w:color w:val="000000"/>
          <w:sz w:val="24"/>
          <w:szCs w:val="24"/>
        </w:rPr>
      </w:pPr>
      <w:bookmarkStart w:id="114" w:name="_heading=h.rjefff" w:colFirst="0" w:colLast="0"/>
      <w:bookmarkEnd w:id="114"/>
      <w:r>
        <w:rPr>
          <w:rFonts w:ascii="Times New Roman" w:eastAsia="Times New Roman" w:hAnsi="Times New Roman" w:cs="Times New Roman"/>
          <w:b/>
          <w:color w:val="000000"/>
          <w:sz w:val="24"/>
          <w:szCs w:val="24"/>
        </w:rPr>
        <w:t>Д2.2.2 Оцінка вразливості до екстремального холоду</w:t>
      </w:r>
    </w:p>
    <w:p w14:paraId="51456E82" w14:textId="77777777" w:rsidR="00C82386" w:rsidRDefault="00E66F64">
      <w:pPr>
        <w:spacing w:before="240"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тривалість та інтенсивність періодів з низькими температурами також впливає глобальна зміна клімату. Загалом у Житомирській області зменшується кількість днів з морозом та спостерігається тенденція до зменшення суворості зими. Проте прогнозується і вже фіксується настання холодів у нетипові для цього календарні періоди (наприклад – заморозок чи снігопади весною). Важливо також враховувати вплив зміни кількості та інтенсивності опадів, що більш детально описано в пункті «</w:t>
      </w:r>
      <w:r>
        <w:rPr>
          <w:rFonts w:ascii="Times New Roman" w:eastAsia="Times New Roman" w:hAnsi="Times New Roman" w:cs="Times New Roman"/>
          <w:b/>
          <w:sz w:val="24"/>
          <w:szCs w:val="24"/>
        </w:rPr>
        <w:t>снігопади</w:t>
      </w:r>
      <w:r>
        <w:rPr>
          <w:rFonts w:ascii="Times New Roman" w:eastAsia="Times New Roman" w:hAnsi="Times New Roman" w:cs="Times New Roman"/>
          <w:sz w:val="24"/>
          <w:szCs w:val="24"/>
        </w:rPr>
        <w:t>». Внаслідок різкого похолодання частіше буде спостерігатися ожеледиця, до якої особливо вразливі маломобільні групи населення. Зростання частоти коливання переходу температури через «0</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С» призводить до зростання частоти виникнення обмерзання: намерзлий шар льоду на поверхнях починає танути і знову швидко замерзає, що може спричинити, окрім негативного впливу на флору та фауну, обрив дротів електромереж, кабелів та накопиченню льоду на дахах та навісах. </w:t>
      </w:r>
    </w:p>
    <w:p w14:paraId="6FAD58DA"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Відповідно до прогнозів, що більш детально викладені у Пункті 2.3., громада не буде піддаватися сильним впливом холоду, проте варто враховувати періодичні короткотривалі холодові явища. </w:t>
      </w:r>
    </w:p>
    <w:p w14:paraId="6836850D" w14:textId="77777777" w:rsidR="00C82386" w:rsidRDefault="00E66F64">
      <w:pPr>
        <w:spacing w:after="0"/>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Найбільш вразливими до впливу екстремального холоду є сектори: транспорт та охорона здоров’я, в меншій мірі – будівлі, в частині будівель, що знаходяться в неналежному стані. </w:t>
      </w:r>
    </w:p>
    <w:p w14:paraId="0E9B2642"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Найбільш вразливими до впливу екстремального холоду є наступні групи населення: люди з особливими потребами, люди з хронічними захворюваннями, люди поважного віку, домогосподарства з низьким рівнем доходу, безробітні та люди, що живуть в аварійному помешканні.</w:t>
      </w:r>
    </w:p>
    <w:p w14:paraId="71175FFB" w14:textId="77777777" w:rsidR="00C82386" w:rsidRDefault="00C82386">
      <w:pPr>
        <w:spacing w:after="0"/>
        <w:jc w:val="both"/>
        <w:rPr>
          <w:rFonts w:ascii="Times New Roman" w:eastAsia="Times New Roman" w:hAnsi="Times New Roman" w:cs="Times New Roman"/>
          <w:sz w:val="24"/>
          <w:szCs w:val="24"/>
        </w:rPr>
      </w:pPr>
    </w:p>
    <w:p w14:paraId="28CA0E41" w14:textId="77777777" w:rsidR="00C82386" w:rsidRDefault="00E66F64">
      <w:pPr>
        <w:keepNext/>
        <w:keepLines/>
        <w:pBdr>
          <w:top w:val="nil"/>
          <w:left w:val="nil"/>
          <w:bottom w:val="nil"/>
          <w:right w:val="nil"/>
          <w:between w:val="nil"/>
        </w:pBdr>
        <w:spacing w:before="200" w:after="0"/>
        <w:ind w:left="60"/>
        <w:rPr>
          <w:rFonts w:ascii="Times New Roman" w:eastAsia="Times New Roman" w:hAnsi="Times New Roman" w:cs="Times New Roman"/>
          <w:b/>
          <w:color w:val="000000"/>
          <w:sz w:val="24"/>
          <w:szCs w:val="24"/>
        </w:rPr>
      </w:pPr>
      <w:bookmarkStart w:id="115" w:name="_heading=h.3bj1y38" w:colFirst="0" w:colLast="0"/>
      <w:bookmarkEnd w:id="115"/>
      <w:r>
        <w:rPr>
          <w:rFonts w:ascii="Times New Roman" w:eastAsia="Times New Roman" w:hAnsi="Times New Roman" w:cs="Times New Roman"/>
          <w:b/>
          <w:color w:val="000000"/>
          <w:sz w:val="24"/>
          <w:szCs w:val="24"/>
        </w:rPr>
        <w:t>Д2.2.3 Оцінка вразливості до екстремальних опадів (екстремальні зливи)</w:t>
      </w:r>
    </w:p>
    <w:p w14:paraId="6A91A702" w14:textId="77777777" w:rsidR="00C82386" w:rsidRDefault="00E66F64">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опадів у Житомирській області за 2000-2015 рр. порівняно з кліматичною нормою практично не змінилася (зменшилася на 3 %), проте спостерігається зміна характеру випадання опадів, а також незначне зменшення їх кількості влітку. Разом з тим, якщо спостерігати за динамікою зміни кількості середньорічної кількості опадів, то можна відмітити певне середньорічне зростання за даними спостереження в м. Житомир Гідрометеослужби України з 1945 року по 2020: </w:t>
      </w:r>
    </w:p>
    <w:p w14:paraId="70C0D7EF"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lastRenderedPageBreak/>
        <w:drawing>
          <wp:inline distT="0" distB="0" distL="0" distR="0" wp14:anchorId="184A1012" wp14:editId="6C574ED0">
            <wp:extent cx="5720308" cy="2540739"/>
            <wp:effectExtent l="0" t="0" r="0" b="0"/>
            <wp:docPr id="2144252000" name="image134.png" descr="Зображення, що містить текст, Шрифт, почерк, ряд&#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34.png" descr="Зображення, що містить текст, Шрифт, почерк, ряд&#10;&#10;Автоматично згенерований опис"/>
                    <pic:cNvPicPr preferRelativeResize="0"/>
                  </pic:nvPicPr>
                  <pic:blipFill>
                    <a:blip r:embed="rId218"/>
                    <a:srcRect/>
                    <a:stretch>
                      <a:fillRect/>
                    </a:stretch>
                  </pic:blipFill>
                  <pic:spPr>
                    <a:xfrm>
                      <a:off x="0" y="0"/>
                      <a:ext cx="5720308" cy="2540739"/>
                    </a:xfrm>
                    <a:prstGeom prst="rect">
                      <a:avLst/>
                    </a:prstGeom>
                    <a:ln/>
                  </pic:spPr>
                </pic:pic>
              </a:graphicData>
            </a:graphic>
          </wp:inline>
        </w:drawing>
      </w:r>
    </w:p>
    <w:p w14:paraId="3128CE5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7.6. Середньорічна сума опадів у м. Житомир, мм</w:t>
      </w:r>
    </w:p>
    <w:p w14:paraId="05814D82"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сценаріями прогнозованої зміни клімату варто очікувати перерозподіл кількості опадів впродовж року – найбільше збільшиться кількість літніх опадів (червень), у той час як восени буде спостерігатися значне зменшення їх випадання (вересень-листопад) (див. Пункт 2.3.).</w:t>
      </w:r>
    </w:p>
    <w:p w14:paraId="4C871C8A"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Перерозподіл опадів та зміна їх інтенсивності значно впливають не лише на біорізноманіття території, а й здійснюють сильний вплив на умови проживання мешканців та мають значний вплив на інфраструктуру громади. Так, підвищується ризик  підтоплення окремих районів міста, що відображається і у відповідях на опитування. </w:t>
      </w:r>
    </w:p>
    <w:p w14:paraId="765EA95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6C777E51" wp14:editId="3F35D3E6">
            <wp:extent cx="5943600" cy="3333750"/>
            <wp:effectExtent l="0" t="0" r="0" b="0"/>
            <wp:docPr id="2144251986"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219"/>
                    <a:srcRect/>
                    <a:stretch>
                      <a:fillRect/>
                    </a:stretch>
                  </pic:blipFill>
                  <pic:spPr>
                    <a:xfrm>
                      <a:off x="0" y="0"/>
                      <a:ext cx="5943600" cy="3333750"/>
                    </a:xfrm>
                    <a:prstGeom prst="rect">
                      <a:avLst/>
                    </a:prstGeom>
                    <a:ln/>
                  </pic:spPr>
                </pic:pic>
              </a:graphicData>
            </a:graphic>
          </wp:inline>
        </w:drawing>
      </w:r>
      <w:r>
        <w:rPr>
          <w:rFonts w:ascii="Times New Roman" w:eastAsia="Times New Roman" w:hAnsi="Times New Roman" w:cs="Times New Roman"/>
          <w:color w:val="000000"/>
          <w:sz w:val="24"/>
          <w:szCs w:val="24"/>
        </w:rPr>
        <w:t>Рисунок 7.7.</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 Гістограма-порівняння за результатами опитування мешканців Житомирської ОТГ щодо випадків підтоплення дворів та вулиць внаслідок інтенсивних опадів, станом на серпень-вересень 2020 і 2024 років</w:t>
      </w:r>
    </w:p>
    <w:p w14:paraId="2892FB7F"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Важливо враховувати, що підтоплення залежить від району міста, в якому проживає респондент, типу будинку (багатоповерхівка, приватне одно-дво поверхове житло; </w:t>
      </w:r>
      <w:r>
        <w:rPr>
          <w:rFonts w:ascii="Times New Roman" w:eastAsia="Times New Roman" w:hAnsi="Times New Roman" w:cs="Times New Roman"/>
          <w:sz w:val="24"/>
          <w:szCs w:val="24"/>
        </w:rPr>
        <w:lastRenderedPageBreak/>
        <w:t xml:space="preserve">проживання респондента не на першому поверсі тощо) та стан будинку (аварійне, задовільне). </w:t>
      </w:r>
    </w:p>
    <w:p w14:paraId="29C6F3E8"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території громади були зафіксовані випадки підтоплення під час весняної повені та довготривалих дощів або сильних злив – відбувалося підтоплення садиб та житлових будинків приватного сектору в районах Крошня, Смоківка, Мар’янівка, Мальованка у 2016 р. (травень), 2018 р. (березень, квітень) та 2019 р. (квітень, травень) внаслідок випадання великої кількості опадів в результаті сильної зливи.</w:t>
      </w:r>
    </w:p>
    <w:p w14:paraId="5087CAAB"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Паспорті ризику виникнення надзвичайних ситуацій техногенного та природного характеру на території Житомирської міської об’єднаної територіальної громади (лютий 2022 року) наведено перелік визначений перелік районів громади та конкретних потенційних місць, що підтоплюються при весняній повені, зливових та довготривалих опадах.</w:t>
      </w:r>
    </w:p>
    <w:p w14:paraId="0476F597" w14:textId="77777777" w:rsidR="00C82386" w:rsidRDefault="006B2C11">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E66F64">
        <w:rPr>
          <w:rFonts w:ascii="Times New Roman" w:eastAsia="Times New Roman" w:hAnsi="Times New Roman" w:cs="Times New Roman"/>
          <w:sz w:val="24"/>
          <w:szCs w:val="24"/>
        </w:rPr>
        <w:t>а базі інформації</w:t>
      </w:r>
      <w:r>
        <w:rPr>
          <w:rFonts w:ascii="Times New Roman" w:eastAsia="Times New Roman" w:hAnsi="Times New Roman" w:cs="Times New Roman"/>
          <w:sz w:val="24"/>
          <w:szCs w:val="24"/>
        </w:rPr>
        <w:t xml:space="preserve"> з</w:t>
      </w:r>
      <w:r w:rsidR="00E66F64">
        <w:rPr>
          <w:rFonts w:ascii="Times New Roman" w:eastAsia="Times New Roman" w:hAnsi="Times New Roman" w:cs="Times New Roman"/>
          <w:sz w:val="24"/>
          <w:szCs w:val="24"/>
        </w:rPr>
        <w:t xml:space="preserve"> Паспорту ризику виникнення надзвичайних ситуацій техногенного та природного характеру на території Житомирської міської об</w:t>
      </w:r>
      <w:r>
        <w:rPr>
          <w:rFonts w:ascii="Times New Roman" w:eastAsia="Times New Roman" w:hAnsi="Times New Roman" w:cs="Times New Roman"/>
          <w:sz w:val="24"/>
          <w:szCs w:val="24"/>
        </w:rPr>
        <w:t>’єднаної територіальної громади розроблено карту підтоплень.</w:t>
      </w:r>
      <w:r w:rsidR="00E66F64">
        <w:rPr>
          <w:rFonts w:ascii="Times New Roman" w:eastAsia="Times New Roman" w:hAnsi="Times New Roman" w:cs="Times New Roman"/>
          <w:sz w:val="24"/>
          <w:szCs w:val="24"/>
        </w:rPr>
        <w:t xml:space="preserve"> Загальна площа територій підтоплення станом на лютий 2022 року становить 2,3 км</w:t>
      </w:r>
      <w:r w:rsidR="00E66F64">
        <w:rPr>
          <w:rFonts w:ascii="Times New Roman" w:eastAsia="Times New Roman" w:hAnsi="Times New Roman" w:cs="Times New Roman"/>
          <w:sz w:val="24"/>
          <w:szCs w:val="24"/>
          <w:vertAlign w:val="superscript"/>
        </w:rPr>
        <w:t>2</w:t>
      </w:r>
      <w:r w:rsidR="00E66F64">
        <w:rPr>
          <w:rFonts w:ascii="Times New Roman" w:eastAsia="Times New Roman" w:hAnsi="Times New Roman" w:cs="Times New Roman"/>
          <w:sz w:val="24"/>
          <w:szCs w:val="24"/>
        </w:rPr>
        <w:t>, кількість населення в зоні підтоплення – 7170 чоловік.</w:t>
      </w:r>
    </w:p>
    <w:p w14:paraId="62B851CF"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0F0EFCBE" wp14:editId="4D02C4DD">
            <wp:extent cx="5731510" cy="3639185"/>
            <wp:effectExtent l="0" t="0" r="0" b="0"/>
            <wp:docPr id="2144251988" name="image110.png" descr="Зображення, що містить карта, текст, атлан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0.png" descr="Зображення, що містить карта, текст, атлант&#10;&#10;Автоматично згенерований опис"/>
                    <pic:cNvPicPr preferRelativeResize="0"/>
                  </pic:nvPicPr>
                  <pic:blipFill>
                    <a:blip r:embed="rId220"/>
                    <a:srcRect/>
                    <a:stretch>
                      <a:fillRect/>
                    </a:stretch>
                  </pic:blipFill>
                  <pic:spPr>
                    <a:xfrm>
                      <a:off x="0" y="0"/>
                      <a:ext cx="5731510" cy="3639185"/>
                    </a:xfrm>
                    <a:prstGeom prst="rect">
                      <a:avLst/>
                    </a:prstGeom>
                    <a:ln/>
                  </pic:spPr>
                </pic:pic>
              </a:graphicData>
            </a:graphic>
          </wp:inline>
        </w:drawing>
      </w:r>
    </w:p>
    <w:p w14:paraId="542755A1"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7.8. Схематична карта підтоплень Житомирської міської об’єднаної територіальної громади</w:t>
      </w:r>
    </w:p>
    <w:p w14:paraId="040CDCC1"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Сильні зливи також можуть посилити зсувні процеси, ознаки яких спостерігаються на території громади. Так, станом на лютий 2022 року у зонах зсуву проживало біля 2800 осіб на вулицях Клосовського, Сурина гора, Замкова гора та інших. Карта зсувних процесів, на базі інформації Паспорту ризику виникнення надзвичайних ситуацій техногенного та </w:t>
      </w:r>
      <w:r>
        <w:rPr>
          <w:rFonts w:ascii="Times New Roman" w:eastAsia="Times New Roman" w:hAnsi="Times New Roman" w:cs="Times New Roman"/>
          <w:sz w:val="24"/>
          <w:szCs w:val="24"/>
        </w:rPr>
        <w:lastRenderedPageBreak/>
        <w:t>природного характеру на території Житомирської міської об’єднаної територіальної громади</w:t>
      </w:r>
      <w:r>
        <w:rPr>
          <w:rFonts w:ascii="Times New Roman" w:eastAsia="Times New Roman" w:hAnsi="Times New Roman" w:cs="Times New Roman"/>
          <w:sz w:val="24"/>
          <w:szCs w:val="24"/>
          <w:vertAlign w:val="superscript"/>
        </w:rPr>
        <w:footnoteReference w:id="45"/>
      </w:r>
      <w:r>
        <w:rPr>
          <w:rFonts w:ascii="Times New Roman" w:eastAsia="Times New Roman" w:hAnsi="Times New Roman" w:cs="Times New Roman"/>
          <w:sz w:val="24"/>
          <w:szCs w:val="24"/>
        </w:rPr>
        <w:t xml:space="preserve">: </w:t>
      </w:r>
    </w:p>
    <w:p w14:paraId="7C7D94BA" w14:textId="77777777" w:rsidR="00C82386" w:rsidRDefault="00E66F64" w:rsidP="006B2C11">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E4722D4" wp14:editId="0A102956">
            <wp:extent cx="3076575" cy="942975"/>
            <wp:effectExtent l="0" t="0" r="0" b="0"/>
            <wp:docPr id="2144251987" name="image109.png" descr="Зображення, що містить текст, знімок екрана, Шрифт, ряд&#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9.png" descr="Зображення, що містить текст, знімок екрана, Шрифт, ряд&#10;&#10;Автоматично згенерований опис"/>
                    <pic:cNvPicPr preferRelativeResize="0"/>
                  </pic:nvPicPr>
                  <pic:blipFill>
                    <a:blip r:embed="rId221"/>
                    <a:srcRect/>
                    <a:stretch>
                      <a:fillRect/>
                    </a:stretch>
                  </pic:blipFill>
                  <pic:spPr>
                    <a:xfrm>
                      <a:off x="0" y="0"/>
                      <a:ext cx="3076575" cy="942975"/>
                    </a:xfrm>
                    <a:prstGeom prst="rect">
                      <a:avLst/>
                    </a:prstGeom>
                    <a:ln/>
                  </pic:spPr>
                </pic:pic>
              </a:graphicData>
            </a:graphic>
          </wp:inline>
        </w:drawing>
      </w:r>
    </w:p>
    <w:p w14:paraId="78BFA1BF"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7.9. Елемент карти зсувних процесів Житомирської міської об’єднаної територіальної громади.</w:t>
      </w:r>
    </w:p>
    <w:p w14:paraId="6AAD1817" w14:textId="77777777" w:rsidR="00C82386" w:rsidRDefault="00C82386">
      <w:pPr>
        <w:jc w:val="both"/>
        <w:rPr>
          <w:rFonts w:ascii="Times New Roman" w:eastAsia="Times New Roman" w:hAnsi="Times New Roman" w:cs="Times New Roman"/>
          <w:sz w:val="24"/>
          <w:szCs w:val="24"/>
        </w:rPr>
      </w:pPr>
    </w:p>
    <w:p w14:paraId="0D82265D" w14:textId="77777777" w:rsidR="00C82386" w:rsidRDefault="00E66F64">
      <w:pPr>
        <w:ind w:firstLine="142"/>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290E87B5" wp14:editId="2D78FED3">
            <wp:extent cx="5731510" cy="2277745"/>
            <wp:effectExtent l="0" t="0" r="0" b="0"/>
            <wp:docPr id="2144251984" name="image103.png" descr="Зображення, що містить карта, атлант, текс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3.png" descr="Зображення, що містить карта, атлант, текст&#10;&#10;Автоматично згенерований опис"/>
                    <pic:cNvPicPr preferRelativeResize="0"/>
                  </pic:nvPicPr>
                  <pic:blipFill>
                    <a:blip r:embed="rId222"/>
                    <a:srcRect/>
                    <a:stretch>
                      <a:fillRect/>
                    </a:stretch>
                  </pic:blipFill>
                  <pic:spPr>
                    <a:xfrm>
                      <a:off x="0" y="0"/>
                      <a:ext cx="5731510" cy="2277745"/>
                    </a:xfrm>
                    <a:prstGeom prst="rect">
                      <a:avLst/>
                    </a:prstGeom>
                    <a:ln/>
                  </pic:spPr>
                </pic:pic>
              </a:graphicData>
            </a:graphic>
          </wp:inline>
        </w:drawing>
      </w:r>
    </w:p>
    <w:p w14:paraId="550688DD"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7.10. Елемент карти зсувних процесів Житомирської міської об’єднаної територіальної громади.</w:t>
      </w:r>
    </w:p>
    <w:p w14:paraId="76BD604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Особливого навантаження в зв’язку із збільшенням кількості опадів зазнає і буде зазнавати система зливової каналізації. Місто Житомир обслуговує колектори зливової каналізації протяжністю 84,8 км та зливову мережу протяжністю 160 км. На даний час, за даними КП «Експлуатація штучних споруд», зливова дощова каналізація міста знаходиться в робочому стані, протягом весни, літа та осені 2020 р. було двічі здійснено роботи з очищення дощоприймальних та оглядових колодязів, промивку мереж міста, на окремих ділянках (за необхідності) – кілька разів. В разі виникнення аварійних ситуацій промивка та очистка здійснюється невідкладно, проте необхідно врахувати зростання навантаження на зливові каналізації від зміни клімату, що з роками буде лише збільшуватися. </w:t>
      </w:r>
      <w:r>
        <w:rPr>
          <w:rFonts w:ascii="Times New Roman" w:eastAsia="Times New Roman" w:hAnsi="Times New Roman" w:cs="Times New Roman"/>
          <w:color w:val="000000"/>
          <w:sz w:val="24"/>
          <w:szCs w:val="24"/>
        </w:rPr>
        <w:t>Незважаючи на значні роботи, що проводяться для підтримання зливової каналізації в належному стані, в опитуванні 2020 року 67,8% респондентів відзначили відсутність або поганий технічний стан зливової каналізації, тоді як у 2024 році цей показник знизився до 50%. У 2020 році 20% респондентів знали або чули про проблему зі зливовою каналізацією, а у 2024 році таких респондентів стало більше – 40%.</w:t>
      </w:r>
    </w:p>
    <w:p w14:paraId="5A233D09" w14:textId="77777777" w:rsidR="00C82386" w:rsidRDefault="00E66F64">
      <w:pPr>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lastRenderedPageBreak/>
        <w:t>Також за результатами опитувань п</w:t>
      </w:r>
      <w:r>
        <w:rPr>
          <w:rFonts w:ascii="Times New Roman" w:eastAsia="Times New Roman" w:hAnsi="Times New Roman" w:cs="Times New Roman"/>
          <w:color w:val="000000"/>
          <w:sz w:val="24"/>
          <w:szCs w:val="24"/>
        </w:rPr>
        <w:t xml:space="preserve">ід час сильних злив у 2020 році 35,6% респондентів відзначили, що дах протікає регулярно, тоді як у 2024 році цей показник зменшився до 23%. У 2020 році 44,4% респондентів </w:t>
      </w:r>
      <w:r>
        <w:rPr>
          <w:rFonts w:ascii="Times New Roman" w:eastAsia="Times New Roman" w:hAnsi="Times New Roman" w:cs="Times New Roman"/>
          <w:sz w:val="24"/>
          <w:szCs w:val="24"/>
        </w:rPr>
        <w:t>зазначили</w:t>
      </w:r>
      <w:r>
        <w:rPr>
          <w:rFonts w:ascii="Times New Roman" w:eastAsia="Times New Roman" w:hAnsi="Times New Roman" w:cs="Times New Roman"/>
          <w:color w:val="000000"/>
          <w:sz w:val="24"/>
          <w:szCs w:val="24"/>
        </w:rPr>
        <w:t>, що не стикалися з протіканням даху, але знали про існування цієї проблеми, а у 2024 році таких респондентів стало більше – 57%. У 2020 році 7,2% респондентів ніколи не чули і не стикалися з проблемою протікання дахів, тоді як у 2024 році цей показник збільшився до 14%.</w:t>
      </w:r>
    </w:p>
    <w:p w14:paraId="14E979C8" w14:textId="77777777" w:rsidR="00C82386" w:rsidRDefault="00C82386">
      <w:pPr>
        <w:spacing w:after="0"/>
        <w:jc w:val="both"/>
        <w:rPr>
          <w:rFonts w:ascii="Times New Roman" w:eastAsia="Times New Roman" w:hAnsi="Times New Roman" w:cs="Times New Roman"/>
          <w:sz w:val="24"/>
          <w:szCs w:val="24"/>
        </w:rPr>
      </w:pPr>
    </w:p>
    <w:p w14:paraId="5BF1BCA1" w14:textId="77777777" w:rsidR="00C82386" w:rsidRDefault="00E66F64">
      <w:pPr>
        <w:keepNext/>
        <w:keepLines/>
        <w:pBdr>
          <w:top w:val="nil"/>
          <w:left w:val="nil"/>
          <w:bottom w:val="nil"/>
          <w:right w:val="nil"/>
          <w:between w:val="nil"/>
        </w:pBdr>
        <w:spacing w:after="0"/>
        <w:ind w:left="60"/>
        <w:rPr>
          <w:rFonts w:ascii="Times New Roman" w:eastAsia="Times New Roman" w:hAnsi="Times New Roman" w:cs="Times New Roman"/>
          <w:b/>
          <w:color w:val="000000"/>
          <w:sz w:val="24"/>
          <w:szCs w:val="24"/>
        </w:rPr>
      </w:pPr>
      <w:bookmarkStart w:id="116" w:name="_heading=h.1qoc8b1" w:colFirst="0" w:colLast="0"/>
      <w:bookmarkEnd w:id="116"/>
      <w:r>
        <w:rPr>
          <w:rFonts w:ascii="Times New Roman" w:eastAsia="Times New Roman" w:hAnsi="Times New Roman" w:cs="Times New Roman"/>
          <w:b/>
          <w:color w:val="000000"/>
          <w:sz w:val="24"/>
          <w:szCs w:val="24"/>
        </w:rPr>
        <w:t>Д2.2.4 Оцінка вразливості до екстремальних опадів: снігопади</w:t>
      </w:r>
    </w:p>
    <w:p w14:paraId="63DE578F"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Хоча в цілому на території Житомирської міської територіальної громади не очікується зростання кількості опадів в холодний період, проте прогнозується зростання кількості випадків інтенсивних снігопадів – коли за короткий проміжок часу випадає значна кількість опадів. Це може спричинити надмірне навантаження на служби цивільного захисту населення та потребуватиме їх оперативного реагування. </w:t>
      </w:r>
    </w:p>
    <w:p w14:paraId="63D1F87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Надмірні снігопади можуть спричинити занесення вулиць, проїзних шляхів, утворення снігових заметів на дорогах та залізничних шляхах, що може бути причиною автомобільних заторів, пошкодження будівельних конструкцій, бути причиною  підтоплень територій. Так, у 2003, 2012, 2013 рр. (березень) внаслідок значної кількості опадів у вигляді снігу та його раптового танення були зафіксовані випадки підтоплення садиб та житлових будинків приватного сектору в районах Крошня, Смоківка, Мар’янівка, Мальованка у 2003, 2012, 2013 рр. (березень). При плануванні розвитку та реконструкції мереж зливової каналізації також слід враховувати даний фактор.</w:t>
      </w:r>
    </w:p>
    <w:p w14:paraId="0934EBAF" w14:textId="77777777" w:rsidR="00C82386" w:rsidRDefault="00C82386">
      <w:pPr>
        <w:spacing w:after="0"/>
        <w:jc w:val="both"/>
        <w:rPr>
          <w:rFonts w:ascii="Times New Roman" w:eastAsia="Times New Roman" w:hAnsi="Times New Roman" w:cs="Times New Roman"/>
          <w:sz w:val="24"/>
          <w:szCs w:val="24"/>
        </w:rPr>
      </w:pPr>
    </w:p>
    <w:p w14:paraId="4E4249E0" w14:textId="77777777" w:rsidR="00C82386"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17" w:name="_heading=h.4anzqyu" w:colFirst="0" w:colLast="0"/>
      <w:bookmarkEnd w:id="117"/>
      <w:r>
        <w:rPr>
          <w:rFonts w:ascii="Times New Roman" w:eastAsia="Times New Roman" w:hAnsi="Times New Roman" w:cs="Times New Roman"/>
          <w:b/>
          <w:color w:val="000000"/>
          <w:sz w:val="24"/>
          <w:szCs w:val="24"/>
        </w:rPr>
        <w:t>Д2.2.5 Оцінка вразливості до екстремальних опадів: град</w:t>
      </w:r>
    </w:p>
    <w:p w14:paraId="6019042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зв’язку із зміною характеру та інтенсивності опадів, разом з іншими екстремальними погодними явищами вірогідність випадання граду може зростати. Станом на 2022 рік не було зафіксовано випадків значного руйнування майна чи інфраструктури громади внаслідок такого явища. Проте вірогідність і інтенсивність випадання граду може зростати, тому варто передбачити можливість механічного пошкодження об’єктів інфраструктури, пошкодження зелених насаджень, сільськогосподарських культур як в межах міста, так і на території с. Вереси. </w:t>
      </w:r>
    </w:p>
    <w:p w14:paraId="3AC0DD41" w14:textId="77777777" w:rsidR="00C82386"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18" w:name="_heading=h.2pta16n" w:colFirst="0" w:colLast="0"/>
      <w:bookmarkEnd w:id="118"/>
      <w:r>
        <w:rPr>
          <w:rFonts w:ascii="Times New Roman" w:eastAsia="Times New Roman" w:hAnsi="Times New Roman" w:cs="Times New Roman"/>
          <w:b/>
          <w:color w:val="000000"/>
          <w:sz w:val="24"/>
          <w:szCs w:val="24"/>
        </w:rPr>
        <w:t>Д2.2.6 Оцінка вразливості до повеней: підвищення рівня води</w:t>
      </w:r>
    </w:p>
    <w:p w14:paraId="13F4C9FA"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Водні об’єкти Житомирської міської територіальної громади представлені річками різних розмірів, ставками, кар’єрами, копанками та одним водосховищем. У загальній площі міста, не включаючи село Вереси, внутрішні води займають 2,6 %.</w:t>
      </w:r>
    </w:p>
    <w:p w14:paraId="30F53A9D"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Територією Житомирської міської територіальної громади протікають річки Тетерів (довжина в межах громади 10,7 км), Лісова Кам’янка (9,4 км), Крошенка (8,2 км), Лісна (2,5 км), Мала Путятинка, Калинівка, Руденка. Лісова Кам’янка є лівою притокою Тетерева. Річка впродовж кількох кілометрів тече в межах міста Житомира, де в неї впадають річки Крошенка, Довжик, Лісна, Коденка і Рудавка. Лісова Кам’янка впадає в Тетерів на південь від центральної частини Житомира. Територією міста протікає річка Мала Путятинка, що формується кількома безіменними струмками та загатами і бере початок у Ботанічному саду Поліського національного університету. Довжина річки близько 2,55 км, впадає у Тетерів в межах міста.</w:t>
      </w:r>
    </w:p>
    <w:p w14:paraId="4AD654C1"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 території Житомирської міської територіальної громади розташовані також інші водні об’єкти, найбільшим з яких є Житомирське водосховище площею близько 490 гектарів. Загальна площа ставків, кар’єрів та копанок (без урахування ставка у с. Вереси) становить 56,7 га. </w:t>
      </w:r>
    </w:p>
    <w:p w14:paraId="1B7E410A"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Враховуючи значну кількість водних об’єктів, а також те, що підтоплення можуть впливати і такі фактори, як інтенсивні зливи, швидке танення снігу, засмічення природних стоків або зливової каналізації, наявність водопідйомної греблі на р. Тетерів, окремі елементи інфраструктури можуть зазнавати підтоплень.</w:t>
      </w:r>
    </w:p>
    <w:p w14:paraId="5591D6B4" w14:textId="77777777" w:rsidR="00C82386" w:rsidRDefault="00E66F64">
      <w:pPr>
        <w:shd w:val="clear" w:color="auto" w:fill="FFFFFF"/>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Внаслідок руйнування водопідйомної греблі на р. Тетерів з зоні катастрофічного затоплення може опинитися 1,12 тис. осіб та ряд стратегічних об’єктів. Площа затоплення може сягати 15,0 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w:t>
      </w:r>
    </w:p>
    <w:p w14:paraId="56E68876" w14:textId="77777777" w:rsidR="00C82386" w:rsidRDefault="00E66F64">
      <w:pPr>
        <w:shd w:val="clear" w:color="auto" w:fill="FFFFFF"/>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Особливої уваги потребують укриття та сховища, що розташовані в потенційних зонах підтоплення. </w:t>
      </w:r>
    </w:p>
    <w:p w14:paraId="650E053C" w14:textId="77777777" w:rsidR="00C82386" w:rsidRDefault="00E66F64">
      <w:pPr>
        <w:shd w:val="clear" w:color="auto" w:fill="FFFFFF"/>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Під час опитування мешканці міста також відзначали про підтоплення будинків, хоча на результати значною мірою впливає район проживання опитуваного/ої. </w:t>
      </w:r>
      <w:r>
        <w:rPr>
          <w:noProof/>
          <w:lang w:val="ru-RU"/>
        </w:rPr>
        <w:drawing>
          <wp:inline distT="0" distB="0" distL="0" distR="0" wp14:anchorId="15D4B6DA" wp14:editId="1C7786A4">
            <wp:extent cx="5873457" cy="3360295"/>
            <wp:effectExtent l="0" t="0" r="0" b="0"/>
            <wp:docPr id="2144251983"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223"/>
                    <a:srcRect/>
                    <a:stretch>
                      <a:fillRect/>
                    </a:stretch>
                  </pic:blipFill>
                  <pic:spPr>
                    <a:xfrm>
                      <a:off x="0" y="0"/>
                      <a:ext cx="5873457" cy="3360295"/>
                    </a:xfrm>
                    <a:prstGeom prst="rect">
                      <a:avLst/>
                    </a:prstGeom>
                    <a:ln/>
                  </pic:spPr>
                </pic:pic>
              </a:graphicData>
            </a:graphic>
          </wp:inline>
        </w:drawing>
      </w:r>
    </w:p>
    <w:p w14:paraId="65EBBDFD" w14:textId="77777777" w:rsidR="00C82386" w:rsidRDefault="00E66F64">
      <w:pPr>
        <w:shd w:val="clear" w:color="auto" w:fill="FFFFFF"/>
        <w:ind w:left="-567" w:firstLine="709"/>
        <w:jc w:val="both"/>
      </w:pPr>
      <w:r>
        <w:rPr>
          <w:noProof/>
          <w:lang w:val="ru-RU"/>
        </w:rPr>
        <w:lastRenderedPageBreak/>
        <w:drawing>
          <wp:inline distT="0" distB="0" distL="0" distR="0" wp14:anchorId="3074F2F5" wp14:editId="11996F62">
            <wp:extent cx="5943600" cy="3400425"/>
            <wp:effectExtent l="0" t="0" r="0" b="0"/>
            <wp:docPr id="2144251985"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224"/>
                    <a:srcRect/>
                    <a:stretch>
                      <a:fillRect/>
                    </a:stretch>
                  </pic:blipFill>
                  <pic:spPr>
                    <a:xfrm>
                      <a:off x="0" y="0"/>
                      <a:ext cx="5943600" cy="3400425"/>
                    </a:xfrm>
                    <a:prstGeom prst="rect">
                      <a:avLst/>
                    </a:prstGeom>
                    <a:ln/>
                  </pic:spPr>
                </pic:pic>
              </a:graphicData>
            </a:graphic>
          </wp:inline>
        </w:drawing>
      </w:r>
    </w:p>
    <w:p w14:paraId="1FE48208"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7.11. Гістограми за результатами опитування мешканців Житомирської ОТГ щодо випадків підтоплення помешкань, станом на серпень-вересень 2020 і 2024 років.</w:t>
      </w:r>
    </w:p>
    <w:p w14:paraId="1C5D2EB2" w14:textId="77777777" w:rsidR="00C82386" w:rsidRDefault="00C82386">
      <w:pPr>
        <w:jc w:val="both"/>
        <w:rPr>
          <w:rFonts w:ascii="Times New Roman" w:eastAsia="Times New Roman" w:hAnsi="Times New Roman" w:cs="Times New Roman"/>
          <w:sz w:val="24"/>
          <w:szCs w:val="24"/>
        </w:rPr>
      </w:pPr>
    </w:p>
    <w:p w14:paraId="3DD52893" w14:textId="77777777" w:rsidR="00C82386" w:rsidRDefault="00E66F64">
      <w:pPr>
        <w:keepNext/>
        <w:keepLines/>
        <w:pBdr>
          <w:top w:val="nil"/>
          <w:left w:val="nil"/>
          <w:bottom w:val="nil"/>
          <w:right w:val="nil"/>
          <w:between w:val="nil"/>
        </w:pBdr>
        <w:spacing w:after="0"/>
        <w:ind w:left="60"/>
        <w:rPr>
          <w:rFonts w:ascii="Times New Roman" w:eastAsia="Times New Roman" w:hAnsi="Times New Roman" w:cs="Times New Roman"/>
          <w:b/>
          <w:color w:val="000000"/>
          <w:sz w:val="24"/>
          <w:szCs w:val="24"/>
        </w:rPr>
      </w:pPr>
      <w:bookmarkStart w:id="119" w:name="_heading=h.14ykbeg" w:colFirst="0" w:colLast="0"/>
      <w:bookmarkEnd w:id="119"/>
      <w:r>
        <w:rPr>
          <w:rFonts w:ascii="Times New Roman" w:eastAsia="Times New Roman" w:hAnsi="Times New Roman" w:cs="Times New Roman"/>
          <w:b/>
          <w:color w:val="000000"/>
          <w:sz w:val="24"/>
          <w:szCs w:val="24"/>
        </w:rPr>
        <w:t>Д2.2.7 Оцінка вразливості до посухи</w:t>
      </w:r>
    </w:p>
    <w:p w14:paraId="358254F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Зміна клімату створює передумови до локальних проявів посухи навіть в тих регіонах, які одночасно можуть бути вразливими до повеней та підтоплень. До цього призводить зміна температурних режимів, перерозподіл опадів та почастішання їх зливового характеру, зниження рівня ґрунтових вод та інші чинники. </w:t>
      </w:r>
    </w:p>
    <w:p w14:paraId="6401443E"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Майже вдвічі зросла повторюваність посухи за останні 20 років. Одночасно спостерігається тенденція до збільшення повторюваності посушливих умов у зоні достатнього атмосферного зволоження, що охоплює Полісся та північні райони Лісостепу</w:t>
      </w:r>
      <w:r>
        <w:rPr>
          <w:rFonts w:ascii="Times New Roman" w:eastAsia="Times New Roman" w:hAnsi="Times New Roman" w:cs="Times New Roman"/>
          <w:sz w:val="24"/>
          <w:szCs w:val="24"/>
          <w:vertAlign w:val="superscript"/>
        </w:rPr>
        <w:footnoteReference w:id="46"/>
      </w:r>
      <w:r>
        <w:rPr>
          <w:rFonts w:ascii="Times New Roman" w:eastAsia="Times New Roman" w:hAnsi="Times New Roman" w:cs="Times New Roman"/>
          <w:sz w:val="24"/>
          <w:szCs w:val="24"/>
        </w:rPr>
        <w:t>.</w:t>
      </w:r>
    </w:p>
    <w:p w14:paraId="1FA3DC3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території міської громади особливо вразливими до посухи є зелені зони: сквери, парки, газони, штучно озеленені території. Засушливі періоди, що виникають під час довготривалих періодів екстремальної спеки, та зливи, які настають після таких періодів, негативно впливають на їх стан. </w:t>
      </w:r>
    </w:p>
    <w:p w14:paraId="6C42D2DC" w14:textId="77777777" w:rsidR="00C82386" w:rsidRDefault="00E66F64">
      <w:pPr>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Міські зелені зони та зелені зони на приміських територіях грають важливу роль природного регулятора температур. Нестача затінених ділянок призводить до перегрівання окремих просторів, що негативно впливає як на комфорт пересування по місту, так і на окремі елементи інфраструктури. Серед опитаних мешканців м. Житомира у 2020 році 61,1% вважали, що наявних скверів, садів та парків у місті мало, тоді як у 2024 році цей показник незначно знизився до 58%. Лише 31,1% респондентів у 2020 році вважали, що </w:t>
      </w:r>
      <w:r>
        <w:rPr>
          <w:rFonts w:ascii="Times New Roman" w:eastAsia="Times New Roman" w:hAnsi="Times New Roman" w:cs="Times New Roman"/>
          <w:color w:val="000000"/>
          <w:sz w:val="24"/>
          <w:szCs w:val="24"/>
        </w:rPr>
        <w:lastRenderedPageBreak/>
        <w:t>зелених зон достатньо, тоді як у 2024 році цей показник зріс до 38%. Найближча прогулянкова зона біля водойми у 2020 і 2024 році розташовувалась в середньому на відстані від двох до чотирьох кілометрів від помешкання або місця роботи учасників опитування, але рівень незадоволеності їх облаштованістю знизився з 83,9% до 66% мешканців.</w:t>
      </w:r>
    </w:p>
    <w:p w14:paraId="5AA02F51"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Такі відповіді підтверджуються описом до Генерального плану міста, в якому вказано на недостатній рівень забезпеченості зеленими насадженнями загального користування (парки, сквери, бульвари – елементи міської забудови; гідропарк, лісопарки, ліси – за межами забудови). Кількість зелених насаджень на одного мешканця Житомира складає 12,4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при нормативній – 16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Площа насаджень загального користування становить у Житомирі 335 гектарів і лише 40,3% з них мають належний стан благоустрою.</w:t>
      </w:r>
      <w:r>
        <w:rPr>
          <w:rFonts w:ascii="Times New Roman" w:eastAsia="Times New Roman" w:hAnsi="Times New Roman" w:cs="Times New Roman"/>
          <w:sz w:val="24"/>
          <w:szCs w:val="24"/>
          <w:vertAlign w:val="superscript"/>
        </w:rPr>
        <w:footnoteReference w:id="47"/>
      </w:r>
    </w:p>
    <w:p w14:paraId="4E4417C2"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Це також підтверджується показниками щільності населення, що наведені в Концепції інтегрованого розвитку Житомира до 2030 року. Найвища щільність населення 5825-7122 осіб/км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спостерігається в центральних районах міста, а в окремих точках міста – понад 18000 осіб/км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Саме там і спостерігається нестача зелених насаджень. Найнижча щільність населення від 2000 осіб/км</w:t>
      </w:r>
      <w:r>
        <w:rPr>
          <w:rFonts w:ascii="Times New Roman" w:eastAsia="Times New Roman" w:hAnsi="Times New Roman" w:cs="Times New Roman"/>
          <w:sz w:val="24"/>
          <w:szCs w:val="24"/>
          <w:vertAlign w:val="superscript"/>
        </w:rPr>
        <w:t xml:space="preserve">2 </w:t>
      </w:r>
      <w:r>
        <w:rPr>
          <w:rFonts w:ascii="Times New Roman" w:eastAsia="Times New Roman" w:hAnsi="Times New Roman" w:cs="Times New Roman"/>
          <w:sz w:val="24"/>
          <w:szCs w:val="24"/>
        </w:rPr>
        <w:t xml:space="preserve">спостерігається у районах приватної одноповерхової забудови, що оточені зеленими насадженнями приватних домогосподарств. </w:t>
      </w:r>
    </w:p>
    <w:p w14:paraId="25504572"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Хоча рівень озеленення територій обмеженого користування (насадження на територіях житлових і громадських будинків, шкіл, дитячих закладів, закладів охорони здоров’я, ін.). Для покращення цих територій лише рекомендується поступова зміна видового складу насаджень на більш посухостійкі та багаторічні. Більшої уваги потребують зелені насадження с. Вереси, де навчальні заклади розташовані в місцях з низьким рівнем озеленення. </w:t>
      </w:r>
    </w:p>
    <w:p w14:paraId="1384E355"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Житомирська міська територіальна громада також потребує створення біля 50 га зелених насаджень спеціального призначення в санітарно-захисних та охоронних зонах. </w:t>
      </w:r>
    </w:p>
    <w:p w14:paraId="6C120134"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Згідно Програми благоустрою та розвитку комунального господарства Житомирської міської територіальної громади на 2016-2022 рр., проблемами громади є недостатній рівень озеленення міста, велика кількість старих небезпечних дерев, неконтрольоване поширення карантинних рослин-алергенів та амброзії у зонах відпочинку, саме тому даною програмою передбачається збільшити площі зелених насаджень у громаді, створити паркові зони відпочинку, замінити застарілі насадження, якісніше утримувати та обслуговувати зелене господарство міста. </w:t>
      </w:r>
    </w:p>
    <w:p w14:paraId="09C5131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даними КП «Зеленбуд» Житомирської міської ради, на об’єктах, що обслуговуються підприємством, не зафіксовано появи нових видів шкідників або захворювань рослин та не зафіксовано скорочення кількості видів рослин в межах зелених зон. КП «Зеленбуд» володіє достатньою кількістю людських та фінансових ресурсів, проте має необхідність у придбанні додаткової техніки – автовишки ВС-28.</w:t>
      </w:r>
    </w:p>
    <w:p w14:paraId="687B16AD" w14:textId="77777777" w:rsidR="00C82386" w:rsidRDefault="00C82386">
      <w:pPr>
        <w:spacing w:after="0"/>
        <w:jc w:val="both"/>
        <w:rPr>
          <w:rFonts w:ascii="Times New Roman" w:eastAsia="Times New Roman" w:hAnsi="Times New Roman" w:cs="Times New Roman"/>
          <w:sz w:val="24"/>
          <w:szCs w:val="24"/>
        </w:rPr>
      </w:pPr>
    </w:p>
    <w:p w14:paraId="5521CE34" w14:textId="77777777" w:rsidR="00C82386" w:rsidRDefault="00E66F64">
      <w:pPr>
        <w:keepNext/>
        <w:keepLines/>
        <w:pBdr>
          <w:top w:val="nil"/>
          <w:left w:val="nil"/>
          <w:bottom w:val="nil"/>
          <w:right w:val="nil"/>
          <w:between w:val="nil"/>
        </w:pBdr>
        <w:spacing w:after="0"/>
        <w:ind w:left="60"/>
        <w:rPr>
          <w:rFonts w:ascii="Times New Roman" w:eastAsia="Times New Roman" w:hAnsi="Times New Roman" w:cs="Times New Roman"/>
          <w:b/>
          <w:color w:val="000000"/>
          <w:sz w:val="24"/>
          <w:szCs w:val="24"/>
        </w:rPr>
      </w:pPr>
      <w:bookmarkStart w:id="120" w:name="_heading=h.3oy7u29" w:colFirst="0" w:colLast="0"/>
      <w:bookmarkEnd w:id="120"/>
      <w:r>
        <w:rPr>
          <w:rFonts w:ascii="Times New Roman" w:eastAsia="Times New Roman" w:hAnsi="Times New Roman" w:cs="Times New Roman"/>
          <w:b/>
          <w:color w:val="000000"/>
          <w:sz w:val="24"/>
          <w:szCs w:val="24"/>
        </w:rPr>
        <w:lastRenderedPageBreak/>
        <w:t>Д2.2.8 Оцінка вразливості до низових пожеж</w:t>
      </w:r>
    </w:p>
    <w:p w14:paraId="0CF07530"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Україні простежується тенденція до зростання кількості низових пожеж, прогнозується, що в наступні 15-20 років їх кількість може зрости удвічі</w:t>
      </w:r>
      <w:r>
        <w:rPr>
          <w:vertAlign w:val="superscript"/>
        </w:rPr>
        <w:footnoteReference w:id="48"/>
      </w:r>
      <w:r>
        <w:rPr>
          <w:rFonts w:ascii="Times New Roman" w:eastAsia="Times New Roman" w:hAnsi="Times New Roman" w:cs="Times New Roman"/>
          <w:sz w:val="24"/>
          <w:szCs w:val="24"/>
        </w:rPr>
        <w:t>. Зростання частоти та тривалості періодів високих температур у поєднанні із зменшенням забезпеченості водними ресурсами може призвести до зростання частоти виникнення низових пожеж. Вони ж призводять як до економічних втрат, втрат біорізноманіття, так і спричиняють негативний вплив на здоров’я населення внаслідок погіршення якості повітря.</w:t>
      </w:r>
    </w:p>
    <w:p w14:paraId="7FCC732C"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Низові пожежі часто викликані підпалами залишків сухої рослинності, низьким рівнем екологічної свідомості окремих представників населення, тобто антропогенні фактори впливу мають особливо значний вплив в міських екосистемах, що частково обумовлюється поведінкою людей. </w:t>
      </w:r>
    </w:p>
    <w:p w14:paraId="616B5CCA" w14:textId="77777777" w:rsidR="00C82386" w:rsidRDefault="00E66F64">
      <w:pPr>
        <w:keepNext/>
        <w:keepLines/>
        <w:pBdr>
          <w:top w:val="nil"/>
          <w:left w:val="nil"/>
          <w:bottom w:val="nil"/>
          <w:right w:val="nil"/>
          <w:between w:val="nil"/>
        </w:pBdr>
        <w:spacing w:after="0"/>
        <w:ind w:left="60"/>
        <w:rPr>
          <w:rFonts w:ascii="Times New Roman" w:eastAsia="Times New Roman" w:hAnsi="Times New Roman" w:cs="Times New Roman"/>
          <w:b/>
          <w:color w:val="000000"/>
          <w:sz w:val="24"/>
          <w:szCs w:val="24"/>
        </w:rPr>
      </w:pPr>
      <w:bookmarkStart w:id="121" w:name="_heading=h.243i4a2" w:colFirst="0" w:colLast="0"/>
      <w:bookmarkEnd w:id="121"/>
      <w:r>
        <w:rPr>
          <w:rFonts w:ascii="Times New Roman" w:eastAsia="Times New Roman" w:hAnsi="Times New Roman" w:cs="Times New Roman"/>
          <w:b/>
          <w:color w:val="000000"/>
          <w:sz w:val="24"/>
          <w:szCs w:val="24"/>
        </w:rPr>
        <w:t>Д2.2.9 Оцінка вразливості до інфекційних захворювань та алергічних проявів</w:t>
      </w:r>
    </w:p>
    <w:p w14:paraId="6ED38A52"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01.01.2021 р. у місті Житомир проживало 37892 (14,4%) людей похилого віку (65 років і старші); дітей (віком до 14 років) – 41181 (15,6%). А у с. Вереси станом на 01.01.2021 проживало 2450 осіб, з них дітей (віком до 14 років) – 282 (11,5%); людей похилого віку (65 років і старші) – 227 (9,3%). Ці дані свідчать про те, що в структурі населення міста лише за віковою ознакою майже третина мешканців міста є вразливими до теплового стресу, інфекційних та алергічних захворювань. Забезпеченість населення стаціонарними ліжками на 10 тисяч населення у Житомирі становить 38,2 од. </w:t>
      </w:r>
    </w:p>
    <w:p w14:paraId="446E5CEE" w14:textId="77777777" w:rsidR="00C82386" w:rsidRDefault="00E66F64">
      <w:pPr>
        <w:jc w:val="both"/>
        <w:rPr>
          <w:rFonts w:ascii="Times New Roman" w:eastAsia="Times New Roman" w:hAnsi="Times New Roman" w:cs="Times New Roman"/>
          <w:sz w:val="24"/>
          <w:szCs w:val="24"/>
        </w:rPr>
      </w:pPr>
      <w:r>
        <w:t xml:space="preserve"> </w:t>
      </w:r>
      <w:r>
        <w:rPr>
          <w:rFonts w:ascii="Times New Roman" w:eastAsia="Times New Roman" w:hAnsi="Times New Roman" w:cs="Times New Roman"/>
          <w:sz w:val="24"/>
          <w:szCs w:val="24"/>
        </w:rPr>
        <w:t xml:space="preserve">Діти є особливо вразливими до поширення інфекційних захворювань, а зростання тривалості періодів із високими температурами формують більш сприятливі умови для їх поширення. Потенційна перспектива зниження якості питної води внаслідок зростання тривалості та частоти виникнення періодів посухи та зниження рівня ґрунтових вод впливають на забезпеченість населення якісною питною водою, що також сприяє поширенню інфекційних захворювань. </w:t>
      </w:r>
      <w:r>
        <w:rPr>
          <w:noProof/>
          <w:lang w:val="ru-RU"/>
        </w:rPr>
        <mc:AlternateContent>
          <mc:Choice Requires="wps">
            <w:drawing>
              <wp:anchor distT="0" distB="0" distL="114300" distR="114300" simplePos="0" relativeHeight="251664384" behindDoc="0" locked="0" layoutInCell="1" hidden="0" allowOverlap="1" wp14:anchorId="4652B5ED" wp14:editId="6E1A2F32">
                <wp:simplePos x="0" y="0"/>
                <wp:positionH relativeFrom="column">
                  <wp:posOffset>114300</wp:posOffset>
                </wp:positionH>
                <wp:positionV relativeFrom="paragraph">
                  <wp:posOffset>2120900</wp:posOffset>
                </wp:positionV>
                <wp:extent cx="635" cy="12700"/>
                <wp:effectExtent l="0" t="0" r="0" b="0"/>
                <wp:wrapSquare wrapText="bothSides" distT="0" distB="0" distL="114300" distR="114300"/>
                <wp:docPr id="2144251946" name="Прямоугольник 2144251946"/>
                <wp:cNvGraphicFramePr/>
                <a:graphic xmlns:a="http://schemas.openxmlformats.org/drawingml/2006/main">
                  <a:graphicData uri="http://schemas.microsoft.com/office/word/2010/wordprocessingShape">
                    <wps:wsp>
                      <wps:cNvSpPr/>
                      <wps:spPr>
                        <a:xfrm>
                          <a:off x="3375913" y="3779683"/>
                          <a:ext cx="3940175" cy="635"/>
                        </a:xfrm>
                        <a:prstGeom prst="rect">
                          <a:avLst/>
                        </a:prstGeom>
                        <a:solidFill>
                          <a:srgbClr val="FFFFFF"/>
                        </a:solidFill>
                        <a:ln>
                          <a:noFill/>
                        </a:ln>
                      </wps:spPr>
                      <wps:txbx>
                        <w:txbxContent>
                          <w:p w14:paraId="230E7EC1" w14:textId="77777777" w:rsidR="00BD7402" w:rsidRDefault="00BD7402">
                            <w:pPr>
                              <w:spacing w:after="120" w:line="240" w:lineRule="auto"/>
                              <w:jc w:val="both"/>
                              <w:textDirection w:val="btLr"/>
                            </w:pPr>
                            <w:r>
                              <w:rPr>
                                <w:rFonts w:ascii="Times New Roman" w:eastAsia="Times New Roman" w:hAnsi="Times New Roman" w:cs="Times New Roman"/>
                                <w:color w:val="000000"/>
                                <w:sz w:val="24"/>
                              </w:rPr>
                              <w:t>Рисунок 7.12 Кількість звернень зі скаргами на алергійні прояви (риніти, дерматити, бронхіальна астма, кропив’янка) за даними Управління охорони здоров’я Житомирської міської ради.</w:t>
                            </w:r>
                          </w:p>
                        </w:txbxContent>
                      </wps:txbx>
                      <wps:bodyPr spcFirstLastPara="1" wrap="square" lIns="0" tIns="0" rIns="0" bIns="0" anchor="t" anchorCtr="0">
                        <a:noAutofit/>
                      </wps:bodyPr>
                    </wps:wsp>
                  </a:graphicData>
                </a:graphic>
              </wp:anchor>
            </w:drawing>
          </mc:Choice>
          <mc:Fallback>
            <w:pict>
              <v:rect w14:anchorId="4652B5ED" id="Прямоугольник 2144251946" o:spid="_x0000_s1062" style="position:absolute;left:0;text-align:left;margin-left:9pt;margin-top:167pt;width:.05pt;height: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" stroked="f">
                <v:textbox inset="0,0,0,0">
                  <w:txbxContent>
                    <w:p w14:paraId="230E7EC1" w14:textId="77777777" w:rsidR="00BD7402" w:rsidRDefault="00BD7402">
                      <w:pPr>
                        <w:spacing w:after="120" w:line="240" w:lineRule="auto"/>
                        <w:jc w:val="both"/>
                        <w:textDirection w:val="btLr"/>
                      </w:pPr>
                      <w:r>
                        <w:rPr>
                          <w:rFonts w:ascii="Times New Roman" w:eastAsia="Times New Roman" w:hAnsi="Times New Roman" w:cs="Times New Roman"/>
                          <w:color w:val="000000"/>
                          <w:sz w:val="24"/>
                        </w:rPr>
                        <w:t>Рисунок 7.12 Кількість звернень зі скаргами на алергійні прояви (риніти, дерматити, бронхіальна астма, кропив’янка) за даними Управління охорони здоров’я Житомирської міської ради.</w:t>
                      </w:r>
                    </w:p>
                  </w:txbxContent>
                </v:textbox>
                <w10:wrap type="square"/>
              </v:rect>
            </w:pict>
          </mc:Fallback>
        </mc:AlternateContent>
      </w:r>
      <w:r>
        <w:rPr>
          <w:noProof/>
          <w:lang w:val="ru-RU"/>
        </w:rPr>
        <w:drawing>
          <wp:anchor distT="0" distB="0" distL="114300" distR="114300" simplePos="0" relativeHeight="251665408" behindDoc="0" locked="0" layoutInCell="1" hidden="0" allowOverlap="1" wp14:anchorId="7D9172CB" wp14:editId="4FEDC9A9">
            <wp:simplePos x="0" y="0"/>
            <wp:positionH relativeFrom="column">
              <wp:posOffset>-633</wp:posOffset>
            </wp:positionH>
            <wp:positionV relativeFrom="paragraph">
              <wp:posOffset>0</wp:posOffset>
            </wp:positionV>
            <wp:extent cx="4238625" cy="2028825"/>
            <wp:effectExtent l="0" t="0" r="0" b="0"/>
            <wp:wrapSquare wrapText="bothSides" distT="0" distB="0" distL="114300" distR="114300"/>
            <wp:docPr id="2144252004" name="image129.png" descr="Зображення, що містить ряд, Графік, схем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9.png" descr="Зображення, що містить ряд, Графік, схема&#10;&#10;Автоматично згенерований опис"/>
                    <pic:cNvPicPr preferRelativeResize="0"/>
                  </pic:nvPicPr>
                  <pic:blipFill>
                    <a:blip r:embed="rId225"/>
                    <a:srcRect/>
                    <a:stretch>
                      <a:fillRect/>
                    </a:stretch>
                  </pic:blipFill>
                  <pic:spPr>
                    <a:xfrm>
                      <a:off x="0" y="0"/>
                      <a:ext cx="4238625" cy="2028825"/>
                    </a:xfrm>
                    <a:prstGeom prst="rect">
                      <a:avLst/>
                    </a:prstGeom>
                    <a:ln/>
                  </pic:spPr>
                </pic:pic>
              </a:graphicData>
            </a:graphic>
          </wp:anchor>
        </w:drawing>
      </w:r>
    </w:p>
    <w:p w14:paraId="58EFFB17"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Підвищення температури повітря та подовження тривалості сезонів теплих температур сприятиме </w:t>
      </w:r>
      <w:r>
        <w:rPr>
          <w:rFonts w:ascii="Times New Roman" w:eastAsia="Times New Roman" w:hAnsi="Times New Roman" w:cs="Times New Roman"/>
          <w:i/>
          <w:sz w:val="24"/>
          <w:szCs w:val="24"/>
        </w:rPr>
        <w:t>«збільшенню»</w:t>
      </w:r>
      <w:r>
        <w:rPr>
          <w:rFonts w:ascii="Times New Roman" w:eastAsia="Times New Roman" w:hAnsi="Times New Roman" w:cs="Times New Roman"/>
          <w:sz w:val="24"/>
          <w:szCs w:val="24"/>
        </w:rPr>
        <w:t xml:space="preserve"> тривалості вегетаційного сезону та періоду цвітіння рослин, що може бути причиною присутності в повітрі квіткового пилку рослин-алергенів у значній кількості. Це призводить до зростання кількості алергічних проявів. Так кількість звернень до лікарів зросла з 650 у 2012 році до 1000 у 2021 році. Внаслідок цього збільшуються періоди непрацездатності для людей, які страждають на алергію, падає якість </w:t>
      </w:r>
      <w:r>
        <w:rPr>
          <w:rFonts w:ascii="Times New Roman" w:eastAsia="Times New Roman" w:hAnsi="Times New Roman" w:cs="Times New Roman"/>
          <w:sz w:val="24"/>
          <w:szCs w:val="24"/>
        </w:rPr>
        <w:lastRenderedPageBreak/>
        <w:t>навчання, адже діти схильні до алергій більше за дорослих. Крім того, для людей з хронічною астмою і алергіків посилюється ризик виникнення або ускладнення гострих респіраторних станів</w:t>
      </w:r>
      <w:r>
        <w:rPr>
          <w:vertAlign w:val="superscript"/>
        </w:rPr>
        <w:footnoteReference w:id="49"/>
      </w:r>
      <w:r>
        <w:rPr>
          <w:rFonts w:ascii="Times New Roman" w:eastAsia="Times New Roman" w:hAnsi="Times New Roman" w:cs="Times New Roman"/>
          <w:sz w:val="24"/>
          <w:szCs w:val="24"/>
        </w:rPr>
        <w:t xml:space="preserve">. </w:t>
      </w:r>
    </w:p>
    <w:p w14:paraId="09807906"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Описані вище кліматичні умови подовженого періоду вегетації рослин мають схожі прояви і для тваринного світу. Теплі зими сприяють як поширенню нових патогенних організмів, так і зростанню кількості типових для України комах. В Україні, наприклад, вже зараз зростає кількість випадків ханта вірусу, кліщового енцефаліту, бореліозу, що передається кліщами. Хоча на території Житомира фіксується певний спад звернень до лікарів з укусами кліщів починаючи з 2020 року, проте в період з 2012 по 2017 роки кількість звернень зросла з 390 випадків до 480. </w:t>
      </w:r>
    </w:p>
    <w:p w14:paraId="20AFA297"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05E323B" wp14:editId="68B9F977">
            <wp:extent cx="3892750" cy="2108308"/>
            <wp:effectExtent l="0" t="0" r="0" b="0"/>
            <wp:docPr id="2144251981" name="image113.png" descr="Зображення, що містить ряд, Графік, схема, схил&#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3.png" descr="Зображення, що містить ряд, Графік, схема, схил&#10;&#10;Автоматично згенерований опис"/>
                    <pic:cNvPicPr preferRelativeResize="0"/>
                  </pic:nvPicPr>
                  <pic:blipFill>
                    <a:blip r:embed="rId226"/>
                    <a:srcRect/>
                    <a:stretch>
                      <a:fillRect/>
                    </a:stretch>
                  </pic:blipFill>
                  <pic:spPr>
                    <a:xfrm>
                      <a:off x="0" y="0"/>
                      <a:ext cx="3892750" cy="2108308"/>
                    </a:xfrm>
                    <a:prstGeom prst="rect">
                      <a:avLst/>
                    </a:prstGeom>
                    <a:ln/>
                  </pic:spPr>
                </pic:pic>
              </a:graphicData>
            </a:graphic>
          </wp:inline>
        </w:drawing>
      </w:r>
    </w:p>
    <w:p w14:paraId="0CFD324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7.13. Кількість звернень пацієнтів з укусами кліщів за даними Управління охорони здоров’я Житомирської міської ради.</w:t>
      </w:r>
    </w:p>
    <w:p w14:paraId="687F9DB2" w14:textId="77777777" w:rsidR="00C82386" w:rsidRDefault="00C82386">
      <w:pPr>
        <w:spacing w:after="0"/>
        <w:jc w:val="both"/>
        <w:rPr>
          <w:rFonts w:ascii="Times New Roman" w:eastAsia="Times New Roman" w:hAnsi="Times New Roman" w:cs="Times New Roman"/>
          <w:sz w:val="24"/>
          <w:szCs w:val="24"/>
        </w:rPr>
      </w:pPr>
    </w:p>
    <w:p w14:paraId="02D19AD2" w14:textId="77777777" w:rsidR="00C82386" w:rsidRDefault="00C82386">
      <w:pPr>
        <w:spacing w:after="0"/>
        <w:jc w:val="both"/>
        <w:rPr>
          <w:rFonts w:ascii="Times New Roman" w:eastAsia="Times New Roman" w:hAnsi="Times New Roman" w:cs="Times New Roman"/>
          <w:sz w:val="24"/>
          <w:szCs w:val="24"/>
        </w:rPr>
        <w:sectPr w:rsidR="00C82386">
          <w:pgSz w:w="11906" w:h="16838"/>
          <w:pgMar w:top="1134" w:right="851" w:bottom="1134" w:left="1701" w:header="709" w:footer="709" w:gutter="0"/>
          <w:cols w:space="720"/>
        </w:sectPr>
      </w:pPr>
    </w:p>
    <w:p w14:paraId="3E2D2602" w14:textId="77777777" w:rsidR="00B55434" w:rsidRDefault="00E66F64">
      <w:pPr>
        <w:keepNext/>
        <w:keepLines/>
        <w:pBdr>
          <w:top w:val="nil"/>
          <w:left w:val="nil"/>
          <w:bottom w:val="nil"/>
          <w:right w:val="nil"/>
          <w:between w:val="nil"/>
        </w:pBdr>
        <w:spacing w:after="0"/>
        <w:rPr>
          <w:rFonts w:ascii="Times New Roman" w:eastAsia="Times New Roman" w:hAnsi="Times New Roman" w:cs="Times New Roman"/>
          <w:b/>
          <w:color w:val="000000"/>
          <w:sz w:val="24"/>
          <w:szCs w:val="24"/>
        </w:rPr>
      </w:pPr>
      <w:bookmarkStart w:id="122" w:name="_heading=h.j8sehv" w:colFirst="0" w:colLast="0"/>
      <w:bookmarkEnd w:id="122"/>
      <w:r>
        <w:rPr>
          <w:rFonts w:ascii="Times New Roman" w:eastAsia="Times New Roman" w:hAnsi="Times New Roman" w:cs="Times New Roman"/>
          <w:b/>
          <w:color w:val="000000"/>
          <w:sz w:val="24"/>
          <w:szCs w:val="24"/>
        </w:rPr>
        <w:lastRenderedPageBreak/>
        <w:t>ДОДАТОК 3.</w:t>
      </w:r>
    </w:p>
    <w:p w14:paraId="6517EBA6" w14:textId="77777777" w:rsidR="00C82386" w:rsidRDefault="00E66F64" w:rsidP="00B55434">
      <w:pPr>
        <w:keepNext/>
        <w:keepLines/>
        <w:pBdr>
          <w:top w:val="nil"/>
          <w:left w:val="nil"/>
          <w:bottom w:val="nil"/>
          <w:right w:val="nil"/>
          <w:between w:val="nil"/>
        </w:pBdr>
        <w:spacing w:after="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Оцінка ризиків та вразливості до</w:t>
      </w:r>
      <w:r w:rsidR="00B55434">
        <w:rPr>
          <w:rFonts w:ascii="Times New Roman" w:eastAsia="Times New Roman" w:hAnsi="Times New Roman" w:cs="Times New Roman"/>
          <w:b/>
          <w:color w:val="000000"/>
          <w:sz w:val="24"/>
          <w:szCs w:val="24"/>
        </w:rPr>
        <w:t xml:space="preserve"> змін клімату Житомирської МТГ </w:t>
      </w:r>
      <w:r>
        <w:rPr>
          <w:rFonts w:ascii="Times New Roman" w:eastAsia="Times New Roman" w:hAnsi="Times New Roman" w:cs="Times New Roman"/>
          <w:b/>
          <w:color w:val="000000"/>
          <w:sz w:val="24"/>
          <w:szCs w:val="24"/>
        </w:rPr>
        <w:t xml:space="preserve">згідно </w:t>
      </w:r>
      <w:r w:rsidR="00B55434">
        <w:rPr>
          <w:rFonts w:ascii="Times New Roman" w:eastAsia="Times New Roman" w:hAnsi="Times New Roman" w:cs="Times New Roman"/>
          <w:b/>
          <w:color w:val="000000"/>
          <w:sz w:val="24"/>
          <w:szCs w:val="24"/>
        </w:rPr>
        <w:t>методики Угоди мерів</w:t>
      </w:r>
    </w:p>
    <w:p w14:paraId="61B836B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того, щоб визначити першочергові заходи з адаптації Житомирської міської громади необхідно визначити ризики, що  пов’язані зі зміною клімату, рівень чутливості до ризиків та потенціал з адаптації до кожного ризику.</w:t>
      </w:r>
    </w:p>
    <w:p w14:paraId="7318DF07"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Оцінка здійснена у відповідності до документа «</w:t>
      </w:r>
      <w:r w:rsidR="00421EC5" w:rsidRPr="00421EC5">
        <w:rPr>
          <w:rFonts w:ascii="Times New Roman" w:eastAsia="Times New Roman" w:hAnsi="Times New Roman" w:cs="Times New Roman"/>
          <w:sz w:val="24"/>
          <w:szCs w:val="24"/>
          <w:lang w:val="en-GB"/>
        </w:rPr>
        <w:t>How</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to</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develop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Sustainable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Energy</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and</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Climate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Action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Plan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in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the</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Eastern</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Partnership</w:t>
      </w:r>
      <w:r w:rsidR="00421EC5" w:rsidRPr="0026626A">
        <w:rPr>
          <w:rFonts w:ascii="Times New Roman" w:eastAsia="Times New Roman" w:hAnsi="Times New Roman" w:cs="Times New Roman"/>
          <w:sz w:val="24"/>
          <w:szCs w:val="24"/>
        </w:rPr>
        <w:t xml:space="preserve"> </w:t>
      </w:r>
      <w:r w:rsidR="00421EC5" w:rsidRPr="00421EC5">
        <w:rPr>
          <w:rFonts w:ascii="Times New Roman" w:eastAsia="Times New Roman" w:hAnsi="Times New Roman" w:cs="Times New Roman"/>
          <w:sz w:val="24"/>
          <w:szCs w:val="24"/>
          <w:lang w:val="en-GB"/>
        </w:rPr>
        <w:t>Countries</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footnoteReference w:id="50"/>
      </w:r>
      <w:r>
        <w:rPr>
          <w:rFonts w:ascii="Times New Roman" w:eastAsia="Times New Roman" w:hAnsi="Times New Roman" w:cs="Times New Roman"/>
          <w:sz w:val="24"/>
          <w:szCs w:val="24"/>
        </w:rPr>
        <w:t xml:space="preserve"> (</w:t>
      </w:r>
      <w:r w:rsidR="00421EC5">
        <w:rPr>
          <w:rFonts w:ascii="Times New Roman" w:eastAsia="Times New Roman" w:hAnsi="Times New Roman" w:cs="Times New Roman"/>
          <w:sz w:val="24"/>
          <w:szCs w:val="24"/>
          <w:lang w:val="en-US"/>
        </w:rPr>
        <w:t>eng</w:t>
      </w:r>
      <w:r>
        <w:rPr>
          <w:rFonts w:ascii="Times New Roman" w:eastAsia="Times New Roman" w:hAnsi="Times New Roman" w:cs="Times New Roman"/>
          <w:sz w:val="24"/>
          <w:szCs w:val="24"/>
        </w:rPr>
        <w:t>) на основі практичного кейсу «Захист клімату та адаптація до змін клімату на локальному рівні»</w:t>
      </w:r>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vertAlign w:val="superscript"/>
        </w:rPr>
        <w:footnoteReference w:id="51"/>
      </w:r>
      <w:r>
        <w:rPr>
          <w:rFonts w:ascii="Times New Roman" w:eastAsia="Times New Roman" w:hAnsi="Times New Roman" w:cs="Times New Roman"/>
          <w:sz w:val="24"/>
          <w:szCs w:val="24"/>
        </w:rPr>
        <w:t xml:space="preserve"> та врахування структури наповнення шаблону ПДСЕРК.</w:t>
      </w:r>
    </w:p>
    <w:p w14:paraId="1C30FEBD"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Оцінка проводиться для наступних кліматичних ризиків: </w:t>
      </w:r>
    </w:p>
    <w:p w14:paraId="1EA9616B"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Екстремальна спека,</w:t>
      </w:r>
    </w:p>
    <w:p w14:paraId="630B07A8"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Екстремальний холод,</w:t>
      </w:r>
    </w:p>
    <w:p w14:paraId="3931A44E"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Екстремальні опади: зливи, снігопади, град,</w:t>
      </w:r>
    </w:p>
    <w:p w14:paraId="407909DF"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Підвищення рівня води,</w:t>
      </w:r>
    </w:p>
    <w:p w14:paraId="7E7C7910"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Посуха,</w:t>
      </w:r>
    </w:p>
    <w:p w14:paraId="083D5ED7"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Пожежі низові,</w:t>
      </w:r>
    </w:p>
    <w:p w14:paraId="356C13AE" w14:textId="77777777" w:rsidR="00C82386" w:rsidRDefault="00E66F64">
      <w:pPr>
        <w:numPr>
          <w:ilvl w:val="0"/>
          <w:numId w:val="75"/>
        </w:numPr>
        <w:pBdr>
          <w:top w:val="nil"/>
          <w:left w:val="nil"/>
          <w:bottom w:val="nil"/>
          <w:right w:val="nil"/>
          <w:between w:val="nil"/>
        </w:pBdr>
        <w:spacing w:after="0"/>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Інфекційні захворювання та алергічні прояви,</w:t>
      </w:r>
    </w:p>
    <w:p w14:paraId="0E3BCF2F" w14:textId="77777777" w:rsidR="00C82386" w:rsidRDefault="00E66F64">
      <w:pPr>
        <w:spacing w:before="24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Перш за все необхідно визначитись із дією впливу ризиків на Житомирську міську громаду. В подальшому, дія впливу буде позначатися «E». </w:t>
      </w:r>
      <w:r>
        <w:rPr>
          <w:rFonts w:ascii="Times New Roman" w:eastAsia="Times New Roman" w:hAnsi="Times New Roman" w:cs="Times New Roman"/>
          <w:b/>
          <w:sz w:val="24"/>
          <w:szCs w:val="24"/>
        </w:rPr>
        <w:t>Дія впливу</w:t>
      </w:r>
      <w:r>
        <w:rPr>
          <w:rFonts w:ascii="Times New Roman" w:eastAsia="Times New Roman" w:hAnsi="Times New Roman" w:cs="Times New Roman"/>
          <w:sz w:val="24"/>
          <w:szCs w:val="24"/>
        </w:rPr>
        <w:t xml:space="preserve"> визначається згідно таблиці наступної таблиці:</w:t>
      </w:r>
    </w:p>
    <w:tbl>
      <w:tblPr>
        <w:tblStyle w:val="affffffffb"/>
        <w:tblpPr w:leftFromText="180" w:rightFromText="180" w:vertAnchor="text" w:tblpY="169"/>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67"/>
        <w:gridCol w:w="1434"/>
        <w:gridCol w:w="6149"/>
      </w:tblGrid>
      <w:tr w:rsidR="00C82386" w14:paraId="62C6F953" w14:textId="77777777">
        <w:tc>
          <w:tcPr>
            <w:tcW w:w="1767" w:type="dxa"/>
          </w:tcPr>
          <w:p w14:paraId="2787F0CD"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Дія впливу  «E»</w:t>
            </w:r>
          </w:p>
        </w:tc>
        <w:tc>
          <w:tcPr>
            <w:tcW w:w="1434" w:type="dxa"/>
          </w:tcPr>
          <w:p w14:paraId="252DC131"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Імовірність виникнення </w:t>
            </w:r>
          </w:p>
        </w:tc>
        <w:tc>
          <w:tcPr>
            <w:tcW w:w="6149" w:type="dxa"/>
          </w:tcPr>
          <w:p w14:paraId="67592AA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Опис</w:t>
            </w:r>
          </w:p>
        </w:tc>
      </w:tr>
      <w:tr w:rsidR="00C82386" w14:paraId="7884BFD0" w14:textId="77777777">
        <w:trPr>
          <w:trHeight w:val="272"/>
        </w:trPr>
        <w:tc>
          <w:tcPr>
            <w:tcW w:w="1767" w:type="dxa"/>
          </w:tcPr>
          <w:p w14:paraId="0657D42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434" w:type="dxa"/>
          </w:tcPr>
          <w:p w14:paraId="7271837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6149" w:type="dxa"/>
          </w:tcPr>
          <w:p w14:paraId="07CDAD7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відбувалася протягом останніх 10 років</w:t>
            </w:r>
          </w:p>
        </w:tc>
      </w:tr>
      <w:tr w:rsidR="00C82386" w14:paraId="328561B5" w14:textId="77777777">
        <w:tc>
          <w:tcPr>
            <w:tcW w:w="1767" w:type="dxa"/>
          </w:tcPr>
          <w:p w14:paraId="17BF8BF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34" w:type="dxa"/>
          </w:tcPr>
          <w:p w14:paraId="2A6A6BD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низький</w:t>
            </w:r>
          </w:p>
        </w:tc>
        <w:tc>
          <w:tcPr>
            <w:tcW w:w="6149" w:type="dxa"/>
          </w:tcPr>
          <w:p w14:paraId="4FB6CA8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Спостерігалась 1-2 рази протягом останніх 10 років</w:t>
            </w:r>
          </w:p>
        </w:tc>
      </w:tr>
      <w:tr w:rsidR="00C82386" w14:paraId="4C9AE1A3" w14:textId="77777777">
        <w:tc>
          <w:tcPr>
            <w:tcW w:w="1767" w:type="dxa"/>
          </w:tcPr>
          <w:p w14:paraId="4202387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34" w:type="dxa"/>
          </w:tcPr>
          <w:p w14:paraId="6A3D13A8"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середній</w:t>
            </w:r>
          </w:p>
        </w:tc>
        <w:tc>
          <w:tcPr>
            <w:tcW w:w="6149" w:type="dxa"/>
          </w:tcPr>
          <w:p w14:paraId="4427F97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Спостерігалась 3-5 разів протягом останніх 10 років</w:t>
            </w:r>
          </w:p>
        </w:tc>
      </w:tr>
      <w:tr w:rsidR="00C82386" w14:paraId="6B8252D2" w14:textId="77777777">
        <w:tc>
          <w:tcPr>
            <w:tcW w:w="1767" w:type="dxa"/>
          </w:tcPr>
          <w:p w14:paraId="6CCF110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434" w:type="dxa"/>
          </w:tcPr>
          <w:p w14:paraId="5ECCA86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високий</w:t>
            </w:r>
          </w:p>
        </w:tc>
        <w:tc>
          <w:tcPr>
            <w:tcW w:w="6149" w:type="dxa"/>
          </w:tcPr>
          <w:p w14:paraId="6C64A106"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Спостерігалась 6 і більше разів протягом останніх 10 років</w:t>
            </w:r>
          </w:p>
        </w:tc>
      </w:tr>
    </w:tbl>
    <w:p w14:paraId="01B03502" w14:textId="77777777" w:rsidR="00C82386" w:rsidRDefault="00E66F64">
      <w:pPr>
        <w:spacing w:before="240"/>
        <w:ind w:firstLine="709"/>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Рівень чутливості</w:t>
      </w:r>
      <w:r>
        <w:rPr>
          <w:rFonts w:ascii="Times New Roman" w:eastAsia="Times New Roman" w:hAnsi="Times New Roman" w:cs="Times New Roman"/>
          <w:sz w:val="24"/>
          <w:szCs w:val="24"/>
        </w:rPr>
        <w:t xml:space="preserve"> до ризиків, пов’язаних зі зміною клімату Житомирської міської громади визначається наступним чином:</w:t>
      </w:r>
    </w:p>
    <w:p w14:paraId="5FEE44CC" w14:textId="77777777" w:rsidR="00C82386" w:rsidRDefault="00C82386">
      <w:pPr>
        <w:spacing w:before="240"/>
        <w:jc w:val="both"/>
        <w:rPr>
          <w:rFonts w:ascii="Times New Roman" w:eastAsia="Times New Roman" w:hAnsi="Times New Roman" w:cs="Times New Roman"/>
          <w:sz w:val="24"/>
          <w:szCs w:val="24"/>
          <w:highlight w:val="yellow"/>
        </w:rPr>
      </w:pPr>
    </w:p>
    <w:tbl>
      <w:tblPr>
        <w:tblStyle w:val="affffffffc"/>
        <w:tblW w:w="934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1134"/>
        <w:gridCol w:w="6092"/>
      </w:tblGrid>
      <w:tr w:rsidR="00C82386" w14:paraId="6B2CD44B" w14:textId="77777777">
        <w:trPr>
          <w:jc w:val="center"/>
        </w:trPr>
        <w:tc>
          <w:tcPr>
            <w:tcW w:w="2122" w:type="dxa"/>
          </w:tcPr>
          <w:p w14:paraId="52D2335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Оцінка впливу – «А»</w:t>
            </w:r>
          </w:p>
        </w:tc>
        <w:tc>
          <w:tcPr>
            <w:tcW w:w="1134" w:type="dxa"/>
          </w:tcPr>
          <w:p w14:paraId="65091474"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Рівень</w:t>
            </w:r>
          </w:p>
        </w:tc>
        <w:tc>
          <w:tcPr>
            <w:tcW w:w="6092" w:type="dxa"/>
          </w:tcPr>
          <w:p w14:paraId="2862A3A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Приклади</w:t>
            </w:r>
          </w:p>
        </w:tc>
      </w:tr>
      <w:tr w:rsidR="00C82386" w14:paraId="5A8D95BB" w14:textId="77777777">
        <w:trPr>
          <w:jc w:val="center"/>
        </w:trPr>
        <w:tc>
          <w:tcPr>
            <w:tcW w:w="2122" w:type="dxa"/>
          </w:tcPr>
          <w:p w14:paraId="31D93BE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34" w:type="dxa"/>
          </w:tcPr>
          <w:p w14:paraId="75DBF41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6092" w:type="dxa"/>
          </w:tcPr>
          <w:p w14:paraId="12301B2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випадків не зареєстровано</w:t>
            </w:r>
          </w:p>
        </w:tc>
      </w:tr>
      <w:tr w:rsidR="00C82386" w14:paraId="40145C72" w14:textId="77777777">
        <w:trPr>
          <w:jc w:val="center"/>
        </w:trPr>
        <w:tc>
          <w:tcPr>
            <w:tcW w:w="2122" w:type="dxa"/>
          </w:tcPr>
          <w:p w14:paraId="04B6117C"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1134" w:type="dxa"/>
          </w:tcPr>
          <w:p w14:paraId="57C980C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низький</w:t>
            </w:r>
          </w:p>
        </w:tc>
        <w:tc>
          <w:tcPr>
            <w:tcW w:w="6092" w:type="dxa"/>
          </w:tcPr>
          <w:p w14:paraId="685D93F3" w14:textId="77777777" w:rsidR="00C82386" w:rsidRDefault="00E66F64">
            <w:pPr>
              <w:numPr>
                <w:ilvl w:val="0"/>
                <w:numId w:val="73"/>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протягом останніх 10 років були випадки затоплення перших 1-2 поверхів.</w:t>
            </w:r>
          </w:p>
          <w:p w14:paraId="6901CCAF" w14:textId="77777777" w:rsidR="00C82386" w:rsidRDefault="00E66F64">
            <w:pPr>
              <w:numPr>
                <w:ilvl w:val="0"/>
                <w:numId w:val="73"/>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зафіксовано кілька випадків дії впливу, наприклад, перші поверхи 10 житлових будинків були затоплені брудом, </w:t>
            </w:r>
          </w:p>
          <w:p w14:paraId="051635A3" w14:textId="77777777" w:rsidR="00C82386" w:rsidRDefault="00E66F64">
            <w:pPr>
              <w:numPr>
                <w:ilvl w:val="0"/>
                <w:numId w:val="73"/>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дні екстремального холоду/спеки на 1-2 години </w:t>
            </w:r>
            <w:r>
              <w:rPr>
                <w:rFonts w:ascii="Times New Roman" w:eastAsia="Times New Roman" w:hAnsi="Times New Roman" w:cs="Times New Roman"/>
                <w:sz w:val="24"/>
                <w:szCs w:val="24"/>
              </w:rPr>
              <w:t>відключають</w:t>
            </w:r>
            <w:r>
              <w:rPr>
                <w:rFonts w:ascii="Times New Roman" w:eastAsia="Times New Roman" w:hAnsi="Times New Roman" w:cs="Times New Roman"/>
                <w:color w:val="000000"/>
                <w:sz w:val="24"/>
                <w:szCs w:val="24"/>
              </w:rPr>
              <w:t xml:space="preserve"> електроенергію/воду</w:t>
            </w:r>
          </w:p>
        </w:tc>
      </w:tr>
      <w:tr w:rsidR="00C82386" w14:paraId="7AEB635E" w14:textId="77777777">
        <w:trPr>
          <w:jc w:val="center"/>
        </w:trPr>
        <w:tc>
          <w:tcPr>
            <w:tcW w:w="2122" w:type="dxa"/>
          </w:tcPr>
          <w:p w14:paraId="682B5E06"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134" w:type="dxa"/>
          </w:tcPr>
          <w:p w14:paraId="62C2F980"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середній</w:t>
            </w:r>
          </w:p>
        </w:tc>
        <w:tc>
          <w:tcPr>
            <w:tcW w:w="6092" w:type="dxa"/>
          </w:tcPr>
          <w:p w14:paraId="6CEA7DD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Зафіксовано велику кількість випадків виникнення небезпечних ситуацій, наприклад, затопило 100 га земель тощо</w:t>
            </w:r>
          </w:p>
        </w:tc>
      </w:tr>
      <w:tr w:rsidR="00C82386" w14:paraId="1AFE70FD" w14:textId="77777777">
        <w:trPr>
          <w:jc w:val="center"/>
        </w:trPr>
        <w:tc>
          <w:tcPr>
            <w:tcW w:w="2122" w:type="dxa"/>
          </w:tcPr>
          <w:p w14:paraId="3350167E"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134" w:type="dxa"/>
          </w:tcPr>
          <w:p w14:paraId="227BB7A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високий</w:t>
            </w:r>
          </w:p>
        </w:tc>
        <w:tc>
          <w:tcPr>
            <w:tcW w:w="6092" w:type="dxa"/>
          </w:tcPr>
          <w:p w14:paraId="7F41D111"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Зафіксована серйозна небезпека та відчутні наслідки, пов'язані з такою небезпекою, наприклад, більше 60% території міста пошкоджено селевими потоками або через зсув головна магістраль міста була недоступна більше місяця.</w:t>
            </w:r>
          </w:p>
        </w:tc>
      </w:tr>
    </w:tbl>
    <w:p w14:paraId="2E415E79" w14:textId="77777777" w:rsidR="00C82386" w:rsidRDefault="00E66F64">
      <w:pPr>
        <w:spacing w:before="24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Оцінка </w:t>
      </w:r>
      <w:r>
        <w:rPr>
          <w:rFonts w:ascii="Times New Roman" w:eastAsia="Times New Roman" w:hAnsi="Times New Roman" w:cs="Times New Roman"/>
          <w:b/>
          <w:sz w:val="24"/>
          <w:szCs w:val="24"/>
        </w:rPr>
        <w:t>чутливості</w:t>
      </w:r>
      <w:r>
        <w:rPr>
          <w:rFonts w:ascii="Times New Roman" w:eastAsia="Times New Roman" w:hAnsi="Times New Roman" w:cs="Times New Roman"/>
          <w:sz w:val="24"/>
          <w:szCs w:val="24"/>
        </w:rPr>
        <w:t xml:space="preserve"> (Z) муніципалітету до ризиків, пов'язаних зі зміною клімату, розраховується відповідно до формули: </w:t>
      </w:r>
    </w:p>
    <w:p w14:paraId="1CD20327"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 = E x (A1+A2+A3+A4+A5+A6+A7+A8+A9+A10+A11+A12+A13), де</w:t>
      </w:r>
    </w:p>
    <w:p w14:paraId="3FCFB5AD"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 - чутливість</w:t>
      </w:r>
    </w:p>
    <w:p w14:paraId="1E7984C4" w14:textId="77777777" w:rsidR="00C82386" w:rsidRDefault="00E66F64">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 - дія впливу</w:t>
      </w:r>
    </w:p>
    <w:p w14:paraId="36E721A7"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 вплив</w:t>
      </w:r>
    </w:p>
    <w:p w14:paraId="5C02E453"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Наступним кроком аналізується потенціал адаптації (Н) Житомирської міської громади, за прикладом:</w:t>
      </w:r>
    </w:p>
    <w:tbl>
      <w:tblPr>
        <w:tblStyle w:val="affffffffd"/>
        <w:tblW w:w="934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134"/>
        <w:gridCol w:w="6234"/>
      </w:tblGrid>
      <w:tr w:rsidR="00C82386" w14:paraId="62370268" w14:textId="77777777">
        <w:tc>
          <w:tcPr>
            <w:tcW w:w="1980" w:type="dxa"/>
          </w:tcPr>
          <w:p w14:paraId="75FE2A20"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Потенціал адаптації (Н)</w:t>
            </w:r>
          </w:p>
        </w:tc>
        <w:tc>
          <w:tcPr>
            <w:tcW w:w="1134" w:type="dxa"/>
          </w:tcPr>
          <w:p w14:paraId="32A315FF"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Рівень</w:t>
            </w:r>
          </w:p>
        </w:tc>
        <w:tc>
          <w:tcPr>
            <w:tcW w:w="6234" w:type="dxa"/>
          </w:tcPr>
          <w:p w14:paraId="358FA198"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Приклади</w:t>
            </w:r>
          </w:p>
        </w:tc>
      </w:tr>
      <w:tr w:rsidR="00C82386" w14:paraId="1FF572C9" w14:textId="77777777">
        <w:tc>
          <w:tcPr>
            <w:tcW w:w="1980" w:type="dxa"/>
          </w:tcPr>
          <w:p w14:paraId="736446D7"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134" w:type="dxa"/>
          </w:tcPr>
          <w:p w14:paraId="68FE97FF"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6234" w:type="dxa"/>
          </w:tcPr>
          <w:p w14:paraId="0A19EF1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Відсутність інфраструктури проти повеней </w:t>
            </w:r>
          </w:p>
        </w:tc>
      </w:tr>
      <w:tr w:rsidR="00C82386" w14:paraId="5A611875" w14:textId="77777777">
        <w:tc>
          <w:tcPr>
            <w:tcW w:w="1980" w:type="dxa"/>
          </w:tcPr>
          <w:p w14:paraId="26415C6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134" w:type="dxa"/>
          </w:tcPr>
          <w:p w14:paraId="34832EB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низький</w:t>
            </w:r>
          </w:p>
        </w:tc>
        <w:tc>
          <w:tcPr>
            <w:tcW w:w="6234" w:type="dxa"/>
          </w:tcPr>
          <w:p w14:paraId="27A4050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C82386" w14:paraId="1D8B1611" w14:textId="77777777">
        <w:tc>
          <w:tcPr>
            <w:tcW w:w="1980" w:type="dxa"/>
          </w:tcPr>
          <w:p w14:paraId="59F42E93"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134" w:type="dxa"/>
          </w:tcPr>
          <w:p w14:paraId="07AB90B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середній</w:t>
            </w:r>
          </w:p>
        </w:tc>
        <w:tc>
          <w:tcPr>
            <w:tcW w:w="6234" w:type="dxa"/>
          </w:tcPr>
          <w:p w14:paraId="5BDBE27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 </w:t>
            </w:r>
          </w:p>
        </w:tc>
      </w:tr>
      <w:tr w:rsidR="00C82386" w14:paraId="7D9FDFDC" w14:textId="77777777">
        <w:tc>
          <w:tcPr>
            <w:tcW w:w="1980" w:type="dxa"/>
          </w:tcPr>
          <w:p w14:paraId="7BDA5E2B" w14:textId="77777777" w:rsidR="00C82386" w:rsidRDefault="00E66F6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134" w:type="dxa"/>
          </w:tcPr>
          <w:p w14:paraId="035B893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високий</w:t>
            </w:r>
          </w:p>
        </w:tc>
        <w:tc>
          <w:tcPr>
            <w:tcW w:w="6234" w:type="dxa"/>
          </w:tcPr>
          <w:p w14:paraId="69ABC48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Існує достатня система захисту від повеней, яка обслуговується належним чином. У місті досить зелених зон та водопровідних кранів для зниження впливу теплових хвиль</w:t>
            </w:r>
          </w:p>
        </w:tc>
      </w:tr>
    </w:tbl>
    <w:p w14:paraId="795BF32E" w14:textId="77777777" w:rsidR="00C82386" w:rsidRDefault="00E66F6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Тут варто відмітити, що адаптаційний потенціал антропогенних систем є невисоким, і за окремими показниками в останні роки спостерігається тенденція до його </w:t>
      </w:r>
      <w:r>
        <w:rPr>
          <w:rFonts w:ascii="Times New Roman" w:eastAsia="Times New Roman" w:hAnsi="Times New Roman" w:cs="Times New Roman"/>
          <w:sz w:val="24"/>
          <w:szCs w:val="24"/>
        </w:rPr>
        <w:lastRenderedPageBreak/>
        <w:t xml:space="preserve">зниження. Це визначає високі показники ризиків при однакових впливах, порівняно із європейськими регіонами. </w:t>
      </w:r>
      <w:r>
        <w:rPr>
          <w:rFonts w:ascii="Times New Roman" w:eastAsia="Times New Roman" w:hAnsi="Times New Roman" w:cs="Times New Roman"/>
          <w:sz w:val="24"/>
          <w:szCs w:val="24"/>
          <w:vertAlign w:val="superscript"/>
        </w:rPr>
        <w:footnoteReference w:id="52"/>
      </w:r>
    </w:p>
    <w:p w14:paraId="578D1A14" w14:textId="77777777" w:rsidR="00C82386" w:rsidRDefault="00E66F64">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Виходячи з чутливості та потенціалу адаптації, можна оцінити рівень вразливості Житомирської міської громади до конкретних, пов'язаних зі зміною клімату ризиків, користуючись наведеною нижче матрицею.</w:t>
      </w:r>
    </w:p>
    <w:p w14:paraId="5B2E6088"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41A44A22" wp14:editId="56BCD683">
            <wp:extent cx="5943600" cy="2096135"/>
            <wp:effectExtent l="0" t="0" r="0" b="0"/>
            <wp:docPr id="2144251980"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227"/>
                    <a:srcRect/>
                    <a:stretch>
                      <a:fillRect/>
                    </a:stretch>
                  </pic:blipFill>
                  <pic:spPr>
                    <a:xfrm>
                      <a:off x="0" y="0"/>
                      <a:ext cx="5943600" cy="2096135"/>
                    </a:xfrm>
                    <a:prstGeom prst="rect">
                      <a:avLst/>
                    </a:prstGeom>
                    <a:ln/>
                  </pic:spPr>
                </pic:pic>
              </a:graphicData>
            </a:graphic>
          </wp:inline>
        </w:drawing>
      </w:r>
    </w:p>
    <w:p w14:paraId="1D3A377F" w14:textId="77777777" w:rsidR="00C82386" w:rsidRDefault="00C82386">
      <w:pPr>
        <w:spacing w:after="0"/>
        <w:jc w:val="both"/>
        <w:rPr>
          <w:rFonts w:ascii="Times New Roman" w:eastAsia="Times New Roman" w:hAnsi="Times New Roman" w:cs="Times New Roman"/>
          <w:sz w:val="24"/>
          <w:szCs w:val="24"/>
        </w:rPr>
      </w:pPr>
    </w:p>
    <w:p w14:paraId="5D6FC0CD" w14:textId="77777777" w:rsidR="00C82386" w:rsidRDefault="00C82386">
      <w:pPr>
        <w:rPr>
          <w:rFonts w:ascii="Times New Roman" w:eastAsia="Times New Roman" w:hAnsi="Times New Roman" w:cs="Times New Roman"/>
          <w:sz w:val="24"/>
          <w:szCs w:val="24"/>
        </w:rPr>
        <w:sectPr w:rsidR="00C82386">
          <w:headerReference w:type="even" r:id="rId228"/>
          <w:headerReference w:type="default" r:id="rId229"/>
          <w:footerReference w:type="even" r:id="rId230"/>
          <w:footerReference w:type="default" r:id="rId231"/>
          <w:headerReference w:type="first" r:id="rId232"/>
          <w:footerReference w:type="first" r:id="rId233"/>
          <w:pgSz w:w="11906" w:h="16838"/>
          <w:pgMar w:top="1098" w:right="1440" w:bottom="1440" w:left="1440" w:header="720" w:footer="720" w:gutter="0"/>
          <w:cols w:space="720"/>
        </w:sectPr>
      </w:pPr>
    </w:p>
    <w:p w14:paraId="2344651F"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Оцінка впливу, вразливості та потенціалу адаптації Житомирської міської громади</w:t>
      </w:r>
    </w:p>
    <w:tbl>
      <w:tblPr>
        <w:tblStyle w:val="affffffffe"/>
        <w:tblW w:w="1529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9"/>
        <w:gridCol w:w="425"/>
        <w:gridCol w:w="567"/>
        <w:gridCol w:w="567"/>
        <w:gridCol w:w="567"/>
        <w:gridCol w:w="567"/>
        <w:gridCol w:w="567"/>
        <w:gridCol w:w="1085"/>
        <w:gridCol w:w="1041"/>
        <w:gridCol w:w="1276"/>
        <w:gridCol w:w="709"/>
        <w:gridCol w:w="1275"/>
        <w:gridCol w:w="710"/>
        <w:gridCol w:w="692"/>
        <w:gridCol w:w="993"/>
        <w:gridCol w:w="567"/>
        <w:gridCol w:w="850"/>
        <w:gridCol w:w="567"/>
      </w:tblGrid>
      <w:tr w:rsidR="00C82386" w14:paraId="645029AA" w14:textId="77777777" w:rsidTr="00492FFF">
        <w:trPr>
          <w:trHeight w:val="238"/>
        </w:trPr>
        <w:tc>
          <w:tcPr>
            <w:tcW w:w="2269" w:type="dxa"/>
            <w:vMerge w:val="restart"/>
            <w:vAlign w:val="center"/>
          </w:tcPr>
          <w:p w14:paraId="11E8184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Ризики</w:t>
            </w:r>
          </w:p>
        </w:tc>
        <w:tc>
          <w:tcPr>
            <w:tcW w:w="425" w:type="dxa"/>
            <w:vMerge w:val="restart"/>
            <w:shd w:val="clear" w:color="auto" w:fill="DBE5F1"/>
            <w:textDirection w:val="btLr"/>
            <w:vAlign w:val="center"/>
          </w:tcPr>
          <w:p w14:paraId="0FF8103F" w14:textId="77777777" w:rsidR="00C82386" w:rsidRDefault="00E66F64" w:rsidP="00492FFF">
            <w:pPr>
              <w:spacing w:after="0"/>
              <w:ind w:left="113" w:right="113"/>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Дія впливу</w:t>
            </w:r>
          </w:p>
        </w:tc>
        <w:tc>
          <w:tcPr>
            <w:tcW w:w="10616" w:type="dxa"/>
            <w:gridSpan w:val="13"/>
            <w:vAlign w:val="center"/>
          </w:tcPr>
          <w:p w14:paraId="3A93FA0F" w14:textId="77777777" w:rsidR="00C82386" w:rsidRDefault="00492FFF" w:rsidP="00492FFF">
            <w:pPr>
              <w:spacing w:after="0"/>
              <w:ind w:left="113" w:right="113"/>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С</w:t>
            </w:r>
            <w:r w:rsidR="00E66F64">
              <w:rPr>
                <w:rFonts w:ascii="Times New Roman" w:eastAsia="Times New Roman" w:hAnsi="Times New Roman" w:cs="Times New Roman"/>
                <w:sz w:val="24"/>
                <w:szCs w:val="24"/>
              </w:rPr>
              <w:t>ектори</w:t>
            </w:r>
          </w:p>
        </w:tc>
        <w:tc>
          <w:tcPr>
            <w:tcW w:w="567" w:type="dxa"/>
            <w:vMerge w:val="restart"/>
            <w:shd w:val="clear" w:color="auto" w:fill="FDEADA"/>
            <w:textDirection w:val="btLr"/>
            <w:vAlign w:val="center"/>
          </w:tcPr>
          <w:p w14:paraId="59ECDBA1" w14:textId="77777777" w:rsidR="00C82386" w:rsidRDefault="00E66F64">
            <w:pPr>
              <w:spacing w:after="0"/>
              <w:ind w:left="113" w:right="113"/>
              <w:rPr>
                <w:rFonts w:ascii="Times New Roman" w:eastAsia="Times New Roman" w:hAnsi="Times New Roman" w:cs="Times New Roman"/>
                <w:b/>
                <w:sz w:val="24"/>
                <w:szCs w:val="24"/>
              </w:rPr>
            </w:pPr>
            <w:r>
              <w:rPr>
                <w:rFonts w:ascii="Times New Roman" w:eastAsia="Times New Roman" w:hAnsi="Times New Roman" w:cs="Times New Roman"/>
                <w:b/>
                <w:sz w:val="24"/>
                <w:szCs w:val="24"/>
              </w:rPr>
              <w:t>Чутливість</w:t>
            </w:r>
          </w:p>
        </w:tc>
        <w:tc>
          <w:tcPr>
            <w:tcW w:w="850" w:type="dxa"/>
            <w:vMerge w:val="restart"/>
            <w:shd w:val="clear" w:color="auto" w:fill="E5DFEC"/>
            <w:textDirection w:val="btLr"/>
            <w:vAlign w:val="center"/>
          </w:tcPr>
          <w:p w14:paraId="6EB28295" w14:textId="77777777" w:rsidR="00C82386" w:rsidRDefault="00E66F64">
            <w:pPr>
              <w:spacing w:after="0"/>
              <w:ind w:left="113" w:right="113"/>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Потенціал адаптації</w:t>
            </w:r>
          </w:p>
        </w:tc>
        <w:tc>
          <w:tcPr>
            <w:tcW w:w="567" w:type="dxa"/>
            <w:vMerge w:val="restart"/>
            <w:shd w:val="clear" w:color="auto" w:fill="F2DCDB"/>
            <w:textDirection w:val="btLr"/>
            <w:vAlign w:val="center"/>
          </w:tcPr>
          <w:p w14:paraId="514878D3" w14:textId="77777777" w:rsidR="00C82386" w:rsidRDefault="00E66F64">
            <w:pPr>
              <w:spacing w:after="0"/>
              <w:ind w:left="113" w:right="113"/>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Вразливість </w:t>
            </w:r>
          </w:p>
        </w:tc>
      </w:tr>
      <w:tr w:rsidR="00C82386" w14:paraId="436CAD1D" w14:textId="77777777" w:rsidTr="00492FFF">
        <w:trPr>
          <w:cantSplit/>
          <w:trHeight w:val="1929"/>
        </w:trPr>
        <w:tc>
          <w:tcPr>
            <w:tcW w:w="2269" w:type="dxa"/>
            <w:vMerge/>
            <w:vAlign w:val="center"/>
          </w:tcPr>
          <w:p w14:paraId="725B57FD" w14:textId="77777777" w:rsidR="00C82386" w:rsidRDefault="00C82386" w:rsidP="00492FFF">
            <w:pPr>
              <w:widowControl w:val="0"/>
              <w:pBdr>
                <w:top w:val="nil"/>
                <w:left w:val="nil"/>
                <w:bottom w:val="nil"/>
                <w:right w:val="nil"/>
                <w:between w:val="nil"/>
              </w:pBdr>
              <w:spacing w:after="0"/>
              <w:jc w:val="center"/>
              <w:rPr>
                <w:rFonts w:ascii="Times New Roman" w:eastAsia="Times New Roman" w:hAnsi="Times New Roman" w:cs="Times New Roman"/>
                <w:b/>
                <w:sz w:val="24"/>
                <w:szCs w:val="24"/>
              </w:rPr>
            </w:pPr>
          </w:p>
        </w:tc>
        <w:tc>
          <w:tcPr>
            <w:tcW w:w="425" w:type="dxa"/>
            <w:vMerge/>
            <w:shd w:val="clear" w:color="auto" w:fill="DBE5F1"/>
            <w:vAlign w:val="center"/>
          </w:tcPr>
          <w:p w14:paraId="354B8111" w14:textId="77777777" w:rsidR="00C82386" w:rsidRDefault="00C82386" w:rsidP="00492FFF">
            <w:pPr>
              <w:widowControl w:val="0"/>
              <w:pBdr>
                <w:top w:val="nil"/>
                <w:left w:val="nil"/>
                <w:bottom w:val="nil"/>
                <w:right w:val="nil"/>
                <w:between w:val="nil"/>
              </w:pBdr>
              <w:spacing w:after="0"/>
              <w:jc w:val="center"/>
              <w:rPr>
                <w:rFonts w:ascii="Times New Roman" w:eastAsia="Times New Roman" w:hAnsi="Times New Roman" w:cs="Times New Roman"/>
                <w:b/>
                <w:sz w:val="24"/>
                <w:szCs w:val="24"/>
              </w:rPr>
            </w:pPr>
          </w:p>
        </w:tc>
        <w:tc>
          <w:tcPr>
            <w:tcW w:w="567" w:type="dxa"/>
            <w:shd w:val="clear" w:color="auto" w:fill="EEECE1"/>
            <w:tcMar>
              <w:left w:w="28" w:type="dxa"/>
              <w:right w:w="28" w:type="dxa"/>
            </w:tcMar>
            <w:textDirection w:val="btLr"/>
            <w:vAlign w:val="center"/>
          </w:tcPr>
          <w:p w14:paraId="2CA34244" w14:textId="77777777" w:rsidR="00C82386" w:rsidRDefault="00E66F64" w:rsidP="00492FFF">
            <w:pPr>
              <w:spacing w:after="0"/>
              <w:ind w:left="113" w:right="11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будівлі</w:t>
            </w:r>
          </w:p>
        </w:tc>
        <w:tc>
          <w:tcPr>
            <w:tcW w:w="567" w:type="dxa"/>
            <w:shd w:val="clear" w:color="auto" w:fill="EEECE1"/>
            <w:tcMar>
              <w:left w:w="28" w:type="dxa"/>
              <w:right w:w="28" w:type="dxa"/>
            </w:tcMar>
            <w:textDirection w:val="btLr"/>
            <w:vAlign w:val="center"/>
          </w:tcPr>
          <w:p w14:paraId="0E32036C"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w:t>
            </w:r>
          </w:p>
        </w:tc>
        <w:tc>
          <w:tcPr>
            <w:tcW w:w="567" w:type="dxa"/>
            <w:shd w:val="clear" w:color="auto" w:fill="EEECE1"/>
            <w:tcMar>
              <w:left w:w="28" w:type="dxa"/>
              <w:right w:w="28" w:type="dxa"/>
            </w:tcMar>
            <w:textDirection w:val="btLr"/>
            <w:vAlign w:val="center"/>
          </w:tcPr>
          <w:p w14:paraId="2FB9FC1C"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енергетика</w:t>
            </w:r>
          </w:p>
        </w:tc>
        <w:tc>
          <w:tcPr>
            <w:tcW w:w="567" w:type="dxa"/>
            <w:shd w:val="clear" w:color="auto" w:fill="EEECE1"/>
            <w:tcMar>
              <w:left w:w="28" w:type="dxa"/>
              <w:right w:w="28" w:type="dxa"/>
            </w:tcMar>
            <w:textDirection w:val="btLr"/>
            <w:vAlign w:val="center"/>
          </w:tcPr>
          <w:p w14:paraId="0D0988A7"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вода</w:t>
            </w:r>
          </w:p>
        </w:tc>
        <w:tc>
          <w:tcPr>
            <w:tcW w:w="567" w:type="dxa"/>
            <w:shd w:val="clear" w:color="auto" w:fill="EEECE1"/>
            <w:tcMar>
              <w:left w:w="28" w:type="dxa"/>
              <w:right w:w="28" w:type="dxa"/>
            </w:tcMar>
            <w:textDirection w:val="btLr"/>
            <w:vAlign w:val="center"/>
          </w:tcPr>
          <w:p w14:paraId="41CC3746"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відходи </w:t>
            </w:r>
          </w:p>
        </w:tc>
        <w:tc>
          <w:tcPr>
            <w:tcW w:w="1085" w:type="dxa"/>
            <w:shd w:val="clear" w:color="auto" w:fill="EEECE1"/>
            <w:tcMar>
              <w:left w:w="28" w:type="dxa"/>
              <w:right w:w="28" w:type="dxa"/>
            </w:tcMar>
            <w:textDirection w:val="btLr"/>
            <w:vAlign w:val="center"/>
          </w:tcPr>
          <w:p w14:paraId="527152A4"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планування земле користування</w:t>
            </w:r>
          </w:p>
        </w:tc>
        <w:tc>
          <w:tcPr>
            <w:tcW w:w="1041" w:type="dxa"/>
            <w:shd w:val="clear" w:color="auto" w:fill="EEECE1"/>
            <w:tcMar>
              <w:left w:w="28" w:type="dxa"/>
              <w:right w:w="28" w:type="dxa"/>
            </w:tcMar>
            <w:textDirection w:val="btLr"/>
            <w:vAlign w:val="center"/>
          </w:tcPr>
          <w:p w14:paraId="607C5217"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сільське та лісове господарство</w:t>
            </w:r>
          </w:p>
        </w:tc>
        <w:tc>
          <w:tcPr>
            <w:tcW w:w="1276" w:type="dxa"/>
            <w:shd w:val="clear" w:color="auto" w:fill="EEECE1"/>
            <w:tcMar>
              <w:left w:w="28" w:type="dxa"/>
              <w:right w:w="28" w:type="dxa"/>
            </w:tcMar>
            <w:textDirection w:val="btLr"/>
            <w:vAlign w:val="center"/>
          </w:tcPr>
          <w:p w14:paraId="1C662781"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навколишнє природне середовище і біорізноманіття</w:t>
            </w:r>
          </w:p>
        </w:tc>
        <w:tc>
          <w:tcPr>
            <w:tcW w:w="709" w:type="dxa"/>
            <w:shd w:val="clear" w:color="auto" w:fill="EEECE1"/>
            <w:tcMar>
              <w:left w:w="28" w:type="dxa"/>
              <w:right w:w="28" w:type="dxa"/>
            </w:tcMar>
            <w:textDirection w:val="btLr"/>
            <w:vAlign w:val="center"/>
          </w:tcPr>
          <w:p w14:paraId="16064FF7"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охорона здоров’я</w:t>
            </w:r>
          </w:p>
        </w:tc>
        <w:tc>
          <w:tcPr>
            <w:tcW w:w="1275" w:type="dxa"/>
            <w:shd w:val="clear" w:color="auto" w:fill="EEECE1"/>
            <w:tcMar>
              <w:left w:w="28" w:type="dxa"/>
              <w:right w:w="28" w:type="dxa"/>
            </w:tcMar>
            <w:textDirection w:val="btLr"/>
            <w:vAlign w:val="center"/>
          </w:tcPr>
          <w:p w14:paraId="0B3670E1"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цивільний захист і надзвичайні ситуації</w:t>
            </w:r>
          </w:p>
        </w:tc>
        <w:tc>
          <w:tcPr>
            <w:tcW w:w="710" w:type="dxa"/>
            <w:shd w:val="clear" w:color="auto" w:fill="EEECE1"/>
            <w:tcMar>
              <w:left w:w="28" w:type="dxa"/>
              <w:right w:w="28" w:type="dxa"/>
            </w:tcMar>
            <w:textDirection w:val="btLr"/>
            <w:vAlign w:val="center"/>
          </w:tcPr>
          <w:p w14:paraId="4295196A" w14:textId="77777777" w:rsidR="00C82386" w:rsidRDefault="00E66F64">
            <w:pPr>
              <w:spacing w:after="0"/>
              <w:ind w:left="113" w:right="113"/>
              <w:rPr>
                <w:rFonts w:ascii="Times New Roman" w:eastAsia="Times New Roman" w:hAnsi="Times New Roman" w:cs="Times New Roman"/>
                <w:b/>
                <w:sz w:val="24"/>
                <w:szCs w:val="24"/>
              </w:rPr>
            </w:pPr>
            <w:r>
              <w:rPr>
                <w:rFonts w:ascii="Times New Roman" w:eastAsia="Times New Roman" w:hAnsi="Times New Roman" w:cs="Times New Roman"/>
                <w:sz w:val="24"/>
                <w:szCs w:val="24"/>
              </w:rPr>
              <w:t>туризм</w:t>
            </w:r>
          </w:p>
        </w:tc>
        <w:tc>
          <w:tcPr>
            <w:tcW w:w="692" w:type="dxa"/>
            <w:shd w:val="clear" w:color="auto" w:fill="EEECE1"/>
            <w:tcMar>
              <w:left w:w="28" w:type="dxa"/>
              <w:right w:w="28" w:type="dxa"/>
            </w:tcMar>
            <w:textDirection w:val="btLr"/>
            <w:vAlign w:val="center"/>
          </w:tcPr>
          <w:p w14:paraId="6CFCE1C1" w14:textId="77777777" w:rsidR="00C82386" w:rsidRDefault="00E66F64">
            <w:pPr>
              <w:spacing w:after="0"/>
              <w:ind w:left="113" w:right="113"/>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освіта</w:t>
            </w:r>
          </w:p>
        </w:tc>
        <w:tc>
          <w:tcPr>
            <w:tcW w:w="993" w:type="dxa"/>
            <w:shd w:val="clear" w:color="auto" w:fill="EEECE1"/>
            <w:tcMar>
              <w:left w:w="28" w:type="dxa"/>
              <w:right w:w="28" w:type="dxa"/>
            </w:tcMar>
            <w:textDirection w:val="btLr"/>
            <w:vAlign w:val="center"/>
          </w:tcPr>
          <w:p w14:paraId="3C6D98AF" w14:textId="77777777" w:rsidR="00C82386" w:rsidRDefault="00E66F64">
            <w:pPr>
              <w:spacing w:after="0"/>
              <w:ind w:left="113" w:right="113"/>
              <w:rPr>
                <w:rFonts w:ascii="Times New Roman" w:eastAsia="Times New Roman" w:hAnsi="Times New Roman" w:cs="Times New Roman"/>
                <w:b/>
                <w:sz w:val="24"/>
                <w:szCs w:val="24"/>
              </w:rPr>
            </w:pPr>
            <w:r>
              <w:rPr>
                <w:rFonts w:ascii="Times New Roman" w:eastAsia="Times New Roman" w:hAnsi="Times New Roman" w:cs="Times New Roman"/>
                <w:sz w:val="24"/>
                <w:szCs w:val="24"/>
              </w:rPr>
              <w:t>Інформаційно-комунікаційні технології</w:t>
            </w:r>
          </w:p>
        </w:tc>
        <w:tc>
          <w:tcPr>
            <w:tcW w:w="567" w:type="dxa"/>
            <w:vMerge/>
            <w:shd w:val="clear" w:color="auto" w:fill="FDEADA"/>
            <w:vAlign w:val="center"/>
          </w:tcPr>
          <w:p w14:paraId="538736E2"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sz w:val="24"/>
                <w:szCs w:val="24"/>
              </w:rPr>
            </w:pPr>
          </w:p>
        </w:tc>
        <w:tc>
          <w:tcPr>
            <w:tcW w:w="850" w:type="dxa"/>
            <w:vMerge/>
            <w:shd w:val="clear" w:color="auto" w:fill="E5DFEC"/>
            <w:vAlign w:val="center"/>
          </w:tcPr>
          <w:p w14:paraId="0551569E"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sz w:val="24"/>
                <w:szCs w:val="24"/>
              </w:rPr>
            </w:pPr>
          </w:p>
        </w:tc>
        <w:tc>
          <w:tcPr>
            <w:tcW w:w="567" w:type="dxa"/>
            <w:vMerge/>
            <w:shd w:val="clear" w:color="auto" w:fill="F2DCDB"/>
            <w:vAlign w:val="center"/>
          </w:tcPr>
          <w:p w14:paraId="1C74AF10" w14:textId="77777777" w:rsidR="00C82386" w:rsidRDefault="00C82386">
            <w:pPr>
              <w:widowControl w:val="0"/>
              <w:pBdr>
                <w:top w:val="nil"/>
                <w:left w:val="nil"/>
                <w:bottom w:val="nil"/>
                <w:right w:val="nil"/>
                <w:between w:val="nil"/>
              </w:pBdr>
              <w:spacing w:after="0"/>
              <w:rPr>
                <w:rFonts w:ascii="Times New Roman" w:eastAsia="Times New Roman" w:hAnsi="Times New Roman" w:cs="Times New Roman"/>
                <w:b/>
                <w:sz w:val="24"/>
                <w:szCs w:val="24"/>
              </w:rPr>
            </w:pPr>
          </w:p>
        </w:tc>
      </w:tr>
      <w:tr w:rsidR="00C82386" w14:paraId="2B26CEA6" w14:textId="77777777" w:rsidTr="00492FFF">
        <w:tc>
          <w:tcPr>
            <w:tcW w:w="2269" w:type="dxa"/>
            <w:vAlign w:val="center"/>
          </w:tcPr>
          <w:p w14:paraId="3B3A0322" w14:textId="77777777" w:rsidR="00C82386" w:rsidRDefault="00C82386">
            <w:pPr>
              <w:spacing w:after="0"/>
              <w:rPr>
                <w:rFonts w:ascii="Times New Roman" w:eastAsia="Times New Roman" w:hAnsi="Times New Roman" w:cs="Times New Roman"/>
                <w:sz w:val="24"/>
                <w:szCs w:val="24"/>
              </w:rPr>
            </w:pPr>
          </w:p>
        </w:tc>
        <w:tc>
          <w:tcPr>
            <w:tcW w:w="425" w:type="dxa"/>
            <w:shd w:val="clear" w:color="auto" w:fill="DBE5F1"/>
            <w:vAlign w:val="center"/>
          </w:tcPr>
          <w:p w14:paraId="3B9701C6"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Е</w:t>
            </w:r>
          </w:p>
        </w:tc>
        <w:tc>
          <w:tcPr>
            <w:tcW w:w="567" w:type="dxa"/>
            <w:vAlign w:val="center"/>
          </w:tcPr>
          <w:p w14:paraId="2B2BDB4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А1</w:t>
            </w:r>
          </w:p>
        </w:tc>
        <w:tc>
          <w:tcPr>
            <w:tcW w:w="567" w:type="dxa"/>
            <w:vAlign w:val="center"/>
          </w:tcPr>
          <w:p w14:paraId="4C87FE2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А2</w:t>
            </w:r>
          </w:p>
        </w:tc>
        <w:tc>
          <w:tcPr>
            <w:tcW w:w="567" w:type="dxa"/>
            <w:vAlign w:val="center"/>
          </w:tcPr>
          <w:p w14:paraId="182EAD7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А3</w:t>
            </w:r>
          </w:p>
        </w:tc>
        <w:tc>
          <w:tcPr>
            <w:tcW w:w="567" w:type="dxa"/>
            <w:vAlign w:val="center"/>
          </w:tcPr>
          <w:p w14:paraId="51C23D2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А4</w:t>
            </w:r>
          </w:p>
        </w:tc>
        <w:tc>
          <w:tcPr>
            <w:tcW w:w="567" w:type="dxa"/>
            <w:vAlign w:val="center"/>
          </w:tcPr>
          <w:p w14:paraId="23B193A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А5</w:t>
            </w:r>
          </w:p>
        </w:tc>
        <w:tc>
          <w:tcPr>
            <w:tcW w:w="1085" w:type="dxa"/>
            <w:vAlign w:val="center"/>
          </w:tcPr>
          <w:p w14:paraId="6E796EB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А6</w:t>
            </w:r>
          </w:p>
        </w:tc>
        <w:tc>
          <w:tcPr>
            <w:tcW w:w="1041" w:type="dxa"/>
            <w:vAlign w:val="center"/>
          </w:tcPr>
          <w:p w14:paraId="439A2E0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А7</w:t>
            </w:r>
          </w:p>
        </w:tc>
        <w:tc>
          <w:tcPr>
            <w:tcW w:w="1276" w:type="dxa"/>
            <w:vAlign w:val="center"/>
          </w:tcPr>
          <w:p w14:paraId="0CE5065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А8</w:t>
            </w:r>
          </w:p>
        </w:tc>
        <w:tc>
          <w:tcPr>
            <w:tcW w:w="709" w:type="dxa"/>
            <w:vAlign w:val="center"/>
          </w:tcPr>
          <w:p w14:paraId="4930B66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А9</w:t>
            </w:r>
          </w:p>
        </w:tc>
        <w:tc>
          <w:tcPr>
            <w:tcW w:w="1275" w:type="dxa"/>
            <w:vAlign w:val="center"/>
          </w:tcPr>
          <w:p w14:paraId="6CD2913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А10</w:t>
            </w:r>
          </w:p>
        </w:tc>
        <w:tc>
          <w:tcPr>
            <w:tcW w:w="710" w:type="dxa"/>
            <w:vAlign w:val="center"/>
          </w:tcPr>
          <w:p w14:paraId="6519D839"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А11</w:t>
            </w:r>
          </w:p>
        </w:tc>
        <w:tc>
          <w:tcPr>
            <w:tcW w:w="692" w:type="dxa"/>
            <w:shd w:val="clear" w:color="auto" w:fill="auto"/>
            <w:vAlign w:val="center"/>
          </w:tcPr>
          <w:p w14:paraId="2B88FC9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А12</w:t>
            </w:r>
          </w:p>
        </w:tc>
        <w:tc>
          <w:tcPr>
            <w:tcW w:w="993" w:type="dxa"/>
            <w:shd w:val="clear" w:color="auto" w:fill="auto"/>
            <w:vAlign w:val="center"/>
          </w:tcPr>
          <w:p w14:paraId="4150012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А13</w:t>
            </w:r>
          </w:p>
        </w:tc>
        <w:tc>
          <w:tcPr>
            <w:tcW w:w="567" w:type="dxa"/>
            <w:shd w:val="clear" w:color="auto" w:fill="FDEADA"/>
            <w:vAlign w:val="center"/>
          </w:tcPr>
          <w:p w14:paraId="354A1C00"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Z</w:t>
            </w:r>
          </w:p>
        </w:tc>
        <w:tc>
          <w:tcPr>
            <w:tcW w:w="850" w:type="dxa"/>
            <w:shd w:val="clear" w:color="auto" w:fill="E5DFEC"/>
            <w:vAlign w:val="center"/>
          </w:tcPr>
          <w:p w14:paraId="7721011E"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w:t>
            </w:r>
          </w:p>
        </w:tc>
        <w:tc>
          <w:tcPr>
            <w:tcW w:w="567" w:type="dxa"/>
            <w:shd w:val="clear" w:color="auto" w:fill="F2DCDB"/>
            <w:vAlign w:val="center"/>
          </w:tcPr>
          <w:p w14:paraId="4834C2ED"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w:t>
            </w:r>
          </w:p>
        </w:tc>
      </w:tr>
      <w:tr w:rsidR="00C82386" w14:paraId="73C9FCC3" w14:textId="77777777" w:rsidTr="00492FFF">
        <w:tc>
          <w:tcPr>
            <w:tcW w:w="2269" w:type="dxa"/>
            <w:tcMar>
              <w:left w:w="51" w:type="dxa"/>
              <w:right w:w="51" w:type="dxa"/>
            </w:tcMar>
            <w:vAlign w:val="center"/>
          </w:tcPr>
          <w:p w14:paraId="0AD273E6"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Екстремальна спека</w:t>
            </w:r>
          </w:p>
        </w:tc>
        <w:tc>
          <w:tcPr>
            <w:tcW w:w="425" w:type="dxa"/>
            <w:shd w:val="clear" w:color="auto" w:fill="DBE5F1"/>
            <w:vAlign w:val="center"/>
          </w:tcPr>
          <w:p w14:paraId="46B4FDDE"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567" w:type="dxa"/>
            <w:vAlign w:val="center"/>
          </w:tcPr>
          <w:p w14:paraId="287C1A25"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3C03D7E1"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7A7DB5C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43B40B8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67" w:type="dxa"/>
            <w:vAlign w:val="center"/>
          </w:tcPr>
          <w:p w14:paraId="6D2B31B3"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085" w:type="dxa"/>
            <w:vAlign w:val="center"/>
          </w:tcPr>
          <w:p w14:paraId="2D1EA34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041" w:type="dxa"/>
            <w:vAlign w:val="center"/>
          </w:tcPr>
          <w:p w14:paraId="0B6BA3C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6" w:type="dxa"/>
            <w:vAlign w:val="center"/>
          </w:tcPr>
          <w:p w14:paraId="3B77DFB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09" w:type="dxa"/>
            <w:vAlign w:val="center"/>
          </w:tcPr>
          <w:p w14:paraId="00CE4D1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5" w:type="dxa"/>
            <w:vAlign w:val="center"/>
          </w:tcPr>
          <w:p w14:paraId="056F5A00"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1BDC56CB"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92" w:type="dxa"/>
            <w:shd w:val="clear" w:color="auto" w:fill="auto"/>
            <w:vAlign w:val="center"/>
          </w:tcPr>
          <w:p w14:paraId="6EFA6FD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3" w:type="dxa"/>
            <w:shd w:val="clear" w:color="auto" w:fill="auto"/>
            <w:vAlign w:val="center"/>
          </w:tcPr>
          <w:p w14:paraId="18A1473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shd w:val="clear" w:color="auto" w:fill="FDEADA"/>
            <w:vAlign w:val="center"/>
          </w:tcPr>
          <w:p w14:paraId="7E36ACF9"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57</w:t>
            </w:r>
          </w:p>
        </w:tc>
        <w:tc>
          <w:tcPr>
            <w:tcW w:w="850" w:type="dxa"/>
            <w:shd w:val="clear" w:color="auto" w:fill="E5DFEC"/>
            <w:vAlign w:val="center"/>
          </w:tcPr>
          <w:p w14:paraId="1296C70B"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shd w:val="clear" w:color="auto" w:fill="F2DCDB"/>
            <w:vAlign w:val="center"/>
          </w:tcPr>
          <w:p w14:paraId="3D5EAAC4"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V3</w:t>
            </w:r>
          </w:p>
        </w:tc>
      </w:tr>
      <w:tr w:rsidR="00C82386" w14:paraId="25689CF3" w14:textId="77777777" w:rsidTr="00492FFF">
        <w:tc>
          <w:tcPr>
            <w:tcW w:w="2269" w:type="dxa"/>
            <w:tcMar>
              <w:left w:w="51" w:type="dxa"/>
              <w:right w:w="51" w:type="dxa"/>
            </w:tcMar>
            <w:vAlign w:val="center"/>
          </w:tcPr>
          <w:p w14:paraId="26F2C3B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Екстремальний холод</w:t>
            </w:r>
          </w:p>
        </w:tc>
        <w:tc>
          <w:tcPr>
            <w:tcW w:w="425" w:type="dxa"/>
            <w:shd w:val="clear" w:color="auto" w:fill="DBE5F1"/>
            <w:vAlign w:val="center"/>
          </w:tcPr>
          <w:p w14:paraId="4A4A4B12"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vAlign w:val="center"/>
          </w:tcPr>
          <w:p w14:paraId="1F2ECF5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61D5730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67" w:type="dxa"/>
            <w:vAlign w:val="center"/>
          </w:tcPr>
          <w:p w14:paraId="54ABC53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CBA973D"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7D48F671" w14:textId="77777777" w:rsidR="00C82386" w:rsidRDefault="00C82386" w:rsidP="00492FFF">
            <w:pPr>
              <w:spacing w:after="0"/>
              <w:jc w:val="center"/>
              <w:rPr>
                <w:rFonts w:ascii="Times New Roman" w:eastAsia="Times New Roman" w:hAnsi="Times New Roman" w:cs="Times New Roman"/>
                <w:sz w:val="24"/>
                <w:szCs w:val="24"/>
              </w:rPr>
            </w:pPr>
          </w:p>
        </w:tc>
        <w:tc>
          <w:tcPr>
            <w:tcW w:w="1085" w:type="dxa"/>
            <w:vAlign w:val="center"/>
          </w:tcPr>
          <w:p w14:paraId="732353D8" w14:textId="77777777" w:rsidR="00C82386" w:rsidRDefault="00C82386" w:rsidP="00492FFF">
            <w:pPr>
              <w:spacing w:after="0"/>
              <w:jc w:val="center"/>
              <w:rPr>
                <w:rFonts w:ascii="Times New Roman" w:eastAsia="Times New Roman" w:hAnsi="Times New Roman" w:cs="Times New Roman"/>
                <w:sz w:val="24"/>
                <w:szCs w:val="24"/>
              </w:rPr>
            </w:pPr>
          </w:p>
        </w:tc>
        <w:tc>
          <w:tcPr>
            <w:tcW w:w="1041" w:type="dxa"/>
            <w:vAlign w:val="center"/>
          </w:tcPr>
          <w:p w14:paraId="2D547CFB"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6" w:type="dxa"/>
            <w:vAlign w:val="center"/>
          </w:tcPr>
          <w:p w14:paraId="1D4B783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73506179"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5" w:type="dxa"/>
            <w:vAlign w:val="center"/>
          </w:tcPr>
          <w:p w14:paraId="6DB84A54"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52085D98"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25FB6B69" w14:textId="77777777" w:rsidR="00C82386" w:rsidRDefault="00C82386" w:rsidP="00492FFF">
            <w:pPr>
              <w:spacing w:after="0"/>
              <w:jc w:val="center"/>
              <w:rPr>
                <w:rFonts w:ascii="Times New Roman" w:eastAsia="Times New Roman" w:hAnsi="Times New Roman" w:cs="Times New Roman"/>
                <w:sz w:val="24"/>
                <w:szCs w:val="24"/>
              </w:rPr>
            </w:pPr>
          </w:p>
        </w:tc>
        <w:tc>
          <w:tcPr>
            <w:tcW w:w="993" w:type="dxa"/>
            <w:shd w:val="clear" w:color="auto" w:fill="auto"/>
            <w:vAlign w:val="center"/>
          </w:tcPr>
          <w:p w14:paraId="395450CB"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shd w:val="clear" w:color="auto" w:fill="FDEADA"/>
            <w:vAlign w:val="center"/>
          </w:tcPr>
          <w:p w14:paraId="72AC57AE"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850" w:type="dxa"/>
            <w:shd w:val="clear" w:color="auto" w:fill="E5DFEC"/>
            <w:vAlign w:val="center"/>
          </w:tcPr>
          <w:p w14:paraId="58ACA98B"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shd w:val="clear" w:color="auto" w:fill="F2DCDB"/>
            <w:vAlign w:val="center"/>
          </w:tcPr>
          <w:p w14:paraId="72F112BC"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V0</w:t>
            </w:r>
          </w:p>
        </w:tc>
      </w:tr>
      <w:tr w:rsidR="00C82386" w14:paraId="6FA0E84C" w14:textId="77777777" w:rsidTr="00492FFF">
        <w:tc>
          <w:tcPr>
            <w:tcW w:w="2269" w:type="dxa"/>
            <w:tcMar>
              <w:left w:w="51" w:type="dxa"/>
              <w:right w:w="51" w:type="dxa"/>
            </w:tcMar>
            <w:vAlign w:val="center"/>
          </w:tcPr>
          <w:p w14:paraId="3959EA6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Екстремальні опади: зливи</w:t>
            </w:r>
          </w:p>
        </w:tc>
        <w:tc>
          <w:tcPr>
            <w:tcW w:w="425" w:type="dxa"/>
            <w:shd w:val="clear" w:color="auto" w:fill="DBE5F1"/>
            <w:vAlign w:val="center"/>
          </w:tcPr>
          <w:p w14:paraId="49830A66"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567" w:type="dxa"/>
            <w:vAlign w:val="center"/>
          </w:tcPr>
          <w:p w14:paraId="4332CAB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0E988CC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67" w:type="dxa"/>
            <w:vAlign w:val="center"/>
          </w:tcPr>
          <w:p w14:paraId="0D5D792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5FD6BE3"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7620CF6F"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85" w:type="dxa"/>
            <w:vAlign w:val="center"/>
          </w:tcPr>
          <w:p w14:paraId="63C2CBB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1" w:type="dxa"/>
            <w:vAlign w:val="center"/>
          </w:tcPr>
          <w:p w14:paraId="430DDEA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6" w:type="dxa"/>
            <w:vAlign w:val="center"/>
          </w:tcPr>
          <w:p w14:paraId="0623AF3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2204D4A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5" w:type="dxa"/>
            <w:vAlign w:val="center"/>
          </w:tcPr>
          <w:p w14:paraId="2E5FBD93"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29F88A3E"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3EDC3E32" w14:textId="77777777" w:rsidR="00C82386" w:rsidRDefault="00C82386" w:rsidP="00492FFF">
            <w:pPr>
              <w:spacing w:after="0"/>
              <w:jc w:val="center"/>
              <w:rPr>
                <w:rFonts w:ascii="Times New Roman" w:eastAsia="Times New Roman" w:hAnsi="Times New Roman" w:cs="Times New Roman"/>
                <w:b/>
                <w:sz w:val="24"/>
                <w:szCs w:val="24"/>
              </w:rPr>
            </w:pPr>
          </w:p>
        </w:tc>
        <w:tc>
          <w:tcPr>
            <w:tcW w:w="993" w:type="dxa"/>
            <w:shd w:val="clear" w:color="auto" w:fill="auto"/>
            <w:vAlign w:val="center"/>
          </w:tcPr>
          <w:p w14:paraId="224ADD8E"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2D225ED0"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33</w:t>
            </w:r>
          </w:p>
        </w:tc>
        <w:tc>
          <w:tcPr>
            <w:tcW w:w="850" w:type="dxa"/>
            <w:shd w:val="clear" w:color="auto" w:fill="E5DFEC"/>
            <w:vAlign w:val="center"/>
          </w:tcPr>
          <w:p w14:paraId="1A9C1D51"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shd w:val="clear" w:color="auto" w:fill="F2DCDB"/>
            <w:vAlign w:val="center"/>
          </w:tcPr>
          <w:p w14:paraId="721D7866"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V3</w:t>
            </w:r>
          </w:p>
        </w:tc>
      </w:tr>
      <w:tr w:rsidR="00C82386" w14:paraId="0DB4BD7D" w14:textId="77777777" w:rsidTr="00492FFF">
        <w:tc>
          <w:tcPr>
            <w:tcW w:w="2269" w:type="dxa"/>
            <w:tcMar>
              <w:left w:w="51" w:type="dxa"/>
              <w:right w:w="51" w:type="dxa"/>
            </w:tcMar>
            <w:vAlign w:val="center"/>
          </w:tcPr>
          <w:p w14:paraId="0AFCA69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Екстремальні опади: снігопади</w:t>
            </w:r>
          </w:p>
        </w:tc>
        <w:tc>
          <w:tcPr>
            <w:tcW w:w="425" w:type="dxa"/>
            <w:shd w:val="clear" w:color="auto" w:fill="DBE5F1"/>
            <w:vAlign w:val="center"/>
          </w:tcPr>
          <w:p w14:paraId="198EE55D"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vAlign w:val="center"/>
          </w:tcPr>
          <w:p w14:paraId="1A01EEB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72F925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67" w:type="dxa"/>
            <w:vAlign w:val="center"/>
          </w:tcPr>
          <w:p w14:paraId="570EAFE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697E507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2DE287A7" w14:textId="77777777" w:rsidR="00C82386" w:rsidRDefault="00C82386" w:rsidP="00492FFF">
            <w:pPr>
              <w:spacing w:after="0"/>
              <w:jc w:val="center"/>
              <w:rPr>
                <w:rFonts w:ascii="Times New Roman" w:eastAsia="Times New Roman" w:hAnsi="Times New Roman" w:cs="Times New Roman"/>
                <w:sz w:val="24"/>
                <w:szCs w:val="24"/>
              </w:rPr>
            </w:pPr>
          </w:p>
        </w:tc>
        <w:tc>
          <w:tcPr>
            <w:tcW w:w="1085" w:type="dxa"/>
            <w:vAlign w:val="center"/>
          </w:tcPr>
          <w:p w14:paraId="667AED01" w14:textId="77777777" w:rsidR="00C82386" w:rsidRDefault="00C82386" w:rsidP="00492FFF">
            <w:pPr>
              <w:spacing w:after="0"/>
              <w:jc w:val="center"/>
              <w:rPr>
                <w:rFonts w:ascii="Times New Roman" w:eastAsia="Times New Roman" w:hAnsi="Times New Roman" w:cs="Times New Roman"/>
                <w:sz w:val="24"/>
                <w:szCs w:val="24"/>
              </w:rPr>
            </w:pPr>
          </w:p>
        </w:tc>
        <w:tc>
          <w:tcPr>
            <w:tcW w:w="1041" w:type="dxa"/>
            <w:vAlign w:val="center"/>
          </w:tcPr>
          <w:p w14:paraId="14E32951" w14:textId="77777777" w:rsidR="00C82386" w:rsidRDefault="00C82386" w:rsidP="00492FFF">
            <w:pPr>
              <w:spacing w:after="0"/>
              <w:jc w:val="center"/>
              <w:rPr>
                <w:rFonts w:ascii="Times New Roman" w:eastAsia="Times New Roman" w:hAnsi="Times New Roman" w:cs="Times New Roman"/>
                <w:sz w:val="24"/>
                <w:szCs w:val="24"/>
              </w:rPr>
            </w:pPr>
          </w:p>
        </w:tc>
        <w:tc>
          <w:tcPr>
            <w:tcW w:w="1276" w:type="dxa"/>
            <w:vAlign w:val="center"/>
          </w:tcPr>
          <w:p w14:paraId="69B4B5C1"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54ADA93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5" w:type="dxa"/>
            <w:vAlign w:val="center"/>
          </w:tcPr>
          <w:p w14:paraId="2540B53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10" w:type="dxa"/>
            <w:vAlign w:val="center"/>
          </w:tcPr>
          <w:p w14:paraId="3E74AE7C"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1D56AB08" w14:textId="77777777" w:rsidR="00C82386" w:rsidRDefault="00C82386" w:rsidP="00492FFF">
            <w:pPr>
              <w:spacing w:after="0"/>
              <w:jc w:val="center"/>
              <w:rPr>
                <w:rFonts w:ascii="Times New Roman" w:eastAsia="Times New Roman" w:hAnsi="Times New Roman" w:cs="Times New Roman"/>
                <w:sz w:val="24"/>
                <w:szCs w:val="24"/>
              </w:rPr>
            </w:pPr>
          </w:p>
        </w:tc>
        <w:tc>
          <w:tcPr>
            <w:tcW w:w="993" w:type="dxa"/>
            <w:shd w:val="clear" w:color="auto" w:fill="auto"/>
            <w:vAlign w:val="center"/>
          </w:tcPr>
          <w:p w14:paraId="20EC1F89"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shd w:val="clear" w:color="auto" w:fill="FDEADA"/>
            <w:vAlign w:val="center"/>
          </w:tcPr>
          <w:p w14:paraId="1D828524"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850" w:type="dxa"/>
            <w:shd w:val="clear" w:color="auto" w:fill="E5DFEC"/>
            <w:vAlign w:val="center"/>
          </w:tcPr>
          <w:p w14:paraId="333A7CA9"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shd w:val="clear" w:color="auto" w:fill="F2DCDB"/>
            <w:vAlign w:val="center"/>
          </w:tcPr>
          <w:p w14:paraId="65CD3D47"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V1</w:t>
            </w:r>
          </w:p>
        </w:tc>
      </w:tr>
      <w:tr w:rsidR="00C82386" w14:paraId="4C470FE4" w14:textId="77777777" w:rsidTr="00492FFF">
        <w:tc>
          <w:tcPr>
            <w:tcW w:w="2269" w:type="dxa"/>
            <w:tcMar>
              <w:left w:w="51" w:type="dxa"/>
              <w:right w:w="51" w:type="dxa"/>
            </w:tcMar>
            <w:vAlign w:val="center"/>
          </w:tcPr>
          <w:p w14:paraId="69D61F1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Екстремальні опади: град</w:t>
            </w:r>
          </w:p>
        </w:tc>
        <w:tc>
          <w:tcPr>
            <w:tcW w:w="425" w:type="dxa"/>
            <w:shd w:val="clear" w:color="auto" w:fill="DBE5F1"/>
            <w:vAlign w:val="center"/>
          </w:tcPr>
          <w:p w14:paraId="567324B8"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vAlign w:val="center"/>
          </w:tcPr>
          <w:p w14:paraId="1A549A9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3ABC1E80"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DEAE77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17BDDD2E"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69DADC3D" w14:textId="77777777" w:rsidR="00C82386" w:rsidRDefault="00C82386" w:rsidP="00492FFF">
            <w:pPr>
              <w:spacing w:after="0"/>
              <w:jc w:val="center"/>
              <w:rPr>
                <w:rFonts w:ascii="Times New Roman" w:eastAsia="Times New Roman" w:hAnsi="Times New Roman" w:cs="Times New Roman"/>
                <w:sz w:val="24"/>
                <w:szCs w:val="24"/>
              </w:rPr>
            </w:pPr>
          </w:p>
        </w:tc>
        <w:tc>
          <w:tcPr>
            <w:tcW w:w="1085" w:type="dxa"/>
            <w:vAlign w:val="center"/>
          </w:tcPr>
          <w:p w14:paraId="0C4008A6" w14:textId="77777777" w:rsidR="00C82386" w:rsidRDefault="00C82386" w:rsidP="00492FFF">
            <w:pPr>
              <w:spacing w:after="0"/>
              <w:jc w:val="center"/>
              <w:rPr>
                <w:rFonts w:ascii="Times New Roman" w:eastAsia="Times New Roman" w:hAnsi="Times New Roman" w:cs="Times New Roman"/>
                <w:sz w:val="24"/>
                <w:szCs w:val="24"/>
              </w:rPr>
            </w:pPr>
          </w:p>
        </w:tc>
        <w:tc>
          <w:tcPr>
            <w:tcW w:w="1041" w:type="dxa"/>
            <w:vAlign w:val="center"/>
          </w:tcPr>
          <w:p w14:paraId="0F987EC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6" w:type="dxa"/>
            <w:vAlign w:val="center"/>
          </w:tcPr>
          <w:p w14:paraId="6844742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2528F089"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5" w:type="dxa"/>
            <w:vAlign w:val="center"/>
          </w:tcPr>
          <w:p w14:paraId="2EA06E9E"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5BC07BBD"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0257E16C" w14:textId="77777777" w:rsidR="00C82386" w:rsidRDefault="00C82386" w:rsidP="00492FFF">
            <w:pPr>
              <w:spacing w:after="0"/>
              <w:jc w:val="center"/>
              <w:rPr>
                <w:rFonts w:ascii="Times New Roman" w:eastAsia="Times New Roman" w:hAnsi="Times New Roman" w:cs="Times New Roman"/>
                <w:b/>
                <w:sz w:val="24"/>
                <w:szCs w:val="24"/>
              </w:rPr>
            </w:pPr>
          </w:p>
        </w:tc>
        <w:tc>
          <w:tcPr>
            <w:tcW w:w="993" w:type="dxa"/>
            <w:shd w:val="clear" w:color="auto" w:fill="auto"/>
            <w:vAlign w:val="center"/>
          </w:tcPr>
          <w:p w14:paraId="006FA4F6"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561811BD"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850" w:type="dxa"/>
            <w:shd w:val="clear" w:color="auto" w:fill="E5DFEC"/>
            <w:vAlign w:val="center"/>
          </w:tcPr>
          <w:p w14:paraId="746D5C1D"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0</w:t>
            </w:r>
          </w:p>
        </w:tc>
        <w:tc>
          <w:tcPr>
            <w:tcW w:w="567" w:type="dxa"/>
            <w:shd w:val="clear" w:color="auto" w:fill="F2DCDB"/>
            <w:vAlign w:val="center"/>
          </w:tcPr>
          <w:p w14:paraId="2273B72D"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V1</w:t>
            </w:r>
          </w:p>
        </w:tc>
      </w:tr>
      <w:tr w:rsidR="00C82386" w14:paraId="630623B8" w14:textId="77777777" w:rsidTr="00492FFF">
        <w:tc>
          <w:tcPr>
            <w:tcW w:w="2269" w:type="dxa"/>
            <w:tcMar>
              <w:left w:w="51" w:type="dxa"/>
              <w:right w:w="51" w:type="dxa"/>
            </w:tcMar>
            <w:vAlign w:val="center"/>
          </w:tcPr>
          <w:p w14:paraId="5D396FC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Повені/ Підвищення рівня води</w:t>
            </w:r>
          </w:p>
        </w:tc>
        <w:tc>
          <w:tcPr>
            <w:tcW w:w="425" w:type="dxa"/>
            <w:shd w:val="clear" w:color="auto" w:fill="DBE5F1"/>
            <w:vAlign w:val="center"/>
          </w:tcPr>
          <w:p w14:paraId="7F82DA5E"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vAlign w:val="center"/>
          </w:tcPr>
          <w:p w14:paraId="5A00529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96E44A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764C788E"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6EB9E12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6BFED7CD" w14:textId="77777777" w:rsidR="00C82386" w:rsidRDefault="00C82386" w:rsidP="00492FFF">
            <w:pPr>
              <w:spacing w:after="0"/>
              <w:jc w:val="center"/>
              <w:rPr>
                <w:rFonts w:ascii="Times New Roman" w:eastAsia="Times New Roman" w:hAnsi="Times New Roman" w:cs="Times New Roman"/>
                <w:sz w:val="24"/>
                <w:szCs w:val="24"/>
              </w:rPr>
            </w:pPr>
          </w:p>
        </w:tc>
        <w:tc>
          <w:tcPr>
            <w:tcW w:w="1085" w:type="dxa"/>
            <w:vAlign w:val="center"/>
          </w:tcPr>
          <w:p w14:paraId="2AA9B674"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041" w:type="dxa"/>
            <w:vAlign w:val="center"/>
          </w:tcPr>
          <w:p w14:paraId="4BC9580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6" w:type="dxa"/>
            <w:vAlign w:val="center"/>
          </w:tcPr>
          <w:p w14:paraId="06430739"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5478C0C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75" w:type="dxa"/>
            <w:vAlign w:val="center"/>
          </w:tcPr>
          <w:p w14:paraId="3788F03B"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1B74E206"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6E0FCACE" w14:textId="77777777" w:rsidR="00C82386" w:rsidRDefault="00C82386" w:rsidP="00492FFF">
            <w:pPr>
              <w:spacing w:after="0"/>
              <w:jc w:val="center"/>
              <w:rPr>
                <w:rFonts w:ascii="Times New Roman" w:eastAsia="Times New Roman" w:hAnsi="Times New Roman" w:cs="Times New Roman"/>
                <w:b/>
                <w:sz w:val="24"/>
                <w:szCs w:val="24"/>
              </w:rPr>
            </w:pPr>
          </w:p>
        </w:tc>
        <w:tc>
          <w:tcPr>
            <w:tcW w:w="993" w:type="dxa"/>
            <w:shd w:val="clear" w:color="auto" w:fill="auto"/>
            <w:vAlign w:val="center"/>
          </w:tcPr>
          <w:p w14:paraId="6EE43DBD"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45217412"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850" w:type="dxa"/>
            <w:shd w:val="clear" w:color="auto" w:fill="E5DFEC"/>
            <w:vAlign w:val="center"/>
          </w:tcPr>
          <w:p w14:paraId="2F6EAC7C"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shd w:val="clear" w:color="auto" w:fill="F2DCDB"/>
            <w:vAlign w:val="center"/>
          </w:tcPr>
          <w:p w14:paraId="43DBD1A3"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V2</w:t>
            </w:r>
          </w:p>
        </w:tc>
      </w:tr>
      <w:tr w:rsidR="00C82386" w14:paraId="7E99BAD9" w14:textId="77777777" w:rsidTr="00492FFF">
        <w:tc>
          <w:tcPr>
            <w:tcW w:w="2269" w:type="dxa"/>
            <w:tcMar>
              <w:left w:w="51" w:type="dxa"/>
              <w:right w:w="51" w:type="dxa"/>
            </w:tcMar>
            <w:vAlign w:val="center"/>
          </w:tcPr>
          <w:p w14:paraId="7D952AF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Посуха</w:t>
            </w:r>
          </w:p>
        </w:tc>
        <w:tc>
          <w:tcPr>
            <w:tcW w:w="425" w:type="dxa"/>
            <w:shd w:val="clear" w:color="auto" w:fill="DBE5F1"/>
            <w:vAlign w:val="center"/>
          </w:tcPr>
          <w:p w14:paraId="5E9D95B3"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vAlign w:val="center"/>
          </w:tcPr>
          <w:p w14:paraId="5E84E3BE"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2B21E98F"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4F09DE40"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48A02C25"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567" w:type="dxa"/>
            <w:vAlign w:val="center"/>
          </w:tcPr>
          <w:p w14:paraId="43CA5AB0"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85" w:type="dxa"/>
            <w:vAlign w:val="center"/>
          </w:tcPr>
          <w:p w14:paraId="4505E435"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041" w:type="dxa"/>
            <w:vAlign w:val="center"/>
          </w:tcPr>
          <w:p w14:paraId="0E10B008"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6" w:type="dxa"/>
            <w:vAlign w:val="center"/>
          </w:tcPr>
          <w:p w14:paraId="313DD02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09" w:type="dxa"/>
            <w:vAlign w:val="center"/>
          </w:tcPr>
          <w:p w14:paraId="2B67AA0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75" w:type="dxa"/>
            <w:vAlign w:val="center"/>
          </w:tcPr>
          <w:p w14:paraId="42F1E4E5" w14:textId="77777777" w:rsidR="00C82386" w:rsidRDefault="00C82386" w:rsidP="00492FFF">
            <w:pPr>
              <w:spacing w:after="0"/>
              <w:jc w:val="center"/>
              <w:rPr>
                <w:rFonts w:ascii="Times New Roman" w:eastAsia="Times New Roman" w:hAnsi="Times New Roman" w:cs="Times New Roman"/>
                <w:sz w:val="24"/>
                <w:szCs w:val="24"/>
              </w:rPr>
            </w:pPr>
          </w:p>
        </w:tc>
        <w:tc>
          <w:tcPr>
            <w:tcW w:w="710" w:type="dxa"/>
            <w:vAlign w:val="center"/>
          </w:tcPr>
          <w:p w14:paraId="54E6FAAF"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92" w:type="dxa"/>
            <w:shd w:val="clear" w:color="auto" w:fill="auto"/>
            <w:vAlign w:val="center"/>
          </w:tcPr>
          <w:p w14:paraId="3C2BEF14" w14:textId="77777777" w:rsidR="00C82386" w:rsidRDefault="00C82386" w:rsidP="00492FFF">
            <w:pPr>
              <w:spacing w:after="0"/>
              <w:jc w:val="center"/>
              <w:rPr>
                <w:rFonts w:ascii="Times New Roman" w:eastAsia="Times New Roman" w:hAnsi="Times New Roman" w:cs="Times New Roman"/>
                <w:b/>
                <w:sz w:val="24"/>
                <w:szCs w:val="24"/>
              </w:rPr>
            </w:pPr>
          </w:p>
        </w:tc>
        <w:tc>
          <w:tcPr>
            <w:tcW w:w="993" w:type="dxa"/>
            <w:shd w:val="clear" w:color="auto" w:fill="auto"/>
            <w:vAlign w:val="center"/>
          </w:tcPr>
          <w:p w14:paraId="7C7FB47E"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4A3C4AFF"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30</w:t>
            </w:r>
          </w:p>
        </w:tc>
        <w:tc>
          <w:tcPr>
            <w:tcW w:w="850" w:type="dxa"/>
            <w:shd w:val="clear" w:color="auto" w:fill="E5DFEC"/>
            <w:vAlign w:val="center"/>
          </w:tcPr>
          <w:p w14:paraId="0615F0FB"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shd w:val="clear" w:color="auto" w:fill="F2DCDB"/>
            <w:vAlign w:val="center"/>
          </w:tcPr>
          <w:p w14:paraId="12CA8695"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V2</w:t>
            </w:r>
          </w:p>
        </w:tc>
      </w:tr>
      <w:tr w:rsidR="00C82386" w14:paraId="1B0A3870" w14:textId="77777777" w:rsidTr="00492FFF">
        <w:tc>
          <w:tcPr>
            <w:tcW w:w="2269" w:type="dxa"/>
            <w:tcMar>
              <w:left w:w="51" w:type="dxa"/>
              <w:right w:w="51" w:type="dxa"/>
            </w:tcMar>
            <w:vAlign w:val="center"/>
          </w:tcPr>
          <w:p w14:paraId="6AA203E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Пожежі низові</w:t>
            </w:r>
          </w:p>
        </w:tc>
        <w:tc>
          <w:tcPr>
            <w:tcW w:w="425" w:type="dxa"/>
            <w:shd w:val="clear" w:color="auto" w:fill="DBE5F1"/>
            <w:vAlign w:val="center"/>
          </w:tcPr>
          <w:p w14:paraId="647D86EB"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67" w:type="dxa"/>
            <w:vAlign w:val="center"/>
          </w:tcPr>
          <w:p w14:paraId="3EADCDD2"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2CBDD312"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095734F5"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71973F31"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526030BD"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85" w:type="dxa"/>
            <w:vAlign w:val="center"/>
          </w:tcPr>
          <w:p w14:paraId="4F3A98E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1" w:type="dxa"/>
            <w:vAlign w:val="center"/>
          </w:tcPr>
          <w:p w14:paraId="1608B262"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6" w:type="dxa"/>
            <w:vAlign w:val="center"/>
          </w:tcPr>
          <w:p w14:paraId="66B0129F"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9" w:type="dxa"/>
            <w:vAlign w:val="center"/>
          </w:tcPr>
          <w:p w14:paraId="0BC7405F"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75" w:type="dxa"/>
            <w:vAlign w:val="center"/>
          </w:tcPr>
          <w:p w14:paraId="75FD317C"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10" w:type="dxa"/>
            <w:vAlign w:val="center"/>
          </w:tcPr>
          <w:p w14:paraId="0D604C00"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92" w:type="dxa"/>
            <w:shd w:val="clear" w:color="auto" w:fill="auto"/>
            <w:vAlign w:val="center"/>
          </w:tcPr>
          <w:p w14:paraId="4250497B" w14:textId="77777777" w:rsidR="00C82386" w:rsidRDefault="00C82386" w:rsidP="00492FFF">
            <w:pPr>
              <w:spacing w:after="0"/>
              <w:jc w:val="center"/>
              <w:rPr>
                <w:rFonts w:ascii="Times New Roman" w:eastAsia="Times New Roman" w:hAnsi="Times New Roman" w:cs="Times New Roman"/>
                <w:b/>
                <w:sz w:val="24"/>
                <w:szCs w:val="24"/>
              </w:rPr>
            </w:pPr>
          </w:p>
        </w:tc>
        <w:tc>
          <w:tcPr>
            <w:tcW w:w="993" w:type="dxa"/>
            <w:shd w:val="clear" w:color="auto" w:fill="auto"/>
            <w:vAlign w:val="center"/>
          </w:tcPr>
          <w:p w14:paraId="1D1FD757"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6994EE68"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850" w:type="dxa"/>
            <w:shd w:val="clear" w:color="auto" w:fill="E5DFEC"/>
            <w:vAlign w:val="center"/>
          </w:tcPr>
          <w:p w14:paraId="118B08C4"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shd w:val="clear" w:color="auto" w:fill="F2DCDB"/>
            <w:vAlign w:val="center"/>
          </w:tcPr>
          <w:p w14:paraId="1DDBF9C8"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V0</w:t>
            </w:r>
          </w:p>
        </w:tc>
      </w:tr>
      <w:tr w:rsidR="00C82386" w14:paraId="22C9B670" w14:textId="77777777" w:rsidTr="00492FFF">
        <w:tc>
          <w:tcPr>
            <w:tcW w:w="2269" w:type="dxa"/>
            <w:tcMar>
              <w:left w:w="51" w:type="dxa"/>
              <w:right w:w="51" w:type="dxa"/>
            </w:tcMar>
            <w:vAlign w:val="center"/>
          </w:tcPr>
          <w:p w14:paraId="7223DEC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Інфекційні захворювання та алергічні прояви</w:t>
            </w:r>
          </w:p>
        </w:tc>
        <w:tc>
          <w:tcPr>
            <w:tcW w:w="425" w:type="dxa"/>
            <w:shd w:val="clear" w:color="auto" w:fill="DBE5F1"/>
            <w:vAlign w:val="center"/>
          </w:tcPr>
          <w:p w14:paraId="65274E90" w14:textId="77777777" w:rsidR="00C82386" w:rsidRDefault="00E66F64">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vAlign w:val="center"/>
          </w:tcPr>
          <w:p w14:paraId="2FFDE053"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3993AD37"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7168E162" w14:textId="77777777" w:rsidR="00C82386" w:rsidRDefault="00C82386" w:rsidP="00492FFF">
            <w:pPr>
              <w:spacing w:after="0"/>
              <w:jc w:val="center"/>
              <w:rPr>
                <w:rFonts w:ascii="Times New Roman" w:eastAsia="Times New Roman" w:hAnsi="Times New Roman" w:cs="Times New Roman"/>
                <w:sz w:val="24"/>
                <w:szCs w:val="24"/>
              </w:rPr>
            </w:pPr>
          </w:p>
        </w:tc>
        <w:tc>
          <w:tcPr>
            <w:tcW w:w="567" w:type="dxa"/>
            <w:vAlign w:val="center"/>
          </w:tcPr>
          <w:p w14:paraId="5F9B549A"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65097647"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085" w:type="dxa"/>
            <w:vAlign w:val="center"/>
          </w:tcPr>
          <w:p w14:paraId="370B75EF" w14:textId="77777777" w:rsidR="00C82386" w:rsidRDefault="00C82386" w:rsidP="00492FFF">
            <w:pPr>
              <w:spacing w:after="0"/>
              <w:jc w:val="center"/>
              <w:rPr>
                <w:rFonts w:ascii="Times New Roman" w:eastAsia="Times New Roman" w:hAnsi="Times New Roman" w:cs="Times New Roman"/>
                <w:sz w:val="24"/>
                <w:szCs w:val="24"/>
              </w:rPr>
            </w:pPr>
          </w:p>
        </w:tc>
        <w:tc>
          <w:tcPr>
            <w:tcW w:w="1041" w:type="dxa"/>
            <w:vAlign w:val="center"/>
          </w:tcPr>
          <w:p w14:paraId="4DB81A21" w14:textId="77777777" w:rsidR="00C82386" w:rsidRDefault="00C82386" w:rsidP="00492FFF">
            <w:pPr>
              <w:spacing w:after="0"/>
              <w:jc w:val="center"/>
              <w:rPr>
                <w:rFonts w:ascii="Times New Roman" w:eastAsia="Times New Roman" w:hAnsi="Times New Roman" w:cs="Times New Roman"/>
                <w:sz w:val="24"/>
                <w:szCs w:val="24"/>
              </w:rPr>
            </w:pPr>
          </w:p>
        </w:tc>
        <w:tc>
          <w:tcPr>
            <w:tcW w:w="1276" w:type="dxa"/>
            <w:vAlign w:val="center"/>
          </w:tcPr>
          <w:p w14:paraId="2ACF48B2" w14:textId="77777777" w:rsidR="00C82386" w:rsidRDefault="00C82386" w:rsidP="00492FFF">
            <w:pPr>
              <w:spacing w:after="0"/>
              <w:jc w:val="center"/>
              <w:rPr>
                <w:rFonts w:ascii="Times New Roman" w:eastAsia="Times New Roman" w:hAnsi="Times New Roman" w:cs="Times New Roman"/>
                <w:sz w:val="24"/>
                <w:szCs w:val="24"/>
              </w:rPr>
            </w:pPr>
          </w:p>
        </w:tc>
        <w:tc>
          <w:tcPr>
            <w:tcW w:w="709" w:type="dxa"/>
            <w:vAlign w:val="center"/>
          </w:tcPr>
          <w:p w14:paraId="6D248CEF"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75" w:type="dxa"/>
            <w:vAlign w:val="center"/>
          </w:tcPr>
          <w:p w14:paraId="2E3F9679" w14:textId="77777777" w:rsidR="00C82386" w:rsidRDefault="00C82386" w:rsidP="00492FFF">
            <w:pPr>
              <w:spacing w:after="0"/>
              <w:jc w:val="center"/>
              <w:rPr>
                <w:rFonts w:ascii="Times New Roman" w:eastAsia="Times New Roman" w:hAnsi="Times New Roman" w:cs="Times New Roman"/>
                <w:sz w:val="24"/>
                <w:szCs w:val="24"/>
              </w:rPr>
            </w:pPr>
          </w:p>
        </w:tc>
        <w:tc>
          <w:tcPr>
            <w:tcW w:w="710" w:type="dxa"/>
            <w:vAlign w:val="center"/>
          </w:tcPr>
          <w:p w14:paraId="587C7E4A" w14:textId="77777777" w:rsidR="00C82386" w:rsidRDefault="00C82386" w:rsidP="00492FFF">
            <w:pPr>
              <w:spacing w:after="0"/>
              <w:jc w:val="center"/>
              <w:rPr>
                <w:rFonts w:ascii="Times New Roman" w:eastAsia="Times New Roman" w:hAnsi="Times New Roman" w:cs="Times New Roman"/>
                <w:sz w:val="24"/>
                <w:szCs w:val="24"/>
              </w:rPr>
            </w:pPr>
          </w:p>
        </w:tc>
        <w:tc>
          <w:tcPr>
            <w:tcW w:w="692" w:type="dxa"/>
            <w:shd w:val="clear" w:color="auto" w:fill="auto"/>
            <w:vAlign w:val="center"/>
          </w:tcPr>
          <w:p w14:paraId="3B05D106" w14:textId="77777777" w:rsidR="00C82386" w:rsidRDefault="00E66F64" w:rsidP="00492FFF">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3" w:type="dxa"/>
            <w:shd w:val="clear" w:color="auto" w:fill="auto"/>
            <w:vAlign w:val="center"/>
          </w:tcPr>
          <w:p w14:paraId="69309B7C" w14:textId="77777777" w:rsidR="00C82386" w:rsidRDefault="00C82386" w:rsidP="00492FFF">
            <w:pPr>
              <w:spacing w:after="0"/>
              <w:jc w:val="center"/>
              <w:rPr>
                <w:rFonts w:ascii="Times New Roman" w:eastAsia="Times New Roman" w:hAnsi="Times New Roman" w:cs="Times New Roman"/>
                <w:b/>
                <w:sz w:val="24"/>
                <w:szCs w:val="24"/>
              </w:rPr>
            </w:pPr>
          </w:p>
        </w:tc>
        <w:tc>
          <w:tcPr>
            <w:tcW w:w="567" w:type="dxa"/>
            <w:shd w:val="clear" w:color="auto" w:fill="FDEADA"/>
            <w:vAlign w:val="center"/>
          </w:tcPr>
          <w:p w14:paraId="08C9C8C1"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p>
        </w:tc>
        <w:tc>
          <w:tcPr>
            <w:tcW w:w="850" w:type="dxa"/>
            <w:shd w:val="clear" w:color="auto" w:fill="E5DFEC"/>
            <w:vAlign w:val="center"/>
          </w:tcPr>
          <w:p w14:paraId="40274C62"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67" w:type="dxa"/>
            <w:shd w:val="clear" w:color="auto" w:fill="F2DCDB"/>
            <w:vAlign w:val="center"/>
          </w:tcPr>
          <w:p w14:paraId="3EAA3540" w14:textId="77777777" w:rsidR="00C82386" w:rsidRDefault="00E66F64" w:rsidP="00492FFF">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V1</w:t>
            </w:r>
          </w:p>
        </w:tc>
      </w:tr>
    </w:tbl>
    <w:p w14:paraId="2F68A687" w14:textId="77777777" w:rsidR="00C82386" w:rsidRDefault="00C82386">
      <w:pPr>
        <w:rPr>
          <w:rFonts w:ascii="Times New Roman" w:eastAsia="Times New Roman" w:hAnsi="Times New Roman" w:cs="Times New Roman"/>
          <w:sz w:val="24"/>
          <w:szCs w:val="24"/>
        </w:rPr>
        <w:sectPr w:rsidR="00C82386">
          <w:pgSz w:w="16838" w:h="11906" w:orient="landscape"/>
          <w:pgMar w:top="1440" w:right="1440" w:bottom="993" w:left="1440" w:header="720" w:footer="498" w:gutter="0"/>
          <w:cols w:space="720"/>
        </w:sectPr>
      </w:pPr>
    </w:p>
    <w:p w14:paraId="5CC95997"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Оцінка рівня вразливості: </w:t>
      </w:r>
    </w:p>
    <w:p w14:paraId="337ED9D0"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V3 - дуже високий рівень вразливості, вам слід вибрати варіанти адаптації і вжити термінових заходів. </w:t>
      </w:r>
    </w:p>
    <w:p w14:paraId="2476BFE1"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V2 - високий рівень вразливості, вам слід запропонувати належні дії з адаптації для зниження вразливості. </w:t>
      </w:r>
    </w:p>
    <w:p w14:paraId="7AABE0DE"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V1 - прийнятний рівень вразливості, проте необхідно запропонувати заходи з адаптації і забезпечити регулярний моніторинг. </w:t>
      </w:r>
    </w:p>
    <w:p w14:paraId="2EDEA574" w14:textId="77777777" w:rsidR="00C82386" w:rsidRDefault="00E66F6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V0 - прийнятний рівень вразливості, тому немає необхідності проводити будь-які заходи з адаптації та здійснювати моніторинг.</w:t>
      </w:r>
    </w:p>
    <w:p w14:paraId="2E7E0FE9" w14:textId="77777777" w:rsidR="00C82386" w:rsidRDefault="00E66F64">
      <w:pPr>
        <w:spacing w:before="24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Відповідно, за </w:t>
      </w:r>
      <w:r>
        <w:rPr>
          <w:rFonts w:ascii="Times New Roman" w:eastAsia="Times New Roman" w:hAnsi="Times New Roman" w:cs="Times New Roman"/>
          <w:b/>
          <w:sz w:val="24"/>
          <w:szCs w:val="24"/>
        </w:rPr>
        <w:t>результатами оцінки визначено</w:t>
      </w:r>
      <w:r>
        <w:rPr>
          <w:rFonts w:ascii="Times New Roman" w:eastAsia="Times New Roman" w:hAnsi="Times New Roman" w:cs="Times New Roman"/>
          <w:sz w:val="24"/>
          <w:szCs w:val="24"/>
        </w:rPr>
        <w:t xml:space="preserve"> рівні вразливості для наступних кліматичних ризиків, вплив яких необхідно враховувати Житомирській міській територіальній громаді та покращувати рівень адаптації: </w:t>
      </w:r>
    </w:p>
    <w:tbl>
      <w:tblPr>
        <w:tblStyle w:val="afffffffff"/>
        <w:tblW w:w="904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1"/>
        <w:gridCol w:w="3837"/>
        <w:gridCol w:w="4242"/>
      </w:tblGrid>
      <w:tr w:rsidR="00C82386" w14:paraId="72899971" w14:textId="77777777">
        <w:tc>
          <w:tcPr>
            <w:tcW w:w="961" w:type="dxa"/>
          </w:tcPr>
          <w:p w14:paraId="35351D0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V3</w:t>
            </w:r>
          </w:p>
        </w:tc>
        <w:tc>
          <w:tcPr>
            <w:tcW w:w="3837" w:type="dxa"/>
          </w:tcPr>
          <w:p w14:paraId="51A7AF5F"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Екстремальна спека</w:t>
            </w:r>
          </w:p>
        </w:tc>
        <w:tc>
          <w:tcPr>
            <w:tcW w:w="4242" w:type="dxa"/>
          </w:tcPr>
          <w:p w14:paraId="28FFA5D5"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дуже високий рівень вразливості, вам слід вибрати варіанти адаптації і вжити термінових заходів</w:t>
            </w:r>
          </w:p>
        </w:tc>
      </w:tr>
      <w:tr w:rsidR="00C82386" w14:paraId="195C6082" w14:textId="77777777">
        <w:tc>
          <w:tcPr>
            <w:tcW w:w="961" w:type="dxa"/>
          </w:tcPr>
          <w:p w14:paraId="23D085AE"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V3</w:t>
            </w:r>
          </w:p>
        </w:tc>
        <w:tc>
          <w:tcPr>
            <w:tcW w:w="3837" w:type="dxa"/>
          </w:tcPr>
          <w:p w14:paraId="11A520FB"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Екстремальні опади: зливи</w:t>
            </w:r>
          </w:p>
        </w:tc>
        <w:tc>
          <w:tcPr>
            <w:tcW w:w="4242" w:type="dxa"/>
          </w:tcPr>
          <w:p w14:paraId="06EEFC9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дуже високий рівень вразливості, вам слід вибрати варіанти адаптації і вжити термінових заходів</w:t>
            </w:r>
          </w:p>
        </w:tc>
      </w:tr>
      <w:tr w:rsidR="00C82386" w14:paraId="34AE6BBD" w14:textId="77777777">
        <w:tc>
          <w:tcPr>
            <w:tcW w:w="961" w:type="dxa"/>
          </w:tcPr>
          <w:p w14:paraId="07EF0B2F"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V2</w:t>
            </w:r>
          </w:p>
        </w:tc>
        <w:tc>
          <w:tcPr>
            <w:tcW w:w="3837" w:type="dxa"/>
          </w:tcPr>
          <w:p w14:paraId="788CC723"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Повені: підвищення рівня води</w:t>
            </w:r>
          </w:p>
        </w:tc>
        <w:tc>
          <w:tcPr>
            <w:tcW w:w="4242" w:type="dxa"/>
          </w:tcPr>
          <w:p w14:paraId="4BC08B57"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високий рівень вразливості, вам слід запропонувати належні дії з адаптації для зниження вразливості.</w:t>
            </w:r>
          </w:p>
        </w:tc>
      </w:tr>
      <w:tr w:rsidR="00C82386" w14:paraId="3976DD86" w14:textId="77777777">
        <w:tc>
          <w:tcPr>
            <w:tcW w:w="961" w:type="dxa"/>
          </w:tcPr>
          <w:p w14:paraId="2267F10D"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V2</w:t>
            </w:r>
          </w:p>
        </w:tc>
        <w:tc>
          <w:tcPr>
            <w:tcW w:w="3837" w:type="dxa"/>
          </w:tcPr>
          <w:p w14:paraId="08974CD4"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Посухи: зелені зони</w:t>
            </w:r>
          </w:p>
        </w:tc>
        <w:tc>
          <w:tcPr>
            <w:tcW w:w="4242" w:type="dxa"/>
          </w:tcPr>
          <w:p w14:paraId="2F6B10F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високий рівень вразливості, вам слід запропонувати належні дії з адаптації для зниження вразливості.</w:t>
            </w:r>
          </w:p>
        </w:tc>
      </w:tr>
      <w:tr w:rsidR="00C82386" w14:paraId="07682D0E" w14:textId="77777777">
        <w:tc>
          <w:tcPr>
            <w:tcW w:w="961" w:type="dxa"/>
          </w:tcPr>
          <w:p w14:paraId="201D38F2"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V1</w:t>
            </w:r>
          </w:p>
        </w:tc>
        <w:tc>
          <w:tcPr>
            <w:tcW w:w="3837" w:type="dxa"/>
          </w:tcPr>
          <w:p w14:paraId="1C1E588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Інфекційні захворювання та алергічні прояви</w:t>
            </w:r>
          </w:p>
        </w:tc>
        <w:tc>
          <w:tcPr>
            <w:tcW w:w="4242" w:type="dxa"/>
          </w:tcPr>
          <w:p w14:paraId="53373139"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прийнятний рівень вразливості, проте необхідно запропонувати заходи з адаптації і забезпечити регулярний моніторинг</w:t>
            </w:r>
          </w:p>
        </w:tc>
      </w:tr>
      <w:tr w:rsidR="00C82386" w14:paraId="22219BDB" w14:textId="77777777">
        <w:tc>
          <w:tcPr>
            <w:tcW w:w="961" w:type="dxa"/>
          </w:tcPr>
          <w:p w14:paraId="4295214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t>V1</w:t>
            </w:r>
          </w:p>
        </w:tc>
        <w:tc>
          <w:tcPr>
            <w:tcW w:w="3837" w:type="dxa"/>
          </w:tcPr>
          <w:p w14:paraId="6E2AFE5A"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Екстремальні опади: снігопад та град</w:t>
            </w:r>
          </w:p>
        </w:tc>
        <w:tc>
          <w:tcPr>
            <w:tcW w:w="4242" w:type="dxa"/>
          </w:tcPr>
          <w:p w14:paraId="026CC72C" w14:textId="77777777" w:rsidR="00C82386" w:rsidRDefault="00E66F6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прийнятний рівень вразливості, проте необхідно запропонувати заходи з адаптації і забезпечити регулярний моніторинг</w:t>
            </w:r>
          </w:p>
        </w:tc>
      </w:tr>
    </w:tbl>
    <w:p w14:paraId="7E64F53A" w14:textId="77777777" w:rsidR="00C82386" w:rsidRDefault="00C82386">
      <w:pPr>
        <w:pBdr>
          <w:top w:val="nil"/>
          <w:left w:val="nil"/>
          <w:bottom w:val="nil"/>
          <w:right w:val="nil"/>
          <w:between w:val="nil"/>
        </w:pBdr>
        <w:ind w:left="720" w:hanging="12"/>
        <w:rPr>
          <w:rFonts w:ascii="Times New Roman" w:eastAsia="Times New Roman" w:hAnsi="Times New Roman" w:cs="Times New Roman"/>
          <w:color w:val="000000"/>
          <w:sz w:val="24"/>
          <w:szCs w:val="24"/>
        </w:rPr>
      </w:pPr>
    </w:p>
    <w:p w14:paraId="0220ACA8" w14:textId="77777777" w:rsidR="00C82386" w:rsidRDefault="00E66F64">
      <w:pPr>
        <w:rPr>
          <w:rFonts w:ascii="Times New Roman" w:eastAsia="Times New Roman" w:hAnsi="Times New Roman" w:cs="Times New Roman"/>
          <w:sz w:val="24"/>
          <w:szCs w:val="24"/>
        </w:rPr>
      </w:pPr>
      <w:r>
        <w:br w:type="page"/>
      </w:r>
    </w:p>
    <w:p w14:paraId="3A8C62CD" w14:textId="77777777" w:rsidR="00492FFF" w:rsidRDefault="00492FFF" w:rsidP="00492FFF">
      <w:pPr>
        <w:keepNext/>
        <w:keepLines/>
        <w:pBdr>
          <w:top w:val="nil"/>
          <w:left w:val="nil"/>
          <w:bottom w:val="nil"/>
          <w:right w:val="nil"/>
          <w:between w:val="nil"/>
        </w:pBdr>
        <w:spacing w:after="0"/>
        <w:jc w:val="both"/>
        <w:rPr>
          <w:rFonts w:ascii="Times New Roman" w:eastAsia="Times New Roman" w:hAnsi="Times New Roman" w:cs="Times New Roman"/>
          <w:b/>
          <w:color w:val="000000"/>
          <w:sz w:val="24"/>
          <w:szCs w:val="24"/>
        </w:rPr>
      </w:pPr>
      <w:bookmarkStart w:id="123" w:name="_heading=h.338fx5o" w:colFirst="0" w:colLast="0"/>
      <w:bookmarkEnd w:id="123"/>
      <w:r>
        <w:rPr>
          <w:rFonts w:ascii="Times New Roman" w:eastAsia="Times New Roman" w:hAnsi="Times New Roman" w:cs="Times New Roman"/>
          <w:b/>
          <w:color w:val="000000"/>
          <w:sz w:val="24"/>
          <w:szCs w:val="24"/>
        </w:rPr>
        <w:lastRenderedPageBreak/>
        <w:t>ДОДАТОК 4.</w:t>
      </w:r>
    </w:p>
    <w:p w14:paraId="36B72E0A" w14:textId="77777777" w:rsidR="00C82386" w:rsidRDefault="00E66F64" w:rsidP="00492FFF">
      <w:pPr>
        <w:keepNext/>
        <w:keepLines/>
        <w:pBdr>
          <w:top w:val="nil"/>
          <w:left w:val="nil"/>
          <w:bottom w:val="nil"/>
          <w:right w:val="nil"/>
          <w:between w:val="nil"/>
        </w:pBdr>
        <w:spacing w:after="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Опитування мешканців м. Житомир щодо їх оцінки зміни клімату, що були проведені у 2020 та 2024 роках.  </w:t>
      </w:r>
    </w:p>
    <w:p w14:paraId="2C6DFEC4" w14:textId="77777777" w:rsidR="00C82386" w:rsidRDefault="00C82386">
      <w:pPr>
        <w:spacing w:after="0"/>
        <w:jc w:val="both"/>
        <w:rPr>
          <w:rFonts w:ascii="Times New Roman" w:eastAsia="Times New Roman" w:hAnsi="Times New Roman" w:cs="Times New Roman"/>
          <w:sz w:val="24"/>
          <w:szCs w:val="24"/>
        </w:rPr>
      </w:pPr>
    </w:p>
    <w:tbl>
      <w:tblPr>
        <w:tblStyle w:val="afffffffff0"/>
        <w:tblW w:w="10632" w:type="dxa"/>
        <w:tblInd w:w="-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3"/>
        <w:gridCol w:w="5529"/>
      </w:tblGrid>
      <w:tr w:rsidR="00C82386" w14:paraId="3DAB33BF" w14:textId="77777777">
        <w:trPr>
          <w:trHeight w:val="302"/>
        </w:trPr>
        <w:tc>
          <w:tcPr>
            <w:tcW w:w="5103" w:type="dxa"/>
          </w:tcPr>
          <w:p w14:paraId="12D3637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2024</w:t>
            </w:r>
          </w:p>
        </w:tc>
        <w:tc>
          <w:tcPr>
            <w:tcW w:w="5529" w:type="dxa"/>
          </w:tcPr>
          <w:p w14:paraId="529BCA42" w14:textId="77777777" w:rsidR="00C82386" w:rsidRDefault="00E66F64">
            <w:pPr>
              <w:ind w:right="39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w:t>
            </w:r>
          </w:p>
        </w:tc>
      </w:tr>
      <w:tr w:rsidR="00C82386" w14:paraId="61D1BC91" w14:textId="77777777">
        <w:trPr>
          <w:trHeight w:val="302"/>
        </w:trPr>
        <w:tc>
          <w:tcPr>
            <w:tcW w:w="5103" w:type="dxa"/>
          </w:tcPr>
          <w:p w14:paraId="6BED0432" w14:textId="77777777" w:rsidR="00C82386" w:rsidRDefault="00E66F64">
            <w:pPr>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Вступ</w:t>
            </w:r>
          </w:p>
          <w:p w14:paraId="7EC6DBE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Опитування грає важливу роль як у визначенні вразливостей до змін клімату так і для розробки заходів з адаптації, оскільки лише розуміння та готовність населення їх впроваджувати визначає успішність їх реалізації. </w:t>
            </w:r>
          </w:p>
          <w:p w14:paraId="2DEE78B2" w14:textId="77777777" w:rsidR="00C82386" w:rsidRDefault="00C82386">
            <w:pPr>
              <w:jc w:val="both"/>
              <w:rPr>
                <w:rFonts w:ascii="Times New Roman" w:eastAsia="Times New Roman" w:hAnsi="Times New Roman" w:cs="Times New Roman"/>
                <w:color w:val="000000"/>
                <w:sz w:val="24"/>
                <w:szCs w:val="24"/>
              </w:rPr>
            </w:pPr>
          </w:p>
          <w:p w14:paraId="3099076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Анкета, яку було запропоновано заповнити мешканцям складається з 6 тематичних розділів: загальні кліматичні питання (зміна погодних умов під час зими/літа), оцінка інфраструктури міста і її пристосованості до змін клімату, оцінка впливу змін клімату на системи життєзабезпечення міста, оцінка самопочуття та безпеки, рекомендації мешканців, соціологічний портрет.  </w:t>
            </w:r>
          </w:p>
          <w:p w14:paraId="79BEB45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241A56D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Опитування мешканців м. Житомир було проведене в серпні-вересні 2024 року. У ньому прийняло участь 185 респондентів (76% - жінки, 22% - чоловіки, 3% - не повідомили). Опитування відбувалося он-лайн. </w:t>
            </w:r>
          </w:p>
          <w:p w14:paraId="21821DB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Більшість опитуваних, а саме 56% опитуваних проживають в Житомирі більше 30 років та 35% - 11-30 років, з них – 44% - в Центрі, 15% - в Богунія, 12% - в Польова, 7% Вокзал, по 5% в Корбутівка, Крошня та Промавтоматика, решта – в інших районах Житомира.</w:t>
            </w:r>
          </w:p>
          <w:p w14:paraId="17BBDF3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Найчисленніша вікова група, що склала 43% - 31-45 років, 33% - 46-65 років, найменш активно взяли участь в опитуванню люди молодші 18 років та старші за 65 років. Більшість, а саме 71% відповідачів - мають дітей.</w:t>
            </w:r>
          </w:p>
        </w:tc>
        <w:tc>
          <w:tcPr>
            <w:tcW w:w="5529" w:type="dxa"/>
          </w:tcPr>
          <w:p w14:paraId="1D6FD924" w14:textId="77777777" w:rsidR="00C82386" w:rsidRDefault="00E66F64">
            <w:pPr>
              <w:ind w:right="34"/>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Вступ</w:t>
            </w:r>
          </w:p>
          <w:p w14:paraId="66E9F379" w14:textId="77777777" w:rsidR="00C82386" w:rsidRDefault="00E66F64">
            <w:pPr>
              <w:ind w:right="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Опитування грає важливу роль як у визначенні вразливостей до змін клімату так і для розробки заходів з адаптації, оскільки лише розуміння та готовність населення їх впроваджувати визначає успішність їх реалізації. </w:t>
            </w:r>
          </w:p>
          <w:p w14:paraId="382E480B" w14:textId="77777777" w:rsidR="00C82386" w:rsidRDefault="00C82386">
            <w:pPr>
              <w:jc w:val="both"/>
              <w:rPr>
                <w:rFonts w:ascii="Times New Roman" w:eastAsia="Times New Roman" w:hAnsi="Times New Roman" w:cs="Times New Roman"/>
                <w:color w:val="000000"/>
                <w:sz w:val="24"/>
                <w:szCs w:val="24"/>
              </w:rPr>
            </w:pPr>
          </w:p>
          <w:p w14:paraId="628E94B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Анкета, яку було запропоновано заповнити мешканцям складається з 6 тематичних розділів: загальні кліматичні питання (зміна погодних умов під час зими/літа), оцінка інфраструктури міста і її пристосованості до змін клімату, оцінка впливу змін клімату на системи життєзабезпечення міста, оцінка самопочуття та безпеки, рекомендації мешканців, соціологічний портрет.  </w:t>
            </w:r>
          </w:p>
          <w:p w14:paraId="12EC8F6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1845D7C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Опитування мешканців м. Житомир було проведене в серпні-вересні 2020 року. У ньому прийняло участь 180 респондентів (72,8% - жінки, 22,8% - чоловіки, 4,4% - не повідомили). Опитування відбувалося он-лайн. </w:t>
            </w:r>
          </w:p>
          <w:p w14:paraId="4A73CF1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Більшість опитуваних, а саме 50,6% опитуваних проживають в Житомирі більше 30 років та 37,8% - більше 10 років, з них – 30,0% - в Центрі, 12,2% - в Богунія, 10,6% - в Крошня, по 6,1% у Нижній Польовій та Корбутівці, решта – в інших районах Житомира. </w:t>
            </w:r>
          </w:p>
          <w:p w14:paraId="57DBE75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Найчисленніша вікова група, що склала 39,4% - 30-45 років, 36,7% - 45-65 років, найменш активно взяли участь в опитуванню люде молодші 18 років та старші за 65 років. Більшість, а саме 76,1% відповідачів - мають дітей. </w:t>
            </w:r>
          </w:p>
          <w:p w14:paraId="2A45D8FB" w14:textId="77777777" w:rsidR="00C82386" w:rsidRDefault="00C82386">
            <w:pPr>
              <w:jc w:val="both"/>
              <w:rPr>
                <w:rFonts w:ascii="Times New Roman" w:eastAsia="Times New Roman" w:hAnsi="Times New Roman" w:cs="Times New Roman"/>
                <w:color w:val="000000"/>
                <w:sz w:val="24"/>
                <w:szCs w:val="24"/>
              </w:rPr>
            </w:pPr>
          </w:p>
          <w:p w14:paraId="54A1E4C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Опитування показало, що зміни клімату Житомира відмічаються переважаючою більшістю (95%) респондентів причому 67,2% відмічають </w:t>
            </w:r>
            <w:r>
              <w:rPr>
                <w:rFonts w:ascii="Times New Roman" w:eastAsia="Times New Roman" w:hAnsi="Times New Roman" w:cs="Times New Roman"/>
                <w:color w:val="000000"/>
                <w:sz w:val="24"/>
                <w:szCs w:val="24"/>
                <w:u w:val="single"/>
              </w:rPr>
              <w:t>значну</w:t>
            </w:r>
            <w:r>
              <w:rPr>
                <w:rFonts w:ascii="Times New Roman" w:eastAsia="Times New Roman" w:hAnsi="Times New Roman" w:cs="Times New Roman"/>
                <w:color w:val="000000"/>
                <w:sz w:val="24"/>
                <w:szCs w:val="24"/>
              </w:rPr>
              <w:t xml:space="preserve"> зміну клімату. І лише 3,3% вважають, що клімат протягом останніх 10-15 років не змінився.</w:t>
            </w:r>
          </w:p>
        </w:tc>
      </w:tr>
      <w:tr w:rsidR="00C82386" w14:paraId="0D37E6A4" w14:textId="77777777">
        <w:trPr>
          <w:trHeight w:val="302"/>
        </w:trPr>
        <w:tc>
          <w:tcPr>
            <w:tcW w:w="5103" w:type="dxa"/>
          </w:tcPr>
          <w:p w14:paraId="463BFB90" w14:textId="77777777" w:rsidR="00C82386" w:rsidRDefault="00C82386">
            <w:pPr>
              <w:jc w:val="both"/>
              <w:rPr>
                <w:rFonts w:ascii="Times New Roman" w:eastAsia="Times New Roman" w:hAnsi="Times New Roman" w:cs="Times New Roman"/>
                <w:color w:val="000000"/>
                <w:sz w:val="24"/>
                <w:szCs w:val="24"/>
              </w:rPr>
            </w:pPr>
          </w:p>
          <w:p w14:paraId="062EAAF1" w14:textId="77777777" w:rsidR="00C82386" w:rsidRDefault="00C82386">
            <w:pPr>
              <w:jc w:val="both"/>
              <w:rPr>
                <w:rFonts w:ascii="Times New Roman" w:eastAsia="Times New Roman" w:hAnsi="Times New Roman" w:cs="Times New Roman"/>
                <w:color w:val="000000"/>
                <w:sz w:val="24"/>
                <w:szCs w:val="24"/>
              </w:rPr>
            </w:pPr>
          </w:p>
          <w:p w14:paraId="47609B0B" w14:textId="77777777" w:rsidR="00C82386" w:rsidRDefault="00C82386">
            <w:pPr>
              <w:jc w:val="both"/>
              <w:rPr>
                <w:rFonts w:ascii="Times New Roman" w:eastAsia="Times New Roman" w:hAnsi="Times New Roman" w:cs="Times New Roman"/>
                <w:color w:val="000000"/>
                <w:sz w:val="24"/>
                <w:szCs w:val="24"/>
              </w:rPr>
            </w:pPr>
          </w:p>
          <w:p w14:paraId="6028D760" w14:textId="77777777" w:rsidR="00C82386" w:rsidRDefault="00C82386">
            <w:pPr>
              <w:jc w:val="both"/>
              <w:rPr>
                <w:rFonts w:ascii="Times New Roman" w:eastAsia="Times New Roman" w:hAnsi="Times New Roman" w:cs="Times New Roman"/>
                <w:color w:val="000000"/>
                <w:sz w:val="24"/>
                <w:szCs w:val="24"/>
              </w:rPr>
            </w:pPr>
          </w:p>
          <w:p w14:paraId="19DB6AAC" w14:textId="77777777" w:rsidR="00C82386" w:rsidRDefault="00C82386">
            <w:pPr>
              <w:jc w:val="both"/>
              <w:rPr>
                <w:rFonts w:ascii="Times New Roman" w:eastAsia="Times New Roman" w:hAnsi="Times New Roman" w:cs="Times New Roman"/>
                <w:color w:val="000000"/>
                <w:sz w:val="24"/>
                <w:szCs w:val="24"/>
              </w:rPr>
            </w:pPr>
          </w:p>
          <w:p w14:paraId="11981870" w14:textId="77777777" w:rsidR="00C82386" w:rsidRDefault="00C82386">
            <w:pPr>
              <w:jc w:val="both"/>
              <w:rPr>
                <w:rFonts w:ascii="Times New Roman" w:eastAsia="Times New Roman" w:hAnsi="Times New Roman" w:cs="Times New Roman"/>
                <w:color w:val="000000"/>
                <w:sz w:val="24"/>
                <w:szCs w:val="24"/>
              </w:rPr>
            </w:pPr>
          </w:p>
          <w:p w14:paraId="12EE2CE6" w14:textId="77777777" w:rsidR="00C82386" w:rsidRDefault="00C82386">
            <w:pPr>
              <w:jc w:val="both"/>
              <w:rPr>
                <w:rFonts w:ascii="Times New Roman" w:eastAsia="Times New Roman" w:hAnsi="Times New Roman" w:cs="Times New Roman"/>
                <w:color w:val="000000"/>
                <w:sz w:val="24"/>
                <w:szCs w:val="24"/>
              </w:rPr>
            </w:pPr>
          </w:p>
          <w:p w14:paraId="563D2D79" w14:textId="77777777" w:rsidR="00C82386" w:rsidRDefault="00C82386">
            <w:pPr>
              <w:jc w:val="both"/>
              <w:rPr>
                <w:rFonts w:ascii="Times New Roman" w:eastAsia="Times New Roman" w:hAnsi="Times New Roman" w:cs="Times New Roman"/>
                <w:color w:val="000000"/>
                <w:sz w:val="24"/>
                <w:szCs w:val="24"/>
              </w:rPr>
            </w:pPr>
          </w:p>
          <w:p w14:paraId="04066476" w14:textId="77777777" w:rsidR="00C82386" w:rsidRDefault="00C82386">
            <w:pPr>
              <w:jc w:val="both"/>
              <w:rPr>
                <w:rFonts w:ascii="Times New Roman" w:eastAsia="Times New Roman" w:hAnsi="Times New Roman" w:cs="Times New Roman"/>
                <w:color w:val="000000"/>
                <w:sz w:val="24"/>
                <w:szCs w:val="24"/>
              </w:rPr>
            </w:pPr>
          </w:p>
          <w:p w14:paraId="0448ACC2"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Загальні кліматичні питання (зміна погодних умов під час зими/літа).</w:t>
            </w:r>
          </w:p>
          <w:p w14:paraId="73183031" w14:textId="77777777" w:rsidR="00C82386" w:rsidRDefault="00C82386">
            <w:pPr>
              <w:jc w:val="both"/>
              <w:rPr>
                <w:rFonts w:ascii="Times New Roman" w:eastAsia="Times New Roman" w:hAnsi="Times New Roman" w:cs="Times New Roman"/>
                <w:color w:val="000000"/>
                <w:sz w:val="24"/>
                <w:szCs w:val="24"/>
              </w:rPr>
            </w:pPr>
          </w:p>
          <w:p w14:paraId="01FDBDF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Зима стала:</w:t>
            </w:r>
            <w:r>
              <w:rPr>
                <w:rFonts w:ascii="Times New Roman" w:eastAsia="Times New Roman" w:hAnsi="Times New Roman" w:cs="Times New Roman"/>
                <w:noProof/>
                <w:sz w:val="24"/>
                <w:szCs w:val="24"/>
                <w:lang w:val="ru-RU"/>
              </w:rPr>
              <w:drawing>
                <wp:inline distT="0" distB="0" distL="0" distR="0" wp14:anchorId="257E4977" wp14:editId="78D526F4">
                  <wp:extent cx="1381318" cy="2181800"/>
                  <wp:effectExtent l="0" t="0" r="0" b="0"/>
                  <wp:docPr id="2144251982" name="image105.png" descr="Зображення, що містить текст, знімок екрана, коло,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5.png" descr="Зображення, що містить текст, знімок екрана, коло, Шрифт&#10;&#10;Автоматично згенерований опис"/>
                          <pic:cNvPicPr preferRelativeResize="0"/>
                        </pic:nvPicPr>
                        <pic:blipFill>
                          <a:blip r:embed="rId234"/>
                          <a:srcRect/>
                          <a:stretch>
                            <a:fillRect/>
                          </a:stretch>
                        </pic:blipFill>
                        <pic:spPr>
                          <a:xfrm>
                            <a:off x="0" y="0"/>
                            <a:ext cx="1381318" cy="2181800"/>
                          </a:xfrm>
                          <a:prstGeom prst="rect">
                            <a:avLst/>
                          </a:prstGeom>
                          <a:ln/>
                        </pic:spPr>
                      </pic:pic>
                    </a:graphicData>
                  </a:graphic>
                </wp:inline>
              </w:drawing>
            </w:r>
          </w:p>
          <w:p w14:paraId="7E6D7170" w14:textId="77777777" w:rsidR="00C82386" w:rsidRDefault="00C82386">
            <w:pPr>
              <w:jc w:val="both"/>
              <w:rPr>
                <w:rFonts w:ascii="Times New Roman" w:eastAsia="Times New Roman" w:hAnsi="Times New Roman" w:cs="Times New Roman"/>
                <w:color w:val="000000"/>
                <w:sz w:val="24"/>
                <w:szCs w:val="24"/>
              </w:rPr>
            </w:pPr>
          </w:p>
          <w:p w14:paraId="47A5C52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Переважаюча більшість (71%) респондентів відмічають, що зима стала починатися пізніше, а закінчуватися раніше (42%). Снігу стало випадати менше (88%), а тривалість залягання снігового покриву скорочується (64% - випадає пізніше, 65% - тане раніше). Подібна ситуація спостерігається і з льодоставом (лід стає пізніше – 56%, сходить раніше – 56%). Водночас складності викликала оцінка наявності ожеледиці на дорогах та тротуарах (частіше трапляється – 49%, рідше трапляється – 28%) очевидно це викликано різними районами проживання опитуваних та різною якістю роботи комунальних служб. А от зростання частоти однієї з основних ознак змін клімату – різкого перепаду температур (сьогодні -5, завтра +4) відзначають 84% респондентів.</w:t>
            </w:r>
          </w:p>
          <w:p w14:paraId="3D8A716B" w14:textId="77777777" w:rsidR="00C82386" w:rsidRDefault="00C82386">
            <w:pPr>
              <w:jc w:val="both"/>
              <w:rPr>
                <w:rFonts w:ascii="Times New Roman" w:eastAsia="Times New Roman" w:hAnsi="Times New Roman" w:cs="Times New Roman"/>
                <w:color w:val="000000"/>
                <w:sz w:val="24"/>
                <w:szCs w:val="24"/>
              </w:rPr>
            </w:pPr>
          </w:p>
          <w:p w14:paraId="032DEB7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Літо стало: </w:t>
            </w:r>
          </w:p>
          <w:p w14:paraId="13AE122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24445ED8" wp14:editId="6DF75637">
                  <wp:extent cx="1609725" cy="2430903"/>
                  <wp:effectExtent l="0" t="0" r="0" b="0"/>
                  <wp:docPr id="2144251996" name="image119.png" descr="Зображення, що містить текст, знімок екрана, коло,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9.png" descr="Зображення, що містить текст, знімок екрана, коло, Шрифт&#10;&#10;Автоматично згенерований опис"/>
                          <pic:cNvPicPr preferRelativeResize="0"/>
                        </pic:nvPicPr>
                        <pic:blipFill>
                          <a:blip r:embed="rId235"/>
                          <a:srcRect/>
                          <a:stretch>
                            <a:fillRect/>
                          </a:stretch>
                        </pic:blipFill>
                        <pic:spPr>
                          <a:xfrm>
                            <a:off x="0" y="0"/>
                            <a:ext cx="1609725" cy="2430903"/>
                          </a:xfrm>
                          <a:prstGeom prst="rect">
                            <a:avLst/>
                          </a:prstGeom>
                          <a:ln/>
                        </pic:spPr>
                      </pic:pic>
                    </a:graphicData>
                  </a:graphic>
                </wp:inline>
              </w:drawing>
            </w:r>
            <w:r>
              <w:rPr>
                <w:rFonts w:ascii="Times New Roman" w:eastAsia="Times New Roman" w:hAnsi="Times New Roman" w:cs="Times New Roman"/>
                <w:color w:val="000000"/>
                <w:sz w:val="24"/>
                <w:szCs w:val="24"/>
              </w:rPr>
              <w:br/>
              <w:t xml:space="preserve">Частина респондентів відмічають, що літо стало починатися (23%) і закінчуватися (75%) </w:t>
            </w:r>
            <w:r>
              <w:rPr>
                <w:rFonts w:ascii="Times New Roman" w:eastAsia="Times New Roman" w:hAnsi="Times New Roman" w:cs="Times New Roman"/>
                <w:color w:val="000000"/>
                <w:sz w:val="24"/>
                <w:szCs w:val="24"/>
              </w:rPr>
              <w:lastRenderedPageBreak/>
              <w:t>пізніше. Водночас частина має протилежну точку зору і відчувають, що літо стало починатися (56%) і закінчуватися (9%) раніше.</w:t>
            </w:r>
          </w:p>
          <w:p w14:paraId="17FB8D0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Зате практично одностайні вони у зростання частоти однієї з основних ознак змін клімату – різкого перепаду температур (сьогодні +15, завтра +25) відзначають 70% респондентів. </w:t>
            </w:r>
          </w:p>
          <w:p w14:paraId="285D559A" w14:textId="77777777" w:rsidR="00C82386" w:rsidRDefault="00E66F64">
            <w:pPr>
              <w:spacing w:before="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оцінці інтенсивності дощів: 71% вважають, що їх кількість спала, а 11% - що зросла. Схожа тенденція спостерігається і в кількості дощових днів, вона спала на думку 83% мешканців і на 49% спала кількість гроз і штормів. </w:t>
            </w:r>
          </w:p>
          <w:p w14:paraId="1FA9C08D" w14:textId="77777777" w:rsidR="00C82386" w:rsidRDefault="00E66F64">
            <w:pPr>
              <w:spacing w:before="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Зміщення природних сезонів є характерною ознакою змін клімату. Опитування показує, що мешканці відчувають подовження тривалості міжсезоння  - осені та весни. Більшість опитуваних відзначають скорочення тривалості зими, в той час, як літо за їх відчуттями починається пізніше.</w:t>
            </w:r>
          </w:p>
          <w:p w14:paraId="4E4C9F43" w14:textId="77777777" w:rsidR="00C82386" w:rsidRDefault="00C82386">
            <w:pPr>
              <w:jc w:val="both"/>
              <w:rPr>
                <w:rFonts w:ascii="Times New Roman" w:eastAsia="Times New Roman" w:hAnsi="Times New Roman" w:cs="Times New Roman"/>
                <w:color w:val="000000"/>
                <w:sz w:val="24"/>
                <w:szCs w:val="24"/>
              </w:rPr>
            </w:pPr>
          </w:p>
          <w:p w14:paraId="6C86B676"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Оцінка інфраструктури міста і її пристосованості до змін клімату</w:t>
            </w:r>
          </w:p>
          <w:p w14:paraId="0712C701" w14:textId="77777777" w:rsidR="00C82386" w:rsidRDefault="00C82386">
            <w:pPr>
              <w:jc w:val="both"/>
              <w:rPr>
                <w:rFonts w:ascii="Times New Roman" w:eastAsia="Times New Roman" w:hAnsi="Times New Roman" w:cs="Times New Roman"/>
                <w:color w:val="000000"/>
                <w:sz w:val="24"/>
                <w:szCs w:val="24"/>
              </w:rPr>
            </w:pPr>
          </w:p>
          <w:p w14:paraId="766927D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вразливість населення до змін клімату впливають різні фактори, як природні так і інфраструктурні. В умовах міста, коли природні фактори жорстко підпорядковані інфраструктурним – важливою задачею є виявлення найбільш вразливих елементів міської інфраструктури. Враховуючи прогнозні зростання температур та пролонгування тривалості теплої пори року акцент в опитуванні зроблений на виявленні фактори вразливості міста до екстремальної спеки (ризиків теплового стресу) та вразливості зелених зон.</w:t>
            </w:r>
          </w:p>
          <w:p w14:paraId="3B2A189B" w14:textId="77777777" w:rsidR="00C82386" w:rsidRDefault="00C82386">
            <w:pPr>
              <w:jc w:val="both"/>
              <w:rPr>
                <w:rFonts w:ascii="Times New Roman" w:eastAsia="Times New Roman" w:hAnsi="Times New Roman" w:cs="Times New Roman"/>
                <w:color w:val="000000"/>
                <w:sz w:val="24"/>
                <w:szCs w:val="24"/>
              </w:rPr>
            </w:pPr>
          </w:p>
          <w:p w14:paraId="58FEC07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загальному більшість респондентів відзначають недостатність елементів інфраструктури, що здатні зменшити тепловий вплив, так всього 28% респондентів вважають, що кількість затінених ділянок вулиці від дерев достатній, в той час, як 66% вважають, що таких ділянок мало. Водночас більшість (біля 61 і 70%) опитуваних відзначають, що до найближчий парк/сквер/сад розташований на відстані в межах одного кілометру від їх помешкання або роботи. Причому 58% опитуваних вважають, наявних скверів, садів та парків в місті мало і лише 38% вважають, що їх достатньо. </w:t>
            </w:r>
          </w:p>
          <w:p w14:paraId="402A33A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А от найближча прогулянкова зона біля водойми знаходиться в середньому в межах 2-4х км від помешкання або місця роботи. Проте їх облаштованістю незадоволено 66% мешканців. Стан води, на думку 66% мешканців, не дозволяє купатися у водоймах, що знаходяться в межах міста, а 14% нехтують забороною на купання, хоча й знають про нею.</w:t>
            </w:r>
          </w:p>
          <w:p w14:paraId="2E0C5DC5" w14:textId="77777777" w:rsidR="00C82386" w:rsidRDefault="00C82386">
            <w:pPr>
              <w:jc w:val="both"/>
              <w:rPr>
                <w:rFonts w:ascii="Times New Roman" w:eastAsia="Times New Roman" w:hAnsi="Times New Roman" w:cs="Times New Roman"/>
                <w:color w:val="000000"/>
                <w:sz w:val="24"/>
                <w:szCs w:val="24"/>
              </w:rPr>
            </w:pPr>
          </w:p>
          <w:p w14:paraId="2B7608B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Оцінки мешканців щодо площ природного покриття ґрунту (трава, газони, клумби) дещо розділилися. 58% респондентів оцінюють площу природного покриття недостатньою,  у той час 37% вважають достатньою.</w:t>
            </w:r>
          </w:p>
          <w:p w14:paraId="6A390628" w14:textId="77777777" w:rsidR="00C82386" w:rsidRDefault="00C82386">
            <w:pPr>
              <w:jc w:val="both"/>
              <w:rPr>
                <w:rFonts w:ascii="Times New Roman" w:eastAsia="Times New Roman" w:hAnsi="Times New Roman" w:cs="Times New Roman"/>
                <w:color w:val="000000"/>
                <w:sz w:val="24"/>
                <w:szCs w:val="24"/>
              </w:rPr>
            </w:pPr>
          </w:p>
          <w:p w14:paraId="28AE16C8" w14:textId="77777777" w:rsidR="00C82386" w:rsidRDefault="00C82386">
            <w:pPr>
              <w:jc w:val="both"/>
              <w:rPr>
                <w:rFonts w:ascii="Times New Roman" w:eastAsia="Times New Roman" w:hAnsi="Times New Roman" w:cs="Times New Roman"/>
                <w:b/>
                <w:color w:val="000000"/>
                <w:sz w:val="24"/>
                <w:szCs w:val="24"/>
              </w:rPr>
            </w:pPr>
          </w:p>
          <w:p w14:paraId="39ACBFDD" w14:textId="77777777" w:rsidR="00C82386" w:rsidRDefault="00C82386">
            <w:pPr>
              <w:jc w:val="both"/>
              <w:rPr>
                <w:rFonts w:ascii="Times New Roman" w:eastAsia="Times New Roman" w:hAnsi="Times New Roman" w:cs="Times New Roman"/>
                <w:b/>
                <w:color w:val="000000"/>
                <w:sz w:val="24"/>
                <w:szCs w:val="24"/>
              </w:rPr>
            </w:pPr>
          </w:p>
          <w:p w14:paraId="33494685" w14:textId="77777777" w:rsidR="00C82386" w:rsidRDefault="00C82386">
            <w:pPr>
              <w:jc w:val="both"/>
              <w:rPr>
                <w:rFonts w:ascii="Times New Roman" w:eastAsia="Times New Roman" w:hAnsi="Times New Roman" w:cs="Times New Roman"/>
                <w:b/>
                <w:color w:val="000000"/>
                <w:sz w:val="24"/>
                <w:szCs w:val="24"/>
              </w:rPr>
            </w:pPr>
          </w:p>
          <w:p w14:paraId="1D232FDD" w14:textId="77777777" w:rsidR="00C82386" w:rsidRDefault="00C82386">
            <w:pPr>
              <w:jc w:val="both"/>
              <w:rPr>
                <w:rFonts w:ascii="Times New Roman" w:eastAsia="Times New Roman" w:hAnsi="Times New Roman" w:cs="Times New Roman"/>
                <w:b/>
                <w:color w:val="000000"/>
                <w:sz w:val="24"/>
                <w:szCs w:val="24"/>
              </w:rPr>
            </w:pPr>
          </w:p>
          <w:p w14:paraId="69EFF910" w14:textId="77777777" w:rsidR="00C82386" w:rsidRDefault="00C82386">
            <w:pPr>
              <w:jc w:val="both"/>
              <w:rPr>
                <w:rFonts w:ascii="Times New Roman" w:eastAsia="Times New Roman" w:hAnsi="Times New Roman" w:cs="Times New Roman"/>
                <w:b/>
                <w:color w:val="000000"/>
                <w:sz w:val="24"/>
                <w:szCs w:val="24"/>
              </w:rPr>
            </w:pPr>
          </w:p>
          <w:p w14:paraId="3632DB77" w14:textId="77777777" w:rsidR="00C82386" w:rsidRDefault="00C82386">
            <w:pPr>
              <w:jc w:val="both"/>
              <w:rPr>
                <w:rFonts w:ascii="Times New Roman" w:eastAsia="Times New Roman" w:hAnsi="Times New Roman" w:cs="Times New Roman"/>
                <w:b/>
                <w:color w:val="000000"/>
                <w:sz w:val="24"/>
                <w:szCs w:val="24"/>
              </w:rPr>
            </w:pPr>
          </w:p>
          <w:p w14:paraId="581A3959" w14:textId="77777777" w:rsidR="00C82386" w:rsidRDefault="00C82386">
            <w:pPr>
              <w:jc w:val="both"/>
              <w:rPr>
                <w:rFonts w:ascii="Times New Roman" w:eastAsia="Times New Roman" w:hAnsi="Times New Roman" w:cs="Times New Roman"/>
                <w:b/>
                <w:color w:val="000000"/>
                <w:sz w:val="24"/>
                <w:szCs w:val="24"/>
              </w:rPr>
            </w:pPr>
          </w:p>
          <w:p w14:paraId="0116F25D" w14:textId="77777777" w:rsidR="00C82386" w:rsidRDefault="00C82386">
            <w:pPr>
              <w:jc w:val="both"/>
              <w:rPr>
                <w:rFonts w:ascii="Times New Roman" w:eastAsia="Times New Roman" w:hAnsi="Times New Roman" w:cs="Times New Roman"/>
                <w:b/>
                <w:color w:val="000000"/>
                <w:sz w:val="24"/>
                <w:szCs w:val="24"/>
              </w:rPr>
            </w:pPr>
          </w:p>
          <w:p w14:paraId="685C83E5" w14:textId="77777777" w:rsidR="00C82386" w:rsidRDefault="00C82386">
            <w:pPr>
              <w:jc w:val="both"/>
              <w:rPr>
                <w:rFonts w:ascii="Times New Roman" w:eastAsia="Times New Roman" w:hAnsi="Times New Roman" w:cs="Times New Roman"/>
                <w:b/>
                <w:color w:val="000000"/>
                <w:sz w:val="24"/>
                <w:szCs w:val="24"/>
              </w:rPr>
            </w:pPr>
          </w:p>
          <w:p w14:paraId="403CC52E" w14:textId="77777777" w:rsidR="00C82386" w:rsidRDefault="00C82386">
            <w:pPr>
              <w:jc w:val="both"/>
              <w:rPr>
                <w:rFonts w:ascii="Times New Roman" w:eastAsia="Times New Roman" w:hAnsi="Times New Roman" w:cs="Times New Roman"/>
                <w:b/>
                <w:color w:val="000000"/>
                <w:sz w:val="24"/>
                <w:szCs w:val="24"/>
              </w:rPr>
            </w:pPr>
          </w:p>
          <w:p w14:paraId="7665449C"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Вплив змін клімату на системи життєзабезпечення міста. </w:t>
            </w:r>
          </w:p>
          <w:p w14:paraId="2605F8C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Міська інфраструктура та фінансове забезпечення її функціонування і реновацій грає вирішальну роль в адаптації містян до змін клімату. Виявленню проблем, які відчувають містяни присвячений наступний блок опитувальника. </w:t>
            </w:r>
          </w:p>
          <w:p w14:paraId="4E25B78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Прямий вплив на здоров’я та добробут населення має якість та кількість питної води – вразливість до погіршення якості та зменшення кількості питної води є одним з визначних індикаторів для оцінки вразливості.</w:t>
            </w:r>
          </w:p>
          <w:p w14:paraId="17FF33C1" w14:textId="77777777" w:rsidR="00C82386" w:rsidRDefault="00C82386">
            <w:pPr>
              <w:jc w:val="both"/>
              <w:rPr>
                <w:rFonts w:ascii="Times New Roman" w:eastAsia="Times New Roman" w:hAnsi="Times New Roman" w:cs="Times New Roman"/>
                <w:color w:val="000000"/>
                <w:sz w:val="24"/>
                <w:szCs w:val="24"/>
              </w:rPr>
            </w:pPr>
          </w:p>
          <w:p w14:paraId="347127F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Опитувані скаржаться на нестабільний  </w:t>
            </w:r>
            <w:r>
              <w:rPr>
                <w:rFonts w:ascii="Times New Roman" w:eastAsia="Times New Roman" w:hAnsi="Times New Roman" w:cs="Times New Roman"/>
                <w:color w:val="000000"/>
                <w:sz w:val="24"/>
                <w:szCs w:val="24"/>
                <w:u w:val="single"/>
              </w:rPr>
              <w:t>стан роботи водопровідної мережі</w:t>
            </w:r>
            <w:r>
              <w:rPr>
                <w:rFonts w:ascii="Times New Roman" w:eastAsia="Times New Roman" w:hAnsi="Times New Roman" w:cs="Times New Roman"/>
                <w:color w:val="000000"/>
                <w:sz w:val="24"/>
                <w:szCs w:val="24"/>
              </w:rPr>
              <w:t>, 25% зауважили, що відбуваються регулярні відключення, а 70% відмітили, що відключення води відбуваються лише деколи, причому 39% стверджують, що аварії водопровідної мережі часто трапляються, а 56% - що це стається періодично.</w:t>
            </w:r>
          </w:p>
          <w:p w14:paraId="7415FE32" w14:textId="77777777" w:rsidR="00C82386" w:rsidRDefault="00C82386">
            <w:pPr>
              <w:jc w:val="both"/>
              <w:rPr>
                <w:rFonts w:ascii="Times New Roman" w:eastAsia="Times New Roman" w:hAnsi="Times New Roman" w:cs="Times New Roman"/>
                <w:color w:val="000000"/>
                <w:sz w:val="24"/>
                <w:szCs w:val="24"/>
              </w:rPr>
            </w:pPr>
          </w:p>
          <w:p w14:paraId="0AC5C67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Проте значну недовіру викликає </w:t>
            </w:r>
            <w:r>
              <w:rPr>
                <w:rFonts w:ascii="Times New Roman" w:eastAsia="Times New Roman" w:hAnsi="Times New Roman" w:cs="Times New Roman"/>
                <w:color w:val="000000"/>
                <w:sz w:val="24"/>
                <w:szCs w:val="24"/>
                <w:u w:val="single"/>
              </w:rPr>
              <w:t>якість питної води</w:t>
            </w:r>
            <w:r>
              <w:rPr>
                <w:rFonts w:ascii="Times New Roman" w:eastAsia="Times New Roman" w:hAnsi="Times New Roman" w:cs="Times New Roman"/>
                <w:color w:val="000000"/>
                <w:sz w:val="24"/>
                <w:szCs w:val="24"/>
              </w:rPr>
              <w:t>:</w:t>
            </w:r>
          </w:p>
          <w:p w14:paraId="605B984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lastRenderedPageBreak/>
              <w:drawing>
                <wp:inline distT="0" distB="0" distL="0" distR="0" wp14:anchorId="44B35C57" wp14:editId="2FEA3FDC">
                  <wp:extent cx="1652233" cy="1622663"/>
                  <wp:effectExtent l="0" t="0" r="0" b="0"/>
                  <wp:docPr id="2144251995" name="image135.png" descr="Зображення, що містить текст, знімок екрана, коло,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35.png" descr="Зображення, що містить текст, знімок екрана, коло, Шрифт&#10;&#10;Автоматично згенерований опис"/>
                          <pic:cNvPicPr preferRelativeResize="0"/>
                        </pic:nvPicPr>
                        <pic:blipFill>
                          <a:blip r:embed="rId236"/>
                          <a:srcRect/>
                          <a:stretch>
                            <a:fillRect/>
                          </a:stretch>
                        </pic:blipFill>
                        <pic:spPr>
                          <a:xfrm>
                            <a:off x="0" y="0"/>
                            <a:ext cx="1652233" cy="1622663"/>
                          </a:xfrm>
                          <a:prstGeom prst="rect">
                            <a:avLst/>
                          </a:prstGeom>
                          <a:ln/>
                        </pic:spPr>
                      </pic:pic>
                    </a:graphicData>
                  </a:graphic>
                </wp:inline>
              </w:drawing>
            </w:r>
            <w:r>
              <w:rPr>
                <w:rFonts w:ascii="Times New Roman" w:eastAsia="Times New Roman" w:hAnsi="Times New Roman" w:cs="Times New Roman"/>
                <w:color w:val="000000"/>
                <w:sz w:val="24"/>
                <w:szCs w:val="24"/>
              </w:rPr>
              <w:br/>
              <w:t>86% купують воду, ще 8% додатково її фільтрують. Доступ до питної води не вдома також проблематичний – лише 6% респондентів вважають, що доступ до неї вільний, натомість 67% вважають, що доступу до питної води не має, а 19% лише інколи можуть задовольнити свою потребу в питній воді.</w:t>
            </w:r>
          </w:p>
          <w:p w14:paraId="34ED957D" w14:textId="77777777" w:rsidR="00C82386" w:rsidRDefault="00C82386">
            <w:pPr>
              <w:jc w:val="both"/>
              <w:rPr>
                <w:rFonts w:ascii="Times New Roman" w:eastAsia="Times New Roman" w:hAnsi="Times New Roman" w:cs="Times New Roman"/>
                <w:color w:val="000000"/>
                <w:sz w:val="24"/>
                <w:szCs w:val="24"/>
              </w:rPr>
            </w:pPr>
          </w:p>
          <w:p w14:paraId="198CB10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Щодо ситуацій із відключеннями з-за обриву електромереж внаслідок стихійних явищ - 69% відзначають, що такі відключення електроенергії  відбуваються лише деколи, а 15% взагалі не зазнають відключень і 14% - часто траплялися.</w:t>
            </w:r>
          </w:p>
          <w:p w14:paraId="456F4FFA" w14:textId="77777777" w:rsidR="00C82386" w:rsidRDefault="00C82386">
            <w:pPr>
              <w:jc w:val="both"/>
              <w:rPr>
                <w:rFonts w:ascii="Times New Roman" w:eastAsia="Times New Roman" w:hAnsi="Times New Roman" w:cs="Times New Roman"/>
                <w:color w:val="000000"/>
                <w:sz w:val="24"/>
                <w:szCs w:val="24"/>
              </w:rPr>
            </w:pPr>
          </w:p>
          <w:p w14:paraId="5A5BF0C7" w14:textId="77777777" w:rsidR="00C82386" w:rsidRDefault="00C82386">
            <w:pPr>
              <w:jc w:val="both"/>
              <w:rPr>
                <w:rFonts w:ascii="Times New Roman" w:eastAsia="Times New Roman" w:hAnsi="Times New Roman" w:cs="Times New Roman"/>
                <w:color w:val="000000"/>
                <w:sz w:val="24"/>
                <w:szCs w:val="24"/>
              </w:rPr>
            </w:pPr>
          </w:p>
          <w:p w14:paraId="1430DCA9" w14:textId="77777777" w:rsidR="00C82386" w:rsidRDefault="00C82386">
            <w:pPr>
              <w:jc w:val="both"/>
              <w:rPr>
                <w:rFonts w:ascii="Times New Roman" w:eastAsia="Times New Roman" w:hAnsi="Times New Roman" w:cs="Times New Roman"/>
                <w:color w:val="000000"/>
                <w:sz w:val="24"/>
                <w:szCs w:val="24"/>
              </w:rPr>
            </w:pPr>
          </w:p>
          <w:p w14:paraId="318DF51F" w14:textId="77777777" w:rsidR="00C82386" w:rsidRDefault="00C82386">
            <w:pPr>
              <w:jc w:val="both"/>
              <w:rPr>
                <w:rFonts w:ascii="Times New Roman" w:eastAsia="Times New Roman" w:hAnsi="Times New Roman" w:cs="Times New Roman"/>
                <w:color w:val="000000"/>
                <w:sz w:val="24"/>
                <w:szCs w:val="24"/>
              </w:rPr>
            </w:pPr>
          </w:p>
          <w:p w14:paraId="2E0162CE" w14:textId="77777777" w:rsidR="00C82386" w:rsidRDefault="00C82386">
            <w:pPr>
              <w:jc w:val="both"/>
              <w:rPr>
                <w:rFonts w:ascii="Times New Roman" w:eastAsia="Times New Roman" w:hAnsi="Times New Roman" w:cs="Times New Roman"/>
                <w:color w:val="000000"/>
                <w:sz w:val="24"/>
                <w:szCs w:val="24"/>
              </w:rPr>
            </w:pPr>
          </w:p>
          <w:p w14:paraId="063849B0" w14:textId="77777777" w:rsidR="00C82386" w:rsidRDefault="00C82386">
            <w:pPr>
              <w:jc w:val="both"/>
              <w:rPr>
                <w:rFonts w:ascii="Times New Roman" w:eastAsia="Times New Roman" w:hAnsi="Times New Roman" w:cs="Times New Roman"/>
                <w:color w:val="000000"/>
                <w:sz w:val="24"/>
                <w:szCs w:val="24"/>
              </w:rPr>
            </w:pPr>
          </w:p>
          <w:p w14:paraId="386F980A" w14:textId="77777777" w:rsidR="00C82386" w:rsidRDefault="00C82386">
            <w:pPr>
              <w:jc w:val="both"/>
              <w:rPr>
                <w:rFonts w:ascii="Times New Roman" w:eastAsia="Times New Roman" w:hAnsi="Times New Roman" w:cs="Times New Roman"/>
                <w:color w:val="000000"/>
                <w:sz w:val="24"/>
                <w:szCs w:val="24"/>
              </w:rPr>
            </w:pPr>
          </w:p>
          <w:p w14:paraId="2C288CD4" w14:textId="77777777" w:rsidR="00C82386" w:rsidRDefault="00C82386">
            <w:pPr>
              <w:jc w:val="both"/>
              <w:rPr>
                <w:rFonts w:ascii="Times New Roman" w:eastAsia="Times New Roman" w:hAnsi="Times New Roman" w:cs="Times New Roman"/>
                <w:color w:val="000000"/>
                <w:sz w:val="24"/>
                <w:szCs w:val="24"/>
              </w:rPr>
            </w:pPr>
          </w:p>
          <w:p w14:paraId="2AAF68A6" w14:textId="77777777" w:rsidR="00C82386" w:rsidRDefault="00C82386">
            <w:pPr>
              <w:jc w:val="both"/>
              <w:rPr>
                <w:rFonts w:ascii="Times New Roman" w:eastAsia="Times New Roman" w:hAnsi="Times New Roman" w:cs="Times New Roman"/>
                <w:color w:val="000000"/>
                <w:sz w:val="24"/>
                <w:szCs w:val="24"/>
              </w:rPr>
            </w:pPr>
          </w:p>
          <w:p w14:paraId="264E74A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Внаслідок змін клімату, а саме – зростання кількості днів із аномальною або нетипово сезонною кількістю опадів  - зростають ризики підтоплення окремих районів міст, що відображено і у відповідях містян.</w:t>
            </w:r>
          </w:p>
          <w:tbl>
            <w:tblPr>
              <w:tblStyle w:val="afffffffff1"/>
              <w:tblW w:w="4992" w:type="dxa"/>
              <w:tblInd w:w="0" w:type="dxa"/>
              <w:tblLayout w:type="fixed"/>
              <w:tblLook w:val="06A0" w:firstRow="1" w:lastRow="0" w:firstColumn="1" w:lastColumn="0" w:noHBand="1" w:noVBand="1"/>
            </w:tblPr>
            <w:tblGrid>
              <w:gridCol w:w="1569"/>
              <w:gridCol w:w="1688"/>
              <w:gridCol w:w="1735"/>
            </w:tblGrid>
            <w:tr w:rsidR="00C82386" w14:paraId="22D2037D" w14:textId="77777777" w:rsidTr="00C82386">
              <w:trPr>
                <w:cnfStyle w:val="100000000000" w:firstRow="1" w:lastRow="0" w:firstColumn="0" w:lastColumn="0" w:oddVBand="0" w:evenVBand="0" w:oddHBand="0"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1569" w:type="dxa"/>
                </w:tcPr>
                <w:p w14:paraId="2ADE2E65"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Підтоплення перших поверхів будинків/ підвалів</w:t>
                  </w:r>
                </w:p>
              </w:tc>
              <w:tc>
                <w:tcPr>
                  <w:tcW w:w="1688" w:type="dxa"/>
                </w:tcPr>
                <w:p w14:paraId="28A6989B" w14:textId="77777777" w:rsidR="00C82386" w:rsidRDefault="00E66F64">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Підтоплення дворів/вулиць під час злив</w:t>
                  </w:r>
                </w:p>
              </w:tc>
              <w:tc>
                <w:tcPr>
                  <w:tcW w:w="1735" w:type="dxa"/>
                </w:tcPr>
                <w:p w14:paraId="1A3949D4" w14:textId="77777777" w:rsidR="00C82386" w:rsidRDefault="00E66F64">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Підтоплення дворів/будинків внаслідок підняття рівня води у водоймах в межах громади</w:t>
                  </w:r>
                </w:p>
              </w:tc>
            </w:tr>
            <w:tr w:rsidR="00C82386" w14:paraId="5BC821F4" w14:textId="77777777" w:rsidTr="00C82386">
              <w:trPr>
                <w:trHeight w:val="542"/>
              </w:trPr>
              <w:tc>
                <w:tcPr>
                  <w:cnfStyle w:val="001000000000" w:firstRow="0" w:lastRow="0" w:firstColumn="1" w:lastColumn="0" w:oddVBand="0" w:evenVBand="0" w:oddHBand="0" w:evenHBand="0" w:firstRowFirstColumn="0" w:firstRowLastColumn="0" w:lastRowFirstColumn="0" w:lastRowLastColumn="0"/>
                  <w:tcW w:w="1569" w:type="dxa"/>
                </w:tcPr>
                <w:p w14:paraId="6DDC9219"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48A0B4FC" wp14:editId="584C0E1F">
                        <wp:extent cx="861326" cy="797524"/>
                        <wp:effectExtent l="0" t="0" r="0" b="0"/>
                        <wp:docPr id="2144251998" name="image116.png" descr="Зображення, що містить коло, знімок екрана, схема, Графік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6.png" descr="Зображення, що містить коло, знімок екрана, схема, Графіка&#10;&#10;Автоматично згенерований опис"/>
                                <pic:cNvPicPr preferRelativeResize="0"/>
                              </pic:nvPicPr>
                              <pic:blipFill>
                                <a:blip r:embed="rId237"/>
                                <a:srcRect/>
                                <a:stretch>
                                  <a:fillRect/>
                                </a:stretch>
                              </pic:blipFill>
                              <pic:spPr>
                                <a:xfrm>
                                  <a:off x="0" y="0"/>
                                  <a:ext cx="861326" cy="797524"/>
                                </a:xfrm>
                                <a:prstGeom prst="rect">
                                  <a:avLst/>
                                </a:prstGeom>
                                <a:ln/>
                              </pic:spPr>
                            </pic:pic>
                          </a:graphicData>
                        </a:graphic>
                      </wp:inline>
                    </w:drawing>
                  </w:r>
                </w:p>
              </w:tc>
              <w:tc>
                <w:tcPr>
                  <w:tcW w:w="1688" w:type="dxa"/>
                </w:tcPr>
                <w:p w14:paraId="41DDB20F" w14:textId="77777777" w:rsidR="00C82386" w:rsidRDefault="00E66F64">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8C6AEA6" wp14:editId="79270C04">
                        <wp:extent cx="1011738" cy="884333"/>
                        <wp:effectExtent l="0" t="0" r="0" b="0"/>
                        <wp:docPr id="2144251997" name="image115.png" descr="Зображення, що містить коло, знімок екрана, схема, Барвистість&#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5.png" descr="Зображення, що містить коло, знімок екрана, схема, Барвистість&#10;&#10;Автоматично згенерований опис"/>
                                <pic:cNvPicPr preferRelativeResize="0"/>
                              </pic:nvPicPr>
                              <pic:blipFill>
                                <a:blip r:embed="rId238"/>
                                <a:srcRect/>
                                <a:stretch>
                                  <a:fillRect/>
                                </a:stretch>
                              </pic:blipFill>
                              <pic:spPr>
                                <a:xfrm>
                                  <a:off x="0" y="0"/>
                                  <a:ext cx="1011738" cy="884333"/>
                                </a:xfrm>
                                <a:prstGeom prst="rect">
                                  <a:avLst/>
                                </a:prstGeom>
                                <a:ln/>
                              </pic:spPr>
                            </pic:pic>
                          </a:graphicData>
                        </a:graphic>
                      </wp:inline>
                    </w:drawing>
                  </w:r>
                </w:p>
              </w:tc>
              <w:tc>
                <w:tcPr>
                  <w:tcW w:w="1735" w:type="dxa"/>
                </w:tcPr>
                <w:p w14:paraId="7104AF5B" w14:textId="77777777" w:rsidR="00C82386" w:rsidRDefault="00E66F64">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6A04DD14" wp14:editId="57A22A32">
                        <wp:extent cx="912363" cy="892087"/>
                        <wp:effectExtent l="0" t="0" r="0" b="0"/>
                        <wp:docPr id="2144251992" name="image106.png" descr="Зображення, що містить коло, знімок екрана, схема, Графік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6.png" descr="Зображення, що містить коло, знімок екрана, схема, Графіка&#10;&#10;Автоматично згенерований опис"/>
                                <pic:cNvPicPr preferRelativeResize="0"/>
                              </pic:nvPicPr>
                              <pic:blipFill>
                                <a:blip r:embed="rId239"/>
                                <a:srcRect/>
                                <a:stretch>
                                  <a:fillRect/>
                                </a:stretch>
                              </pic:blipFill>
                              <pic:spPr>
                                <a:xfrm>
                                  <a:off x="0" y="0"/>
                                  <a:ext cx="912363" cy="892087"/>
                                </a:xfrm>
                                <a:prstGeom prst="rect">
                                  <a:avLst/>
                                </a:prstGeom>
                                <a:ln/>
                              </pic:spPr>
                            </pic:pic>
                          </a:graphicData>
                        </a:graphic>
                      </wp:inline>
                    </w:drawing>
                  </w:r>
                </w:p>
              </w:tc>
            </w:tr>
            <w:tr w:rsidR="00C82386" w14:paraId="4489861C" w14:textId="77777777" w:rsidTr="00C82386">
              <w:trPr>
                <w:trHeight w:val="542"/>
              </w:trPr>
              <w:tc>
                <w:tcPr>
                  <w:cnfStyle w:val="001000000000" w:firstRow="0" w:lastRow="0" w:firstColumn="1" w:lastColumn="0" w:oddVBand="0" w:evenVBand="0" w:oddHBand="0" w:evenHBand="0" w:firstRowFirstColumn="0" w:firstRowLastColumn="0" w:lastRowFirstColumn="0" w:lastRowLastColumn="0"/>
                  <w:tcW w:w="4992" w:type="dxa"/>
                  <w:gridSpan w:val="3"/>
                </w:tcPr>
                <w:p w14:paraId="27CB7D10"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lastRenderedPageBreak/>
                    <w:drawing>
                      <wp:inline distT="0" distB="0" distL="0" distR="0" wp14:anchorId="0339A984" wp14:editId="5628EF43">
                        <wp:extent cx="2235200" cy="815616"/>
                        <wp:effectExtent l="0" t="0" r="0" b="0"/>
                        <wp:docPr id="2144251991" name="image111.png" descr="Зображення, що містить текст, Шрифт, знімок екран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1.png" descr="Зображення, що містить текст, Шрифт, знімок екрана&#10;&#10;Автоматично згенерований опис"/>
                                <pic:cNvPicPr preferRelativeResize="0"/>
                              </pic:nvPicPr>
                              <pic:blipFill>
                                <a:blip r:embed="rId240"/>
                                <a:srcRect/>
                                <a:stretch>
                                  <a:fillRect/>
                                </a:stretch>
                              </pic:blipFill>
                              <pic:spPr>
                                <a:xfrm>
                                  <a:off x="0" y="0"/>
                                  <a:ext cx="2235200" cy="815616"/>
                                </a:xfrm>
                                <a:prstGeom prst="rect">
                                  <a:avLst/>
                                </a:prstGeom>
                                <a:ln/>
                              </pic:spPr>
                            </pic:pic>
                          </a:graphicData>
                        </a:graphic>
                      </wp:inline>
                    </w:drawing>
                  </w:r>
                </w:p>
              </w:tc>
            </w:tr>
          </w:tbl>
          <w:p w14:paraId="6AEABBF5" w14:textId="77777777" w:rsidR="00C82386" w:rsidRDefault="00C82386">
            <w:pPr>
              <w:jc w:val="both"/>
              <w:rPr>
                <w:rFonts w:ascii="Times New Roman" w:eastAsia="Times New Roman" w:hAnsi="Times New Roman" w:cs="Times New Roman"/>
                <w:color w:val="000000"/>
                <w:sz w:val="24"/>
                <w:szCs w:val="24"/>
              </w:rPr>
            </w:pPr>
          </w:p>
          <w:p w14:paraId="4A399366" w14:textId="77777777" w:rsidR="00C82386" w:rsidRDefault="00C82386">
            <w:pPr>
              <w:jc w:val="both"/>
              <w:rPr>
                <w:rFonts w:ascii="Times New Roman" w:eastAsia="Times New Roman" w:hAnsi="Times New Roman" w:cs="Times New Roman"/>
                <w:color w:val="000000"/>
                <w:sz w:val="24"/>
                <w:szCs w:val="24"/>
              </w:rPr>
            </w:pPr>
          </w:p>
          <w:p w14:paraId="1DD89164" w14:textId="77777777" w:rsidR="00C82386" w:rsidRDefault="00C82386">
            <w:pPr>
              <w:jc w:val="both"/>
              <w:rPr>
                <w:rFonts w:ascii="Times New Roman" w:eastAsia="Times New Roman" w:hAnsi="Times New Roman" w:cs="Times New Roman"/>
                <w:color w:val="000000"/>
                <w:sz w:val="24"/>
                <w:szCs w:val="24"/>
              </w:rPr>
            </w:pPr>
          </w:p>
          <w:p w14:paraId="184E5AEF" w14:textId="77777777" w:rsidR="00C82386" w:rsidRDefault="00C82386">
            <w:pPr>
              <w:jc w:val="both"/>
              <w:rPr>
                <w:rFonts w:ascii="Times New Roman" w:eastAsia="Times New Roman" w:hAnsi="Times New Roman" w:cs="Times New Roman"/>
                <w:color w:val="000000"/>
                <w:sz w:val="24"/>
                <w:szCs w:val="24"/>
              </w:rPr>
            </w:pPr>
          </w:p>
          <w:p w14:paraId="11033FBE" w14:textId="77777777" w:rsidR="00C82386" w:rsidRDefault="00C82386">
            <w:pPr>
              <w:jc w:val="both"/>
              <w:rPr>
                <w:rFonts w:ascii="Times New Roman" w:eastAsia="Times New Roman" w:hAnsi="Times New Roman" w:cs="Times New Roman"/>
                <w:color w:val="000000"/>
                <w:sz w:val="24"/>
                <w:szCs w:val="24"/>
              </w:rPr>
            </w:pPr>
          </w:p>
          <w:p w14:paraId="44B12959" w14:textId="77777777" w:rsidR="00C82386" w:rsidRDefault="00C82386">
            <w:pPr>
              <w:jc w:val="both"/>
              <w:rPr>
                <w:rFonts w:ascii="Times New Roman" w:eastAsia="Times New Roman" w:hAnsi="Times New Roman" w:cs="Times New Roman"/>
                <w:color w:val="000000"/>
                <w:sz w:val="24"/>
                <w:szCs w:val="24"/>
              </w:rPr>
            </w:pPr>
          </w:p>
          <w:p w14:paraId="5B8C268E" w14:textId="77777777" w:rsidR="00C82386" w:rsidRDefault="00C82386">
            <w:pPr>
              <w:jc w:val="both"/>
              <w:rPr>
                <w:rFonts w:ascii="Times New Roman" w:eastAsia="Times New Roman" w:hAnsi="Times New Roman" w:cs="Times New Roman"/>
                <w:color w:val="000000"/>
                <w:sz w:val="24"/>
                <w:szCs w:val="24"/>
              </w:rPr>
            </w:pPr>
          </w:p>
          <w:p w14:paraId="2AAFECA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Тут варто враховувати, що підтоплення залежить від району міста, в якому проживає респондент, типу будинку </w:t>
            </w:r>
            <w:r>
              <w:rPr>
                <w:rFonts w:ascii="Times New Roman" w:eastAsia="Times New Roman" w:hAnsi="Times New Roman" w:cs="Times New Roman"/>
                <w:color w:val="000000"/>
                <w:sz w:val="24"/>
                <w:szCs w:val="24"/>
                <w:highlight w:val="white"/>
              </w:rPr>
              <w:t>(багатоповерхівка, не на першому поверсі тощо).  </w:t>
            </w:r>
          </w:p>
          <w:p w14:paraId="3A169F0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Ситуація із протіканням дахів під час сильних злив: у 23% респондентів дах протікає регулярно, а у 57% не траплялося, але вони знають про існування такої проблеми, лише 14%  респондентів ніколи не чули і не стикалися із протіканням дахів. </w:t>
            </w:r>
          </w:p>
          <w:p w14:paraId="10E0B481" w14:textId="77777777" w:rsidR="00C82386" w:rsidRDefault="00C82386">
            <w:pPr>
              <w:jc w:val="both"/>
              <w:rPr>
                <w:rFonts w:ascii="Times New Roman" w:eastAsia="Times New Roman" w:hAnsi="Times New Roman" w:cs="Times New Roman"/>
                <w:color w:val="000000"/>
                <w:sz w:val="24"/>
                <w:szCs w:val="24"/>
              </w:rPr>
            </w:pPr>
          </w:p>
          <w:p w14:paraId="1779793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Зливова каналізація приймає на себе головний удар злив, враховуючи, що внаслідок змін клімату зростатиме частота та інтенсивність злив – необхідно оцінити її стан. 50% респондентів відзначили відсутність або поганий технічний стан зливової каналізації, а 40% знають/чули про таку проблему. </w:t>
            </w:r>
          </w:p>
          <w:p w14:paraId="2A2C8109" w14:textId="77777777" w:rsidR="00C82386" w:rsidRDefault="00C82386">
            <w:pPr>
              <w:jc w:val="both"/>
              <w:rPr>
                <w:rFonts w:ascii="Times New Roman" w:eastAsia="Times New Roman" w:hAnsi="Times New Roman" w:cs="Times New Roman"/>
                <w:color w:val="000000"/>
                <w:sz w:val="24"/>
                <w:szCs w:val="24"/>
              </w:rPr>
            </w:pPr>
          </w:p>
          <w:p w14:paraId="085EFD6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Руйнування (в тому числі часткове) будинків і споруд внаслідок негоди (сильного вітру, дощу і подібного) зазнало 4% респондентів і 50% знає про такі випадки. </w:t>
            </w:r>
          </w:p>
          <w:p w14:paraId="3F2B342D" w14:textId="77777777" w:rsidR="00C82386" w:rsidRDefault="00C82386">
            <w:pPr>
              <w:jc w:val="both"/>
              <w:rPr>
                <w:rFonts w:ascii="Times New Roman" w:eastAsia="Times New Roman" w:hAnsi="Times New Roman" w:cs="Times New Roman"/>
                <w:color w:val="000000"/>
                <w:sz w:val="24"/>
                <w:szCs w:val="24"/>
              </w:rPr>
            </w:pPr>
          </w:p>
          <w:p w14:paraId="777D763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створення комфортних умов проживання частина з опитуваних (36%) вже придбала техніку для регулювання мікроклімату в будинку (кондиціонерів, зволожувачів повітря, тощо), або планують це зробити (41%). </w:t>
            </w:r>
          </w:p>
          <w:p w14:paraId="232C1975" w14:textId="77777777" w:rsidR="00C82386" w:rsidRDefault="00C82386">
            <w:pPr>
              <w:jc w:val="both"/>
              <w:rPr>
                <w:rFonts w:ascii="Times New Roman" w:eastAsia="Times New Roman" w:hAnsi="Times New Roman" w:cs="Times New Roman"/>
                <w:color w:val="000000"/>
                <w:sz w:val="24"/>
                <w:szCs w:val="24"/>
              </w:rPr>
            </w:pPr>
          </w:p>
          <w:p w14:paraId="6DD9677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Підвищення температур та невідповідне реагування комунальних служб, що забезпечують вчасне вивезення сміття спричиняють його накопичення та дискомфорт мешканців: 54% постійно відчувають сморід, а 35% відомо про такі випадки. Також 45% знають, що кількість комах/гризунів зростає, а 36% прямо стикнулися з цим. </w:t>
            </w:r>
          </w:p>
          <w:p w14:paraId="4862D80F" w14:textId="77777777" w:rsidR="00C82386" w:rsidRDefault="00C82386">
            <w:pPr>
              <w:jc w:val="both"/>
              <w:rPr>
                <w:rFonts w:ascii="Times New Roman" w:eastAsia="Times New Roman" w:hAnsi="Times New Roman" w:cs="Times New Roman"/>
                <w:color w:val="000000"/>
                <w:sz w:val="24"/>
                <w:szCs w:val="24"/>
              </w:rPr>
            </w:pPr>
          </w:p>
          <w:p w14:paraId="1307884D" w14:textId="77777777" w:rsidR="00C82386" w:rsidRDefault="00C82386">
            <w:pPr>
              <w:jc w:val="both"/>
              <w:rPr>
                <w:rFonts w:ascii="Times New Roman" w:eastAsia="Times New Roman" w:hAnsi="Times New Roman" w:cs="Times New Roman"/>
                <w:color w:val="000000"/>
                <w:sz w:val="24"/>
                <w:szCs w:val="24"/>
              </w:rPr>
            </w:pPr>
          </w:p>
          <w:tbl>
            <w:tblPr>
              <w:tblStyle w:val="afffffffff2"/>
              <w:tblW w:w="4887" w:type="dxa"/>
              <w:tblInd w:w="0" w:type="dxa"/>
              <w:tblLayout w:type="fixed"/>
              <w:tblLook w:val="04A0" w:firstRow="1" w:lastRow="0" w:firstColumn="1" w:lastColumn="0" w:noHBand="0" w:noVBand="1"/>
            </w:tblPr>
            <w:tblGrid>
              <w:gridCol w:w="2531"/>
              <w:gridCol w:w="2356"/>
            </w:tblGrid>
            <w:tr w:rsidR="00C82386" w14:paraId="4B0D49B7" w14:textId="77777777" w:rsidTr="00C8238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1" w:type="dxa"/>
                  <w:shd w:val="clear" w:color="auto" w:fill="auto"/>
                </w:tcPr>
                <w:p w14:paraId="2304A513"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b w:val="0"/>
                      <w:sz w:val="24"/>
                      <w:szCs w:val="24"/>
                    </w:rPr>
                    <w:lastRenderedPageBreak/>
                    <w:t>Сморід від смітників</w:t>
                  </w:r>
                </w:p>
              </w:tc>
              <w:tc>
                <w:tcPr>
                  <w:tcW w:w="2356" w:type="dxa"/>
                  <w:shd w:val="clear" w:color="auto" w:fill="auto"/>
                </w:tcPr>
                <w:p w14:paraId="043D9F1A" w14:textId="77777777" w:rsidR="00C82386" w:rsidRDefault="00E66F64">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Зростання кількості гризунів/комах</w:t>
                  </w:r>
                </w:p>
              </w:tc>
            </w:tr>
            <w:tr w:rsidR="00C82386" w14:paraId="6F5445EF" w14:textId="77777777" w:rsidTr="00C823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1" w:type="dxa"/>
                  <w:shd w:val="clear" w:color="auto" w:fill="auto"/>
                </w:tcPr>
                <w:p w14:paraId="57D1BDD5"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7B6FD406" wp14:editId="0C25F699">
                        <wp:extent cx="1526395" cy="1505021"/>
                        <wp:effectExtent l="0" t="0" r="0" b="0"/>
                        <wp:docPr id="2144251994" name="image120.png" descr="Зображення, що містить коло, Графіка, знімок екрана, схем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0.png" descr="Зображення, що містить коло, Графіка, знімок екрана, схема&#10;&#10;Автоматично згенерований опис"/>
                                <pic:cNvPicPr preferRelativeResize="0"/>
                              </pic:nvPicPr>
                              <pic:blipFill>
                                <a:blip r:embed="rId241"/>
                                <a:srcRect/>
                                <a:stretch>
                                  <a:fillRect/>
                                </a:stretch>
                              </pic:blipFill>
                              <pic:spPr>
                                <a:xfrm>
                                  <a:off x="0" y="0"/>
                                  <a:ext cx="1526395" cy="1505021"/>
                                </a:xfrm>
                                <a:prstGeom prst="rect">
                                  <a:avLst/>
                                </a:prstGeom>
                                <a:ln/>
                              </pic:spPr>
                            </pic:pic>
                          </a:graphicData>
                        </a:graphic>
                      </wp:inline>
                    </w:drawing>
                  </w:r>
                </w:p>
              </w:tc>
              <w:tc>
                <w:tcPr>
                  <w:tcW w:w="2356" w:type="dxa"/>
                  <w:shd w:val="clear" w:color="auto" w:fill="auto"/>
                </w:tcPr>
                <w:p w14:paraId="246C71BE" w14:textId="77777777" w:rsidR="00C82386" w:rsidRDefault="00E66F64">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27720E58" wp14:editId="5D9D19BD">
                        <wp:extent cx="1398592" cy="1419062"/>
                        <wp:effectExtent l="0" t="0" r="0" b="0"/>
                        <wp:docPr id="2144251993" name="image117.png" descr="Зображення, що містить коло, знімок екрана, Барвистість, схем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7.png" descr="Зображення, що містить коло, знімок екрана, Барвистість, схема&#10;&#10;Автоматично згенерований опис"/>
                                <pic:cNvPicPr preferRelativeResize="0"/>
                              </pic:nvPicPr>
                              <pic:blipFill>
                                <a:blip r:embed="rId242"/>
                                <a:srcRect/>
                                <a:stretch>
                                  <a:fillRect/>
                                </a:stretch>
                              </pic:blipFill>
                              <pic:spPr>
                                <a:xfrm>
                                  <a:off x="0" y="0"/>
                                  <a:ext cx="1398592" cy="1419062"/>
                                </a:xfrm>
                                <a:prstGeom prst="rect">
                                  <a:avLst/>
                                </a:prstGeom>
                                <a:ln/>
                              </pic:spPr>
                            </pic:pic>
                          </a:graphicData>
                        </a:graphic>
                      </wp:inline>
                    </w:drawing>
                  </w:r>
                </w:p>
              </w:tc>
            </w:tr>
            <w:tr w:rsidR="00C82386" w14:paraId="5591DC39" w14:textId="77777777" w:rsidTr="00C82386">
              <w:trPr>
                <w:trHeight w:val="300"/>
              </w:trPr>
              <w:tc>
                <w:tcPr>
                  <w:cnfStyle w:val="001000000000" w:firstRow="0" w:lastRow="0" w:firstColumn="1" w:lastColumn="0" w:oddVBand="0" w:evenVBand="0" w:oddHBand="0" w:evenHBand="0" w:firstRowFirstColumn="0" w:firstRowLastColumn="0" w:lastRowFirstColumn="0" w:lastRowLastColumn="0"/>
                  <w:tcW w:w="4887" w:type="dxa"/>
                  <w:gridSpan w:val="2"/>
                  <w:shd w:val="clear" w:color="auto" w:fill="auto"/>
                </w:tcPr>
                <w:p w14:paraId="0F0BDFB5"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6EF14458" wp14:editId="38D7D842">
                        <wp:extent cx="2047673" cy="820518"/>
                        <wp:effectExtent l="0" t="0" r="0" b="0"/>
                        <wp:docPr id="2144251990" name="image108.png" descr="Зображення, що містить текст, знімок екран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8.png" descr="Зображення, що містить текст, знімок екрана, Шрифт&#10;&#10;Автоматично згенерований опис"/>
                                <pic:cNvPicPr preferRelativeResize="0"/>
                              </pic:nvPicPr>
                              <pic:blipFill>
                                <a:blip r:embed="rId243"/>
                                <a:srcRect/>
                                <a:stretch>
                                  <a:fillRect/>
                                </a:stretch>
                              </pic:blipFill>
                              <pic:spPr>
                                <a:xfrm>
                                  <a:off x="0" y="0"/>
                                  <a:ext cx="2047673" cy="820518"/>
                                </a:xfrm>
                                <a:prstGeom prst="rect">
                                  <a:avLst/>
                                </a:prstGeom>
                                <a:ln/>
                              </pic:spPr>
                            </pic:pic>
                          </a:graphicData>
                        </a:graphic>
                      </wp:inline>
                    </w:drawing>
                  </w:r>
                </w:p>
              </w:tc>
            </w:tr>
          </w:tbl>
          <w:p w14:paraId="57BA5CC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Зміна клімату відображається на </w:t>
            </w:r>
            <w:r>
              <w:rPr>
                <w:rFonts w:ascii="Times New Roman" w:eastAsia="Times New Roman" w:hAnsi="Times New Roman" w:cs="Times New Roman"/>
                <w:color w:val="000000"/>
                <w:sz w:val="24"/>
                <w:szCs w:val="24"/>
                <w:u w:val="single"/>
              </w:rPr>
              <w:t>стані здоров’я та самопочуття населення</w:t>
            </w:r>
            <w:r>
              <w:rPr>
                <w:rFonts w:ascii="Times New Roman" w:eastAsia="Times New Roman" w:hAnsi="Times New Roman" w:cs="Times New Roman"/>
                <w:color w:val="000000"/>
                <w:sz w:val="24"/>
                <w:szCs w:val="24"/>
              </w:rPr>
              <w:t xml:space="preserve">, так вже зараз зміни в самопочутті, пов’язані зі змінами клімату (надмірна спека, вплив гроз, різкої зміни погоди) відзначають 75% опитуваних, а 18% самі не відзначають впливу але мають знайомих/родичів, що страждають. При чому 12% - зверталися самі та 25% знають людей, що зверталися </w:t>
            </w:r>
            <w:r>
              <w:rPr>
                <w:rFonts w:ascii="Times New Roman" w:eastAsia="Times New Roman" w:hAnsi="Times New Roman" w:cs="Times New Roman"/>
                <w:color w:val="000000"/>
                <w:sz w:val="24"/>
                <w:szCs w:val="24"/>
                <w:highlight w:val="white"/>
              </w:rPr>
              <w:t xml:space="preserve">за </w:t>
            </w:r>
            <w:r>
              <w:rPr>
                <w:rFonts w:ascii="Times New Roman" w:eastAsia="Times New Roman" w:hAnsi="Times New Roman" w:cs="Times New Roman"/>
                <w:color w:val="000000"/>
                <w:sz w:val="24"/>
                <w:szCs w:val="24"/>
              </w:rPr>
              <w:t xml:space="preserve">медичною допомогою, що стала необхідною внаслідок стихійних явищ, а 61% не зверталися за медичною допомогою. </w:t>
            </w:r>
          </w:p>
          <w:p w14:paraId="2385677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Поки що переважаюча частина опитуваних не зазнавали (або не усвідомлюють) </w:t>
            </w:r>
            <w:r>
              <w:rPr>
                <w:rFonts w:ascii="Times New Roman" w:eastAsia="Times New Roman" w:hAnsi="Times New Roman" w:cs="Times New Roman"/>
                <w:color w:val="000000"/>
                <w:sz w:val="24"/>
                <w:szCs w:val="24"/>
                <w:u w:val="single"/>
              </w:rPr>
              <w:t xml:space="preserve">прямих збитків через екстремальні погодні умови </w:t>
            </w:r>
            <w:r>
              <w:rPr>
                <w:rFonts w:ascii="Times New Roman" w:eastAsia="Times New Roman" w:hAnsi="Times New Roman" w:cs="Times New Roman"/>
                <w:color w:val="000000"/>
                <w:sz w:val="24"/>
                <w:szCs w:val="24"/>
              </w:rPr>
              <w:t xml:space="preserve">(пошкодження будинку, підтоплення городу, підвищення цін на їжу, тощо) – 48%. Проте 11% таких збитків зазнали, а 36% мали незначні збитки. Причому 38% респондентів знають куди звертатися для відшкодування збитків в разі отримання ураження або шкоди внаслідок стихійних явищ (паводок, спека, гроза, ожеледиця, тощо), а за відшкодуванням зверталися 2%. 41% респондентів взагалі не вважають, що хтось має відшкодовувати збитки отримані внаслідок стихійних явищ. </w:t>
            </w:r>
          </w:p>
          <w:p w14:paraId="4FDE92F9" w14:textId="77777777" w:rsidR="00C82386" w:rsidRDefault="00C82386">
            <w:pPr>
              <w:jc w:val="both"/>
              <w:rPr>
                <w:rFonts w:ascii="Times New Roman" w:eastAsia="Times New Roman" w:hAnsi="Times New Roman" w:cs="Times New Roman"/>
                <w:color w:val="000000"/>
                <w:sz w:val="24"/>
                <w:szCs w:val="24"/>
              </w:rPr>
            </w:pPr>
          </w:p>
          <w:p w14:paraId="28B93F6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Значна частина опитуваних (65%) почуваються досить впевнено і стверджують, що </w:t>
            </w:r>
            <w:r>
              <w:rPr>
                <w:rFonts w:ascii="Times New Roman" w:eastAsia="Times New Roman" w:hAnsi="Times New Roman" w:cs="Times New Roman"/>
                <w:color w:val="000000"/>
                <w:sz w:val="24"/>
                <w:szCs w:val="24"/>
                <w:u w:val="single"/>
              </w:rPr>
              <w:t>знають як поводитися під час надзвичайних природних ситуацій</w:t>
            </w:r>
            <w:r>
              <w:rPr>
                <w:rFonts w:ascii="Times New Roman" w:eastAsia="Times New Roman" w:hAnsi="Times New Roman" w:cs="Times New Roman"/>
                <w:color w:val="000000"/>
                <w:sz w:val="24"/>
                <w:szCs w:val="24"/>
              </w:rPr>
              <w:t xml:space="preserve">, а 24% вважають себе повністю готовими до такого розвитку подій. Подібна картина спостерігається і щодо  </w:t>
            </w:r>
            <w:r>
              <w:rPr>
                <w:rFonts w:ascii="Times New Roman" w:eastAsia="Times New Roman" w:hAnsi="Times New Roman" w:cs="Times New Roman"/>
                <w:color w:val="000000"/>
                <w:sz w:val="24"/>
                <w:szCs w:val="24"/>
                <w:u w:val="single"/>
              </w:rPr>
              <w:t>правила поводження під час надмірної спеки/холоду</w:t>
            </w:r>
            <w:r>
              <w:rPr>
                <w:rFonts w:ascii="Times New Roman" w:eastAsia="Times New Roman" w:hAnsi="Times New Roman" w:cs="Times New Roman"/>
                <w:color w:val="000000"/>
                <w:sz w:val="24"/>
                <w:szCs w:val="24"/>
              </w:rPr>
              <w:t xml:space="preserve"> – повністю готовими вважають себе 43%, а достатньо готовими - 54%. </w:t>
            </w:r>
          </w:p>
          <w:p w14:paraId="65C18624" w14:textId="77777777" w:rsidR="00C82386" w:rsidRDefault="00C82386">
            <w:pPr>
              <w:jc w:val="both"/>
              <w:rPr>
                <w:rFonts w:ascii="Times New Roman" w:eastAsia="Times New Roman" w:hAnsi="Times New Roman" w:cs="Times New Roman"/>
                <w:color w:val="000000"/>
                <w:sz w:val="24"/>
                <w:szCs w:val="24"/>
              </w:rPr>
            </w:pPr>
          </w:p>
          <w:p w14:paraId="4C43F05D" w14:textId="77777777" w:rsidR="00C82386" w:rsidRDefault="00C82386">
            <w:pPr>
              <w:jc w:val="both"/>
              <w:rPr>
                <w:rFonts w:ascii="Times New Roman" w:eastAsia="Times New Roman" w:hAnsi="Times New Roman" w:cs="Times New Roman"/>
                <w:color w:val="000000"/>
                <w:sz w:val="24"/>
                <w:szCs w:val="24"/>
              </w:rPr>
            </w:pPr>
          </w:p>
          <w:p w14:paraId="6568FF1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 цілому більшість респондентів отримують інформацію про правила поводження під час стихійних лих чи надмірної спеки/холоду із ЗМІ – 47%, міської влади – 16%, МНС – 14%, посадових осіб – 6%, відділу охорони праці на підприємстві – 5%, медичних закладів – 4%. Всього 38% респондентів не отримують інформацію взагалі. Частина респондентів відповіли, що останній раз отримували інформацію подібного роду ще в школі чи університеті, декілька стверджують, що шукають інформацію самостійно. </w:t>
            </w:r>
          </w:p>
          <w:p w14:paraId="080F175C" w14:textId="77777777" w:rsidR="00C82386" w:rsidRDefault="00C82386">
            <w:pPr>
              <w:jc w:val="both"/>
              <w:rPr>
                <w:rFonts w:ascii="Times New Roman" w:eastAsia="Times New Roman" w:hAnsi="Times New Roman" w:cs="Times New Roman"/>
                <w:color w:val="000000"/>
                <w:sz w:val="24"/>
                <w:szCs w:val="24"/>
              </w:rPr>
            </w:pPr>
          </w:p>
          <w:tbl>
            <w:tblPr>
              <w:tblStyle w:val="afffffffff3"/>
              <w:tblW w:w="4478" w:type="dxa"/>
              <w:tblInd w:w="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400" w:firstRow="0" w:lastRow="0" w:firstColumn="0" w:lastColumn="0" w:noHBand="0" w:noVBand="1"/>
            </w:tblPr>
            <w:tblGrid>
              <w:gridCol w:w="2151"/>
              <w:gridCol w:w="2327"/>
            </w:tblGrid>
            <w:tr w:rsidR="00C82386" w14:paraId="0F54E443" w14:textId="77777777">
              <w:trPr>
                <w:trHeight w:val="300"/>
              </w:trPr>
              <w:tc>
                <w:tcPr>
                  <w:tcW w:w="2151" w:type="dxa"/>
                </w:tcPr>
                <w:p w14:paraId="45FFDD8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 отримували ви інформацію про правила поводження під час стихійних лих, сильної спеки/холоду?</w:t>
                  </w:r>
                </w:p>
              </w:tc>
              <w:tc>
                <w:tcPr>
                  <w:tcW w:w="2327" w:type="dxa"/>
                </w:tcPr>
                <w:p w14:paraId="03E1FA8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 отримуєте ви вчасно інформацію про стихійні явища (зливи, сильний вітер, спека/холод, тощо)</w:t>
                  </w:r>
                </w:p>
              </w:tc>
            </w:tr>
            <w:tr w:rsidR="00C82386" w14:paraId="680D56EA" w14:textId="77777777">
              <w:trPr>
                <w:trHeight w:val="300"/>
              </w:trPr>
              <w:tc>
                <w:tcPr>
                  <w:tcW w:w="2151" w:type="dxa"/>
                </w:tcPr>
                <w:p w14:paraId="46C5A24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4B903238" wp14:editId="75E36ACD">
                        <wp:extent cx="1398950" cy="1175438"/>
                        <wp:effectExtent l="0" t="0" r="0" b="0"/>
                        <wp:docPr id="2144251989" name="image102.png" descr="Зображення, що містить коло, знімок екрана, схема, Графік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2.png" descr="Зображення, що містить коло, знімок екрана, схема, Графіка&#10;&#10;Автоматично згенерований опис"/>
                                <pic:cNvPicPr preferRelativeResize="0"/>
                              </pic:nvPicPr>
                              <pic:blipFill>
                                <a:blip r:embed="rId244"/>
                                <a:srcRect/>
                                <a:stretch>
                                  <a:fillRect/>
                                </a:stretch>
                              </pic:blipFill>
                              <pic:spPr>
                                <a:xfrm>
                                  <a:off x="0" y="0"/>
                                  <a:ext cx="1398950" cy="1175438"/>
                                </a:xfrm>
                                <a:prstGeom prst="rect">
                                  <a:avLst/>
                                </a:prstGeom>
                                <a:ln/>
                              </pic:spPr>
                            </pic:pic>
                          </a:graphicData>
                        </a:graphic>
                      </wp:inline>
                    </w:drawing>
                  </w:r>
                </w:p>
              </w:tc>
              <w:tc>
                <w:tcPr>
                  <w:tcW w:w="2327" w:type="dxa"/>
                </w:tcPr>
                <w:p w14:paraId="26F0342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30854039" wp14:editId="02FD8707">
                        <wp:extent cx="1298966" cy="1074963"/>
                        <wp:effectExtent l="0" t="0" r="0" b="0"/>
                        <wp:docPr id="2144251972" name="image90.png" descr="Зображення, що містить коло, знімок екрана, Барвистість, Графіка&#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90.png" descr="Зображення, що містить коло, знімок екрана, Барвистість, Графіка&#10;&#10;Автоматично згенерований опис"/>
                                <pic:cNvPicPr preferRelativeResize="0"/>
                              </pic:nvPicPr>
                              <pic:blipFill>
                                <a:blip r:embed="rId245"/>
                                <a:srcRect/>
                                <a:stretch>
                                  <a:fillRect/>
                                </a:stretch>
                              </pic:blipFill>
                              <pic:spPr>
                                <a:xfrm>
                                  <a:off x="0" y="0"/>
                                  <a:ext cx="1298966" cy="1074963"/>
                                </a:xfrm>
                                <a:prstGeom prst="rect">
                                  <a:avLst/>
                                </a:prstGeom>
                                <a:ln/>
                              </pic:spPr>
                            </pic:pic>
                          </a:graphicData>
                        </a:graphic>
                      </wp:inline>
                    </w:drawing>
                  </w:r>
                </w:p>
              </w:tc>
            </w:tr>
            <w:tr w:rsidR="00C82386" w14:paraId="5E48EEE9" w14:textId="77777777">
              <w:trPr>
                <w:trHeight w:val="300"/>
              </w:trPr>
              <w:tc>
                <w:tcPr>
                  <w:tcW w:w="2151" w:type="dxa"/>
                </w:tcPr>
                <w:p w14:paraId="62CC494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5331D37C" wp14:editId="398B21E1">
                        <wp:extent cx="1995170" cy="958215"/>
                        <wp:effectExtent l="0" t="0" r="0" b="0"/>
                        <wp:docPr id="2144251969" name="image104.png" descr="Зображення, що містить текст, знімок екран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4.png" descr="Зображення, що містить текст, знімок екрана, Шрифт&#10;&#10;Автоматично згенерований опис"/>
                                <pic:cNvPicPr preferRelativeResize="0"/>
                              </pic:nvPicPr>
                              <pic:blipFill>
                                <a:blip r:embed="rId246"/>
                                <a:srcRect/>
                                <a:stretch>
                                  <a:fillRect/>
                                </a:stretch>
                              </pic:blipFill>
                              <pic:spPr>
                                <a:xfrm>
                                  <a:off x="0" y="0"/>
                                  <a:ext cx="1995170" cy="958215"/>
                                </a:xfrm>
                                <a:prstGeom prst="rect">
                                  <a:avLst/>
                                </a:prstGeom>
                                <a:ln/>
                              </pic:spPr>
                            </pic:pic>
                          </a:graphicData>
                        </a:graphic>
                      </wp:inline>
                    </w:drawing>
                  </w:r>
                </w:p>
              </w:tc>
              <w:tc>
                <w:tcPr>
                  <w:tcW w:w="2327" w:type="dxa"/>
                </w:tcPr>
                <w:p w14:paraId="5224868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299F7973" wp14:editId="6602F9E8">
                        <wp:extent cx="1347815" cy="907835"/>
                        <wp:effectExtent l="0" t="0" r="0" b="0"/>
                        <wp:docPr id="2144251968" name="image78.png" descr="Зображення, що містить текст, знімок екран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78.png" descr="Зображення, що містить текст, знімок екрана, Шрифт&#10;&#10;Автоматично згенерований опис"/>
                                <pic:cNvPicPr preferRelativeResize="0"/>
                              </pic:nvPicPr>
                              <pic:blipFill>
                                <a:blip r:embed="rId247"/>
                                <a:srcRect/>
                                <a:stretch>
                                  <a:fillRect/>
                                </a:stretch>
                              </pic:blipFill>
                              <pic:spPr>
                                <a:xfrm>
                                  <a:off x="0" y="0"/>
                                  <a:ext cx="1347815" cy="907835"/>
                                </a:xfrm>
                                <a:prstGeom prst="rect">
                                  <a:avLst/>
                                </a:prstGeom>
                                <a:ln/>
                              </pic:spPr>
                            </pic:pic>
                          </a:graphicData>
                        </a:graphic>
                      </wp:inline>
                    </w:drawing>
                  </w:r>
                </w:p>
              </w:tc>
            </w:tr>
          </w:tbl>
          <w:p w14:paraId="2F0237A3" w14:textId="77777777" w:rsidR="00C82386" w:rsidRDefault="00E66F64">
            <w:pPr>
              <w:spacing w:after="160" w:line="259"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u w:val="single"/>
              </w:rPr>
              <w:t>Адаптація міста до змін клімату</w:t>
            </w:r>
          </w:p>
          <w:p w14:paraId="031D3DA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адаптаційних заходів дозволить жителям та місту почуватися комфортніше та зменшити негативні наслідки зміни клімату. Мешканці часто мають власні ідеї щодо поліпшення та облаштування їх міст. Опис таких ідей дозволяє втілити їх у життя.</w:t>
            </w:r>
          </w:p>
          <w:p w14:paraId="13D24C64" w14:textId="77777777" w:rsidR="00C82386" w:rsidRDefault="00C82386">
            <w:pPr>
              <w:jc w:val="both"/>
              <w:rPr>
                <w:rFonts w:ascii="Times New Roman" w:eastAsia="Times New Roman" w:hAnsi="Times New Roman" w:cs="Times New Roman"/>
                <w:color w:val="000000"/>
                <w:sz w:val="24"/>
                <w:szCs w:val="24"/>
              </w:rPr>
            </w:pPr>
          </w:p>
          <w:p w14:paraId="05C9585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Важливо виявити готовність населення до адаптаційних дій. Якщо розуміння населенням необхідності впровадження таких заходів низьке – необхідно спрямувати зусилля на розробку і впровадження просвітницьких заходів. Якщо опитуванні мешканці висловлюють чіткі очікування та надають конкретні рекомендації – необхідно звернути на них особливу увагу під час розробки заходів.  </w:t>
            </w:r>
          </w:p>
          <w:p w14:paraId="184E10EB"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Перелік першочергових заходів, які на думку опитуваних має  впроваджувати місцева влада, щоб адаптувати місто </w:t>
            </w:r>
            <w:r>
              <w:rPr>
                <w:rFonts w:ascii="Times New Roman" w:eastAsia="Times New Roman" w:hAnsi="Times New Roman" w:cs="Times New Roman"/>
                <w:color w:val="000000"/>
                <w:sz w:val="24"/>
                <w:szCs w:val="24"/>
                <w:u w:val="single"/>
              </w:rPr>
              <w:t>до сильної спеки</w:t>
            </w:r>
            <w:r>
              <w:rPr>
                <w:rFonts w:ascii="Times New Roman" w:eastAsia="Times New Roman" w:hAnsi="Times New Roman" w:cs="Times New Roman"/>
                <w:color w:val="000000"/>
                <w:sz w:val="24"/>
                <w:szCs w:val="24"/>
              </w:rPr>
              <w:t>:</w:t>
            </w:r>
          </w:p>
          <w:tbl>
            <w:tblPr>
              <w:tblStyle w:val="afffffffff4"/>
              <w:tblW w:w="487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04"/>
              <w:gridCol w:w="867"/>
            </w:tblGrid>
            <w:tr w:rsidR="00C82386" w14:paraId="4F5BC0C0" w14:textId="77777777">
              <w:trPr>
                <w:trHeight w:val="341"/>
              </w:trPr>
              <w:tc>
                <w:tcPr>
                  <w:tcW w:w="4004" w:type="dxa"/>
                </w:tcPr>
                <w:p w14:paraId="05EBB3A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Збільшення кількості зелених зон </w:t>
                  </w:r>
                </w:p>
              </w:tc>
              <w:tc>
                <w:tcPr>
                  <w:tcW w:w="867" w:type="dxa"/>
                </w:tcPr>
                <w:p w14:paraId="3E57F4E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tc>
            </w:tr>
            <w:tr w:rsidR="00C82386" w14:paraId="67F434E1" w14:textId="77777777">
              <w:trPr>
                <w:trHeight w:val="350"/>
              </w:trPr>
              <w:tc>
                <w:tcPr>
                  <w:tcW w:w="4004" w:type="dxa"/>
                </w:tcPr>
                <w:p w14:paraId="0DFE566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Забезпечення чистої води в річках та водоймах громади</w:t>
                  </w:r>
                </w:p>
              </w:tc>
              <w:tc>
                <w:tcPr>
                  <w:tcW w:w="867" w:type="dxa"/>
                </w:tcPr>
                <w:p w14:paraId="7144656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p>
              </w:tc>
            </w:tr>
            <w:tr w:rsidR="00C82386" w14:paraId="031A0617" w14:textId="77777777">
              <w:trPr>
                <w:trHeight w:val="350"/>
              </w:trPr>
              <w:tc>
                <w:tcPr>
                  <w:tcW w:w="4004" w:type="dxa"/>
                </w:tcPr>
                <w:p w14:paraId="1E9D88C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облаштованих зон відпочинку біля водойм</w:t>
                  </w:r>
                </w:p>
              </w:tc>
              <w:tc>
                <w:tcPr>
                  <w:tcW w:w="867" w:type="dxa"/>
                </w:tcPr>
                <w:p w14:paraId="1C945F5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C82386" w14:paraId="3C557E13" w14:textId="77777777">
              <w:trPr>
                <w:trHeight w:val="350"/>
              </w:trPr>
              <w:tc>
                <w:tcPr>
                  <w:tcW w:w="4004" w:type="dxa"/>
                </w:tcPr>
                <w:p w14:paraId="18685B6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Термоізоляція будівель </w:t>
                  </w:r>
                </w:p>
              </w:tc>
              <w:tc>
                <w:tcPr>
                  <w:tcW w:w="867" w:type="dxa"/>
                </w:tcPr>
                <w:p w14:paraId="768736F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r>
            <w:tr w:rsidR="00C82386" w14:paraId="166AFAE4" w14:textId="77777777">
              <w:trPr>
                <w:trHeight w:val="530"/>
              </w:trPr>
              <w:tc>
                <w:tcPr>
                  <w:tcW w:w="4004" w:type="dxa"/>
                </w:tcPr>
                <w:p w14:paraId="36D2639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Кондиціонери, вентиляція, питна вода у дитячих дошкільних установах, лікарнях, будинках для людей похилого віку</w:t>
                  </w:r>
                </w:p>
              </w:tc>
              <w:tc>
                <w:tcPr>
                  <w:tcW w:w="867" w:type="dxa"/>
                </w:tcPr>
                <w:p w14:paraId="4044472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p>
              </w:tc>
            </w:tr>
            <w:tr w:rsidR="00C82386" w14:paraId="3D5F914A" w14:textId="77777777">
              <w:trPr>
                <w:trHeight w:val="602"/>
              </w:trPr>
              <w:tc>
                <w:tcPr>
                  <w:tcW w:w="4004" w:type="dxa"/>
                </w:tcPr>
                <w:p w14:paraId="2127AE2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питних фонтанчиків/безкоштовний доступ до питної води у закладах громадського харчування  </w:t>
                  </w:r>
                </w:p>
              </w:tc>
              <w:tc>
                <w:tcPr>
                  <w:tcW w:w="867" w:type="dxa"/>
                </w:tcPr>
                <w:p w14:paraId="0A5015C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tc>
            </w:tr>
            <w:tr w:rsidR="00C82386" w14:paraId="2401E0EE" w14:textId="77777777">
              <w:trPr>
                <w:trHeight w:val="350"/>
              </w:trPr>
              <w:tc>
                <w:tcPr>
                  <w:tcW w:w="4004" w:type="dxa"/>
                </w:tcPr>
                <w:p w14:paraId="1655873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зон прохолоди (зелені навіси, вертикальне озеленення, сквери) </w:t>
                  </w:r>
                </w:p>
              </w:tc>
              <w:tc>
                <w:tcPr>
                  <w:tcW w:w="867" w:type="dxa"/>
                </w:tcPr>
                <w:p w14:paraId="6A323AA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C82386" w14:paraId="3F5A6D6B" w14:textId="77777777">
              <w:trPr>
                <w:trHeight w:val="350"/>
              </w:trPr>
              <w:tc>
                <w:tcPr>
                  <w:tcW w:w="4004" w:type="dxa"/>
                </w:tcPr>
                <w:p w14:paraId="771EDB6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Кондиціонування громадського транспорту</w:t>
                  </w:r>
                </w:p>
              </w:tc>
              <w:tc>
                <w:tcPr>
                  <w:tcW w:w="867" w:type="dxa"/>
                </w:tcPr>
                <w:p w14:paraId="75D31F0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p>
              </w:tc>
            </w:tr>
          </w:tbl>
          <w:p w14:paraId="0B2470ED"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Окрім цього, опитувані рекомендують чистити водойми, облаштування фонтанчиків для води, очистити питну воду, висадка дерев і кущів вздовж вулиць і будівель, розвиток громадського транспорту та велосипедних доріжок, облаштувати ігрові майданчики, збільшити інформування населення тощо.</w:t>
            </w:r>
          </w:p>
          <w:p w14:paraId="100CD96A"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Перелік першочергових заходів, які на думку опитуваних має  впроваджувати місцева влада, щоб адаптувати місто </w:t>
            </w:r>
            <w:r>
              <w:rPr>
                <w:rFonts w:ascii="Times New Roman" w:eastAsia="Times New Roman" w:hAnsi="Times New Roman" w:cs="Times New Roman"/>
                <w:color w:val="000000"/>
                <w:sz w:val="24"/>
                <w:szCs w:val="24"/>
                <w:u w:val="single"/>
              </w:rPr>
              <w:t>до стихійних метеорологічних явищ</w:t>
            </w:r>
            <w:r>
              <w:rPr>
                <w:rFonts w:ascii="Times New Roman" w:eastAsia="Times New Roman" w:hAnsi="Times New Roman" w:cs="Times New Roman"/>
                <w:color w:val="000000"/>
                <w:sz w:val="24"/>
                <w:szCs w:val="24"/>
              </w:rPr>
              <w:t xml:space="preserve"> (раптова зміна погоди; сильні дощі, сильні хуртовини та снігопади; сильний вітер: шквали та смерч):</w:t>
            </w:r>
            <w:r>
              <w:rPr>
                <w:rFonts w:ascii="Times New Roman" w:eastAsia="Times New Roman" w:hAnsi="Times New Roman" w:cs="Times New Roman"/>
                <w:i/>
                <w:color w:val="000000"/>
                <w:sz w:val="24"/>
                <w:szCs w:val="24"/>
              </w:rPr>
              <w:t xml:space="preserve"> </w:t>
            </w:r>
          </w:p>
          <w:tbl>
            <w:tblPr>
              <w:tblStyle w:val="afffffffff5"/>
              <w:tblW w:w="48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04"/>
              <w:gridCol w:w="851"/>
            </w:tblGrid>
            <w:tr w:rsidR="00C82386" w14:paraId="0E2A6327" w14:textId="77777777">
              <w:trPr>
                <w:trHeight w:val="535"/>
              </w:trPr>
              <w:tc>
                <w:tcPr>
                  <w:tcW w:w="4004" w:type="dxa"/>
                </w:tcPr>
                <w:p w14:paraId="57FD7C8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Заміна старих систем зливової каналізації та будівництво нових стоків дощової води</w:t>
                  </w:r>
                </w:p>
              </w:tc>
              <w:tc>
                <w:tcPr>
                  <w:tcW w:w="851" w:type="dxa"/>
                </w:tcPr>
                <w:p w14:paraId="329EB8F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tc>
            </w:tr>
            <w:tr w:rsidR="00C82386" w14:paraId="4E4A3868" w14:textId="77777777">
              <w:trPr>
                <w:trHeight w:val="535"/>
              </w:trPr>
              <w:tc>
                <w:tcPr>
                  <w:tcW w:w="4004" w:type="dxa"/>
                </w:tcPr>
                <w:p w14:paraId="0B2A81F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Резервуари для накопичення дощової води, яку надалі будуть використовувати</w:t>
                  </w:r>
                </w:p>
              </w:tc>
              <w:tc>
                <w:tcPr>
                  <w:tcW w:w="851" w:type="dxa"/>
                </w:tcPr>
                <w:p w14:paraId="78C8E6C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p>
              </w:tc>
            </w:tr>
            <w:tr w:rsidR="00C82386" w14:paraId="1135B99B" w14:textId="77777777">
              <w:trPr>
                <w:trHeight w:val="535"/>
              </w:trPr>
              <w:tc>
                <w:tcPr>
                  <w:tcW w:w="4004" w:type="dxa"/>
                </w:tcPr>
                <w:p w14:paraId="1062DF0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Забезпечення належного стану (постійні технічні огляди та ремонти) ліній електропередач; </w:t>
                  </w:r>
                </w:p>
              </w:tc>
              <w:tc>
                <w:tcPr>
                  <w:tcW w:w="851" w:type="dxa"/>
                </w:tcPr>
                <w:p w14:paraId="3C11C81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p>
              </w:tc>
            </w:tr>
            <w:tr w:rsidR="00C82386" w14:paraId="5D1B1203" w14:textId="77777777">
              <w:trPr>
                <w:trHeight w:val="535"/>
              </w:trPr>
              <w:tc>
                <w:tcPr>
                  <w:tcW w:w="4004" w:type="dxa"/>
                </w:tcPr>
                <w:p w14:paraId="551E18F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Забезпечення лікарень та шкіл автономними  джерелами електроенергії; </w:t>
                  </w:r>
                </w:p>
              </w:tc>
              <w:tc>
                <w:tcPr>
                  <w:tcW w:w="851" w:type="dxa"/>
                </w:tcPr>
                <w:p w14:paraId="7EB0BBA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p>
              </w:tc>
            </w:tr>
            <w:tr w:rsidR="00C82386" w14:paraId="49A45C46" w14:textId="77777777">
              <w:trPr>
                <w:trHeight w:val="535"/>
              </w:trPr>
              <w:tc>
                <w:tcPr>
                  <w:tcW w:w="4004" w:type="dxa"/>
                </w:tcPr>
                <w:p w14:paraId="728EE71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Розроблення програми встановлення в навчальних та лікувальних закладах сонячних колекторів для нагріву води та економії електроенергії, теплових насосів для опалення; </w:t>
                  </w:r>
                </w:p>
              </w:tc>
              <w:tc>
                <w:tcPr>
                  <w:tcW w:w="851" w:type="dxa"/>
                </w:tcPr>
                <w:p w14:paraId="6F451E3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tc>
            </w:tr>
            <w:tr w:rsidR="00C82386" w14:paraId="605B356D" w14:textId="77777777">
              <w:trPr>
                <w:trHeight w:val="535"/>
              </w:trPr>
              <w:tc>
                <w:tcPr>
                  <w:tcW w:w="4004" w:type="dxa"/>
                </w:tcPr>
                <w:p w14:paraId="4174C9D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 дій на випадок евакуації населення з постраждалих районів громади</w:t>
                  </w:r>
                </w:p>
              </w:tc>
              <w:tc>
                <w:tcPr>
                  <w:tcW w:w="851" w:type="dxa"/>
                </w:tcPr>
                <w:p w14:paraId="3870F45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p>
              </w:tc>
            </w:tr>
          </w:tbl>
          <w:p w14:paraId="261D85C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Перелік першочергових заходів, які на думку опитуваних має  впроваджувати місцева влада, щоб адаптувати зелені зони (парки, сквери, лісосмуги). </w:t>
            </w:r>
          </w:p>
          <w:tbl>
            <w:tblPr>
              <w:tblStyle w:val="afffffffff6"/>
              <w:tblW w:w="48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709"/>
            </w:tblGrid>
            <w:tr w:rsidR="00C82386" w14:paraId="2CDD3794" w14:textId="77777777">
              <w:trPr>
                <w:trHeight w:val="300"/>
              </w:trPr>
              <w:tc>
                <w:tcPr>
                  <w:tcW w:w="4106" w:type="dxa"/>
                </w:tcPr>
                <w:p w14:paraId="55A28580" w14:textId="77777777" w:rsidR="00C82386" w:rsidRDefault="00E66F64">
                  <w:pPr>
                    <w:spacing w:before="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кількості зелених насаджень (створення нових парків, скверів, лісосмуг)</w:t>
                  </w:r>
                </w:p>
              </w:tc>
              <w:tc>
                <w:tcPr>
                  <w:tcW w:w="709" w:type="dxa"/>
                </w:tcPr>
                <w:p w14:paraId="56E867A6" w14:textId="77777777" w:rsidR="00C82386" w:rsidRDefault="00E66F64">
                  <w:pPr>
                    <w:spacing w:before="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p>
              </w:tc>
            </w:tr>
            <w:tr w:rsidR="00C82386" w14:paraId="0057EF35" w14:textId="77777777">
              <w:trPr>
                <w:trHeight w:val="300"/>
              </w:trPr>
              <w:tc>
                <w:tcPr>
                  <w:tcW w:w="4106" w:type="dxa"/>
                </w:tcPr>
                <w:p w14:paraId="3DA9EE4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Зміна методики обслуговування зелених зон (відповідальний догляд за насадженнями, скасування кронування, полив) </w:t>
                  </w:r>
                </w:p>
              </w:tc>
              <w:tc>
                <w:tcPr>
                  <w:tcW w:w="709" w:type="dxa"/>
                </w:tcPr>
                <w:p w14:paraId="3B27C90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p>
              </w:tc>
            </w:tr>
            <w:tr w:rsidR="00C82386" w14:paraId="49C36D3E" w14:textId="77777777">
              <w:trPr>
                <w:trHeight w:val="300"/>
              </w:trPr>
              <w:tc>
                <w:tcPr>
                  <w:tcW w:w="4106" w:type="dxa"/>
                </w:tcPr>
                <w:p w14:paraId="488079A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Інвентаризація та паспортизація зелених насаджень</w:t>
                  </w:r>
                </w:p>
              </w:tc>
              <w:tc>
                <w:tcPr>
                  <w:tcW w:w="709" w:type="dxa"/>
                </w:tcPr>
                <w:p w14:paraId="03C8CF4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r>
            <w:tr w:rsidR="00C82386" w14:paraId="03F113A1" w14:textId="77777777">
              <w:trPr>
                <w:trHeight w:val="300"/>
              </w:trPr>
              <w:tc>
                <w:tcPr>
                  <w:tcW w:w="4106" w:type="dxa"/>
                </w:tcPr>
                <w:p w14:paraId="6942B6B1" w14:textId="77777777" w:rsidR="00C82386" w:rsidRDefault="00E66F64">
                  <w:pPr>
                    <w:ind w:right="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Заборона забудови наявних зелених зон</w:t>
                  </w:r>
                </w:p>
              </w:tc>
              <w:tc>
                <w:tcPr>
                  <w:tcW w:w="709" w:type="dxa"/>
                </w:tcPr>
                <w:p w14:paraId="3F6795F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p>
              </w:tc>
            </w:tr>
            <w:tr w:rsidR="00C82386" w14:paraId="79DE4D6D" w14:textId="77777777">
              <w:trPr>
                <w:trHeight w:val="300"/>
              </w:trPr>
              <w:tc>
                <w:tcPr>
                  <w:tcW w:w="4106" w:type="dxa"/>
                </w:tcPr>
                <w:p w14:paraId="528AB45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Висадження посухостійких рослин, здатних давати тінь, стримувати пил, вітер </w:t>
                  </w:r>
                </w:p>
              </w:tc>
              <w:tc>
                <w:tcPr>
                  <w:tcW w:w="709" w:type="dxa"/>
                </w:tcPr>
                <w:p w14:paraId="2E3672C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16% </w:t>
                  </w:r>
                </w:p>
              </w:tc>
            </w:tr>
            <w:tr w:rsidR="00C82386" w14:paraId="10D36FE9" w14:textId="77777777">
              <w:trPr>
                <w:trHeight w:val="300"/>
              </w:trPr>
              <w:tc>
                <w:tcPr>
                  <w:tcW w:w="4106" w:type="dxa"/>
                </w:tcPr>
                <w:p w14:paraId="604D489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Озеленення прибережних ділянок </w:t>
                  </w:r>
                </w:p>
              </w:tc>
              <w:tc>
                <w:tcPr>
                  <w:tcW w:w="709" w:type="dxa"/>
                </w:tcPr>
                <w:p w14:paraId="0FE64AE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tc>
            </w:tr>
            <w:tr w:rsidR="00C82386" w14:paraId="6DFAC38D" w14:textId="77777777">
              <w:trPr>
                <w:trHeight w:val="300"/>
              </w:trPr>
              <w:tc>
                <w:tcPr>
                  <w:tcW w:w="4106" w:type="dxa"/>
                </w:tcPr>
                <w:p w14:paraId="1A78ECC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Боротьба зі шкідливими видами рослин та рослинами-алергенами</w:t>
                  </w:r>
                </w:p>
              </w:tc>
              <w:tc>
                <w:tcPr>
                  <w:tcW w:w="709" w:type="dxa"/>
                </w:tcPr>
                <w:p w14:paraId="2C204B7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p>
              </w:tc>
            </w:tr>
          </w:tbl>
          <w:p w14:paraId="482CFD72"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Перелік першочергових заходів, які на думку опитуваних має впроваджувати місцева влада, щоб зменшити негативні наслідки впливу зміни клімату на здоров’я населення:</w:t>
            </w:r>
          </w:p>
          <w:tbl>
            <w:tblPr>
              <w:tblStyle w:val="afffffffff7"/>
              <w:tblW w:w="5063"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368"/>
              <w:gridCol w:w="695"/>
            </w:tblGrid>
            <w:tr w:rsidR="00C82386" w14:paraId="78800F18" w14:textId="77777777">
              <w:trPr>
                <w:trHeight w:val="1918"/>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0103D6C2"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інфекційних та неінфекційних захворювань, переносників та збудників інфекційних хвороб, на які впливає зміна клімату, а також профілактика цих захворювань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0B5289E0"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18% </w:t>
                  </w:r>
                </w:p>
              </w:tc>
            </w:tr>
            <w:tr w:rsidR="00C82386" w14:paraId="15259935" w14:textId="77777777">
              <w:trPr>
                <w:trHeight w:val="285"/>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63D00450"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Реалізація протиепідемічних заходів захисту населення за умов зміни клімату (поліпшення гігієнічного рівня населення, медична освіта, </w:t>
                  </w:r>
                  <w:r>
                    <w:rPr>
                      <w:rFonts w:ascii="Times New Roman" w:eastAsia="Times New Roman" w:hAnsi="Times New Roman" w:cs="Times New Roman"/>
                      <w:sz w:val="24"/>
                      <w:szCs w:val="24"/>
                    </w:rPr>
                    <w:lastRenderedPageBreak/>
                    <w:t>вакцинація, реєстрація і контроль переносників хвороб)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3E426B92"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15% </w:t>
                  </w:r>
                </w:p>
              </w:tc>
            </w:tr>
            <w:tr w:rsidR="00C82386" w14:paraId="62E5332B" w14:textId="77777777">
              <w:trPr>
                <w:trHeight w:val="285"/>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5E733F93"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стану річок, ставків, озер, колодязів, що можуть стати осередком незадовільної санітарно-епідеміологічної ситуації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065AC286"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24% </w:t>
                  </w:r>
                </w:p>
              </w:tc>
            </w:tr>
            <w:tr w:rsidR="00C82386" w14:paraId="33B01DD4" w14:textId="77777777">
              <w:trPr>
                <w:trHeight w:val="285"/>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0DE8E412"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Система сповіщень про небезпечні природні та техногенні умови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3A824C26"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 </w:t>
                  </w:r>
                </w:p>
              </w:tc>
            </w:tr>
            <w:tr w:rsidR="00C82386" w14:paraId="3088DF43" w14:textId="77777777">
              <w:trPr>
                <w:trHeight w:val="285"/>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0675278F"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Впровадити програми профілактики інфекційних та вірусних захворювань, викликаних та/або посилених зміною клімату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577B4EBF"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 </w:t>
                  </w:r>
                </w:p>
              </w:tc>
            </w:tr>
            <w:tr w:rsidR="00C82386" w14:paraId="7157A31F" w14:textId="77777777">
              <w:trPr>
                <w:trHeight w:val="285"/>
              </w:trPr>
              <w:tc>
                <w:tcPr>
                  <w:tcW w:w="4368" w:type="dxa"/>
                  <w:tcBorders>
                    <w:top w:val="single" w:sz="6" w:space="0" w:color="000000"/>
                    <w:left w:val="single" w:sz="6" w:space="0" w:color="000000"/>
                    <w:bottom w:val="single" w:sz="6" w:space="0" w:color="000000"/>
                    <w:right w:val="single" w:sz="6" w:space="0" w:color="000000"/>
                  </w:tcBorders>
                  <w:shd w:val="clear" w:color="auto" w:fill="auto"/>
                </w:tcPr>
                <w:p w14:paraId="0DE9DA12" w14:textId="77777777" w:rsidR="00C82386" w:rsidRDefault="00E66F64">
                  <w:pPr>
                    <w:spacing w:after="0"/>
                    <w:ind w:left="180" w:righ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Впровадження страхових програм на випадок негативних наслідків через зміну клімату </w:t>
                  </w:r>
                </w:p>
              </w:tc>
              <w:tc>
                <w:tcPr>
                  <w:tcW w:w="695" w:type="dxa"/>
                  <w:tcBorders>
                    <w:top w:val="single" w:sz="6" w:space="0" w:color="000000"/>
                    <w:left w:val="single" w:sz="6" w:space="0" w:color="000000"/>
                    <w:bottom w:val="single" w:sz="6" w:space="0" w:color="000000"/>
                    <w:right w:val="single" w:sz="6" w:space="0" w:color="000000"/>
                  </w:tcBorders>
                  <w:shd w:val="clear" w:color="auto" w:fill="auto"/>
                </w:tcPr>
                <w:p w14:paraId="5F5F9803"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w:t>
                  </w:r>
                </w:p>
              </w:tc>
            </w:tr>
          </w:tbl>
          <w:p w14:paraId="4A19DC04"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Перелік заходів, які мешканці готові робити для зменшення наслідків від зміни клімату у вашій громаді?</w:t>
            </w:r>
          </w:p>
          <w:tbl>
            <w:tblPr>
              <w:tblStyle w:val="afffffffff8"/>
              <w:tblW w:w="4923"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143"/>
              <w:gridCol w:w="780"/>
            </w:tblGrid>
            <w:tr w:rsidR="00C82386" w14:paraId="217D0A9A"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5D1A53C0"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садити дерева і доглядати за ними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560BE5D5"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w:t>
                  </w:r>
                </w:p>
              </w:tc>
            </w:tr>
            <w:tr w:rsidR="00C82386" w14:paraId="2F3701D9"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550C70D7"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користуватися екологічним транспортом (велосипедами, електрокарами, тролейбусами, поїздами)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5951B91A"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 </w:t>
                  </w:r>
                </w:p>
              </w:tc>
            </w:tr>
            <w:tr w:rsidR="00C82386" w14:paraId="4A38BDE0"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6C4EAEC8"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сортувати сміття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21941D67"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C82386" w14:paraId="10DDAFD1"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7DD922D2"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менше використовувати пластикові і поліетиленові упаковки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0E19DA70"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w:t>
                  </w:r>
                </w:p>
              </w:tc>
            </w:tr>
            <w:tr w:rsidR="00C82386" w14:paraId="27BF56E2"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23AE9016"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платити більше за використання води, електроенергії та газу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7ADA6771"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w:t>
                  </w:r>
                </w:p>
              </w:tc>
            </w:tr>
            <w:tr w:rsidR="00C82386" w14:paraId="532281AD"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7274E740"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харчуватися місцевими продуктами, зменшувати кількість харчових відходів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09D88993"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w:t>
                  </w:r>
                </w:p>
              </w:tc>
            </w:tr>
            <w:tr w:rsidR="00C82386" w14:paraId="2B5C07F0"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6DD5A94E"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скоротити споживання м’яса та молочних продуктів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38CCFEE9"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w:t>
                  </w:r>
                </w:p>
              </w:tc>
            </w:tr>
            <w:tr w:rsidR="00C82386" w14:paraId="1B3BA921"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04A94D1F"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встановити сонячні панелі, колектори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6E0043F3"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C82386" w14:paraId="768C1CE2"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5AD42789"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відповідально й бережно споживати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17FD96BA"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82386" w14:paraId="3A3870F2"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783CF698"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надавати перевагу ремонту речей, а не купівлі нових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55CD2605"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w:t>
                  </w:r>
                </w:p>
              </w:tc>
            </w:tr>
            <w:tr w:rsidR="00C82386" w14:paraId="72B15B06" w14:textId="77777777">
              <w:trPr>
                <w:trHeight w:val="285"/>
              </w:trPr>
              <w:tc>
                <w:tcPr>
                  <w:tcW w:w="4143" w:type="dxa"/>
                  <w:tcBorders>
                    <w:top w:val="single" w:sz="6" w:space="0" w:color="000000"/>
                    <w:left w:val="single" w:sz="6" w:space="0" w:color="000000"/>
                    <w:bottom w:val="single" w:sz="6" w:space="0" w:color="000000"/>
                    <w:right w:val="single" w:sz="6" w:space="0" w:color="000000"/>
                  </w:tcBorders>
                  <w:shd w:val="clear" w:color="auto" w:fill="auto"/>
                </w:tcPr>
                <w:p w14:paraId="2251D9AB" w14:textId="77777777" w:rsidR="00C82386" w:rsidRDefault="00E66F64">
                  <w:pPr>
                    <w:spacing w:after="0" w:line="240" w:lineRule="auto"/>
                    <w:ind w:left="180" w:righ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утеплити житло </w:t>
                  </w:r>
                </w:p>
              </w:tc>
              <w:tc>
                <w:tcPr>
                  <w:tcW w:w="780" w:type="dxa"/>
                  <w:tcBorders>
                    <w:top w:val="single" w:sz="6" w:space="0" w:color="000000"/>
                    <w:left w:val="single" w:sz="6" w:space="0" w:color="000000"/>
                    <w:bottom w:val="single" w:sz="6" w:space="0" w:color="000000"/>
                    <w:right w:val="single" w:sz="6" w:space="0" w:color="000000"/>
                  </w:tcBorders>
                  <w:shd w:val="clear" w:color="auto" w:fill="auto"/>
                </w:tcPr>
                <w:p w14:paraId="39184239" w14:textId="77777777" w:rsidR="00C82386" w:rsidRDefault="00E66F64">
                  <w:pPr>
                    <w:spacing w:after="0" w:line="240" w:lineRule="auto"/>
                    <w:ind w:left="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bl>
          <w:p w14:paraId="18FDD89D"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Окрім цього, опитувані рекомендують заміну покрівель багатоповерхівок; регулярне інформування населення про загрози, пов'язані зі зміною клімату; укріплення будівель та споруд на випадок стихійних лих; відчинення та ремонт сховищ; лікування дерев; змінення підходів до скошування </w:t>
            </w:r>
            <w:r>
              <w:rPr>
                <w:rFonts w:ascii="Times New Roman" w:eastAsia="Times New Roman" w:hAnsi="Times New Roman" w:cs="Times New Roman"/>
                <w:color w:val="000000"/>
                <w:sz w:val="24"/>
                <w:szCs w:val="24"/>
              </w:rPr>
              <w:lastRenderedPageBreak/>
              <w:t>газонів, з’єднання зелених зон в єдину мережу; реалізацію примусової вакцинації домашніх та диких тварин, а також відлову на стерилізацію і вакцинацію бродячих собак та котів тощо.</w:t>
            </w:r>
          </w:p>
          <w:p w14:paraId="5D6BB402"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Очікування мешканців від дій місцевої влади зрозумілі та чіткі і мають бути враховані під час розробки адаптаційних заходів.</w:t>
            </w:r>
          </w:p>
        </w:tc>
        <w:tc>
          <w:tcPr>
            <w:tcW w:w="5529" w:type="dxa"/>
          </w:tcPr>
          <w:p w14:paraId="07E59AAE" w14:textId="77777777" w:rsidR="00C82386" w:rsidRDefault="00C82386">
            <w:pPr>
              <w:jc w:val="both"/>
              <w:rPr>
                <w:rFonts w:ascii="Times New Roman" w:eastAsia="Times New Roman" w:hAnsi="Times New Roman" w:cs="Times New Roman"/>
                <w:color w:val="000000"/>
                <w:sz w:val="24"/>
                <w:szCs w:val="24"/>
              </w:rPr>
            </w:pPr>
          </w:p>
          <w:p w14:paraId="0E6BB28C" w14:textId="77777777" w:rsidR="00C82386" w:rsidRDefault="00C82386">
            <w:pPr>
              <w:jc w:val="both"/>
              <w:rPr>
                <w:rFonts w:ascii="Times New Roman" w:eastAsia="Times New Roman" w:hAnsi="Times New Roman" w:cs="Times New Roman"/>
                <w:color w:val="000000"/>
                <w:sz w:val="24"/>
                <w:szCs w:val="24"/>
              </w:rPr>
            </w:pPr>
          </w:p>
          <w:p w14:paraId="54AD5437" w14:textId="77777777" w:rsidR="00C82386" w:rsidRDefault="00C82386">
            <w:pPr>
              <w:jc w:val="both"/>
              <w:rPr>
                <w:rFonts w:ascii="Times New Roman" w:eastAsia="Times New Roman" w:hAnsi="Times New Roman" w:cs="Times New Roman"/>
                <w:color w:val="000000"/>
                <w:sz w:val="24"/>
                <w:szCs w:val="24"/>
              </w:rPr>
            </w:pPr>
          </w:p>
          <w:p w14:paraId="18849408" w14:textId="77777777" w:rsidR="00C82386" w:rsidRDefault="00C82386">
            <w:pPr>
              <w:jc w:val="both"/>
              <w:rPr>
                <w:rFonts w:ascii="Times New Roman" w:eastAsia="Times New Roman" w:hAnsi="Times New Roman" w:cs="Times New Roman"/>
                <w:color w:val="000000"/>
                <w:sz w:val="24"/>
                <w:szCs w:val="24"/>
              </w:rPr>
            </w:pPr>
          </w:p>
          <w:p w14:paraId="312FA669" w14:textId="77777777" w:rsidR="00C82386" w:rsidRDefault="00C82386">
            <w:pPr>
              <w:jc w:val="both"/>
              <w:rPr>
                <w:rFonts w:ascii="Times New Roman" w:eastAsia="Times New Roman" w:hAnsi="Times New Roman" w:cs="Times New Roman"/>
                <w:color w:val="000000"/>
                <w:sz w:val="24"/>
                <w:szCs w:val="24"/>
              </w:rPr>
            </w:pPr>
          </w:p>
          <w:p w14:paraId="0C0FEA22" w14:textId="77777777" w:rsidR="00C82386" w:rsidRDefault="00C82386">
            <w:pPr>
              <w:jc w:val="both"/>
              <w:rPr>
                <w:rFonts w:ascii="Times New Roman" w:eastAsia="Times New Roman" w:hAnsi="Times New Roman" w:cs="Times New Roman"/>
                <w:color w:val="000000"/>
                <w:sz w:val="24"/>
                <w:szCs w:val="24"/>
              </w:rPr>
            </w:pPr>
          </w:p>
          <w:p w14:paraId="5995C19D" w14:textId="77777777" w:rsidR="00C82386" w:rsidRDefault="00C82386">
            <w:pPr>
              <w:jc w:val="both"/>
              <w:rPr>
                <w:rFonts w:ascii="Times New Roman" w:eastAsia="Times New Roman" w:hAnsi="Times New Roman" w:cs="Times New Roman"/>
                <w:color w:val="000000"/>
                <w:sz w:val="24"/>
                <w:szCs w:val="24"/>
              </w:rPr>
            </w:pPr>
          </w:p>
          <w:p w14:paraId="613184C4" w14:textId="77777777" w:rsidR="00C82386" w:rsidRDefault="00C82386">
            <w:pPr>
              <w:jc w:val="both"/>
              <w:rPr>
                <w:rFonts w:ascii="Times New Roman" w:eastAsia="Times New Roman" w:hAnsi="Times New Roman" w:cs="Times New Roman"/>
                <w:color w:val="000000"/>
                <w:sz w:val="24"/>
                <w:szCs w:val="24"/>
              </w:rPr>
            </w:pPr>
          </w:p>
          <w:p w14:paraId="43BF4026" w14:textId="77777777" w:rsidR="00C82386" w:rsidRDefault="00C82386">
            <w:pPr>
              <w:jc w:val="both"/>
              <w:rPr>
                <w:rFonts w:ascii="Times New Roman" w:eastAsia="Times New Roman" w:hAnsi="Times New Roman" w:cs="Times New Roman"/>
                <w:color w:val="000000"/>
                <w:sz w:val="24"/>
                <w:szCs w:val="24"/>
              </w:rPr>
            </w:pPr>
          </w:p>
          <w:p w14:paraId="1B0CCFB1"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Загальні кліматичні питання (зміна погодних умов під час зими/літа).</w:t>
            </w:r>
          </w:p>
          <w:p w14:paraId="558883A1" w14:textId="77777777" w:rsidR="00C82386" w:rsidRDefault="00C82386">
            <w:pPr>
              <w:jc w:val="both"/>
              <w:rPr>
                <w:rFonts w:ascii="Times New Roman" w:eastAsia="Times New Roman" w:hAnsi="Times New Roman" w:cs="Times New Roman"/>
                <w:color w:val="000000"/>
                <w:sz w:val="24"/>
                <w:szCs w:val="24"/>
              </w:rPr>
            </w:pPr>
          </w:p>
          <w:p w14:paraId="712E988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1B3A1DEA" wp14:editId="1F9A4B50">
                  <wp:extent cx="3098288" cy="1990788"/>
                  <wp:effectExtent l="0" t="0" r="0" b="0"/>
                  <wp:docPr id="2144251971" name="image89.png" descr="C:\Users\olyar\Desktop\16_03_20\ecoclub\2020\адаптація\житомир\опитувальник\діаграми\зима стала.png"/>
                  <wp:cNvGraphicFramePr/>
                  <a:graphic xmlns:a="http://schemas.openxmlformats.org/drawingml/2006/main">
                    <a:graphicData uri="http://schemas.openxmlformats.org/drawingml/2006/picture">
                      <pic:pic xmlns:pic="http://schemas.openxmlformats.org/drawingml/2006/picture">
                        <pic:nvPicPr>
                          <pic:cNvPr id="0" name="image89.png" descr="C:\Users\olyar\Desktop\16_03_20\ecoclub\2020\адаптація\житомир\опитувальник\діаграми\зима стала.png"/>
                          <pic:cNvPicPr preferRelativeResize="0"/>
                        </pic:nvPicPr>
                        <pic:blipFill>
                          <a:blip r:embed="rId248"/>
                          <a:srcRect l="28126"/>
                          <a:stretch>
                            <a:fillRect/>
                          </a:stretch>
                        </pic:blipFill>
                        <pic:spPr>
                          <a:xfrm>
                            <a:off x="0" y="0"/>
                            <a:ext cx="3098288" cy="1990788"/>
                          </a:xfrm>
                          <a:prstGeom prst="rect">
                            <a:avLst/>
                          </a:prstGeom>
                          <a:ln/>
                        </pic:spPr>
                      </pic:pic>
                    </a:graphicData>
                  </a:graphic>
                </wp:inline>
              </w:drawing>
            </w:r>
            <w:r>
              <w:rPr>
                <w:rFonts w:ascii="Times New Roman" w:eastAsia="Times New Roman" w:hAnsi="Times New Roman" w:cs="Times New Roman"/>
                <w:color w:val="000000"/>
                <w:sz w:val="24"/>
                <w:szCs w:val="24"/>
              </w:rPr>
              <w:t xml:space="preserve">Зима стала: </w:t>
            </w:r>
          </w:p>
          <w:p w14:paraId="239E08C6" w14:textId="77777777" w:rsidR="00C82386" w:rsidRDefault="00C82386">
            <w:pPr>
              <w:jc w:val="both"/>
              <w:rPr>
                <w:rFonts w:ascii="Times New Roman" w:eastAsia="Times New Roman" w:hAnsi="Times New Roman" w:cs="Times New Roman"/>
                <w:color w:val="000000"/>
                <w:sz w:val="24"/>
                <w:szCs w:val="24"/>
              </w:rPr>
            </w:pPr>
          </w:p>
          <w:p w14:paraId="00C3617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Переважаюча більшість (78,9%) респондентів відмічають, що зима стала починатися пізніше, а закінчуватися раніше (42,2%). Снігу стало випадати менше (95,0%), а тривалість залягання снігового покриву скорочується (73,9% - випадає пізніше, 67,2% - тане раніше). Подібна ситуація спостерігається і з льодоставом (лід стає пізніше – 77,1%, сходить раніше – 67,2%). Водночас складності викликала оцінка наявності ожеледиці на дорогах та тротуарах (рідше трапляється – 40,8%, частіше трапляється – 36,9%) очевидно це викликано різними районами проживання опитуваних та різною якістю роботи комунальних служб. А от зростання частоти однієї з основних ознак змін клімату – різкого перепаду температур (сьогодні -5, завтра +4) відзначають 89,4% респондентів. </w:t>
            </w:r>
          </w:p>
          <w:p w14:paraId="627F8572" w14:textId="77777777" w:rsidR="00C82386" w:rsidRDefault="00C82386">
            <w:pPr>
              <w:jc w:val="both"/>
              <w:rPr>
                <w:rFonts w:ascii="Times New Roman" w:eastAsia="Times New Roman" w:hAnsi="Times New Roman" w:cs="Times New Roman"/>
                <w:color w:val="000000"/>
                <w:sz w:val="24"/>
                <w:szCs w:val="24"/>
              </w:rPr>
            </w:pPr>
          </w:p>
          <w:p w14:paraId="512F577B" w14:textId="77777777" w:rsidR="00C82386" w:rsidRDefault="00C82386">
            <w:pPr>
              <w:jc w:val="both"/>
              <w:rPr>
                <w:rFonts w:ascii="Times New Roman" w:eastAsia="Times New Roman" w:hAnsi="Times New Roman" w:cs="Times New Roman"/>
                <w:color w:val="000000"/>
                <w:sz w:val="24"/>
                <w:szCs w:val="24"/>
              </w:rPr>
            </w:pPr>
          </w:p>
          <w:p w14:paraId="203BF2A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Літо стало: </w:t>
            </w:r>
          </w:p>
          <w:p w14:paraId="36D9033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7D480377" wp14:editId="4EB9F067">
                  <wp:extent cx="3373755" cy="1670685"/>
                  <wp:effectExtent l="0" t="0" r="0" b="0"/>
                  <wp:docPr id="214425197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49"/>
                          <a:srcRect/>
                          <a:stretch>
                            <a:fillRect/>
                          </a:stretch>
                        </pic:blipFill>
                        <pic:spPr>
                          <a:xfrm>
                            <a:off x="0" y="0"/>
                            <a:ext cx="3373755" cy="1670685"/>
                          </a:xfrm>
                          <a:prstGeom prst="rect">
                            <a:avLst/>
                          </a:prstGeom>
                          <a:ln/>
                        </pic:spPr>
                      </pic:pic>
                    </a:graphicData>
                  </a:graphic>
                </wp:inline>
              </w:drawing>
            </w:r>
            <w:r>
              <w:rPr>
                <w:rFonts w:ascii="Times New Roman" w:eastAsia="Times New Roman" w:hAnsi="Times New Roman" w:cs="Times New Roman"/>
                <w:color w:val="000000"/>
                <w:sz w:val="24"/>
                <w:szCs w:val="24"/>
              </w:rPr>
              <w:br/>
            </w:r>
          </w:p>
          <w:p w14:paraId="3E5DAD00" w14:textId="77777777" w:rsidR="00C82386" w:rsidRDefault="00C82386">
            <w:pPr>
              <w:jc w:val="both"/>
              <w:rPr>
                <w:rFonts w:ascii="Times New Roman" w:eastAsia="Times New Roman" w:hAnsi="Times New Roman" w:cs="Times New Roman"/>
                <w:color w:val="000000"/>
                <w:sz w:val="24"/>
                <w:szCs w:val="24"/>
              </w:rPr>
            </w:pPr>
          </w:p>
          <w:p w14:paraId="2AC2A62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Частина респондентів відмічають, що літо стало починатися (40,0 %) і закінчуватися (52,2%) пізніше. Водночас частина має протилежну точку </w:t>
            </w:r>
            <w:r>
              <w:rPr>
                <w:rFonts w:ascii="Times New Roman" w:eastAsia="Times New Roman" w:hAnsi="Times New Roman" w:cs="Times New Roman"/>
                <w:color w:val="000000"/>
                <w:sz w:val="24"/>
                <w:szCs w:val="24"/>
              </w:rPr>
              <w:lastRenderedPageBreak/>
              <w:t xml:space="preserve">зору і відчувають, що літо стало починатися (41,1 %) і закінчуватися (20,0%) раніше.  </w:t>
            </w:r>
          </w:p>
          <w:p w14:paraId="086DE9A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Зате практично одностайні вони у зростання частоти однієї з основних ознак змін клімату – різкого перепаду температур (сьогодні +15, завтра +25) відзначають 87,2% респондентів. </w:t>
            </w:r>
          </w:p>
          <w:p w14:paraId="7BA8CB28" w14:textId="77777777" w:rsidR="00C82386" w:rsidRDefault="00E66F64">
            <w:pPr>
              <w:spacing w:before="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Немає одностайності в оцінці інтенсивності дощів: 38,9% вважають, що їх кількість зросла, а 35,6% - що зменшилась. Проте кількості дощових днів зросла на думку 61,7% мешканців і на 51,1% зросла кількість гроз і штормів. </w:t>
            </w:r>
          </w:p>
          <w:p w14:paraId="1586BF89" w14:textId="77777777" w:rsidR="00C82386" w:rsidRDefault="00E66F64">
            <w:pPr>
              <w:spacing w:before="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Зміщення природних сезонів є характерною ознакою змін клімату. Опитування показує, що мешканці відчувають подовження тривалості міжсезоння  - осені та весни. Більшість опитуваних відзначають скорочення тривалості зими, в той час, як літо за їх відчуттями починається пізніше. </w:t>
            </w:r>
          </w:p>
          <w:p w14:paraId="6D6EA3F0" w14:textId="77777777" w:rsidR="00C82386" w:rsidRDefault="00C82386">
            <w:pPr>
              <w:jc w:val="both"/>
              <w:rPr>
                <w:rFonts w:ascii="Times New Roman" w:eastAsia="Times New Roman" w:hAnsi="Times New Roman" w:cs="Times New Roman"/>
                <w:color w:val="000000"/>
                <w:sz w:val="24"/>
                <w:szCs w:val="24"/>
              </w:rPr>
            </w:pPr>
          </w:p>
          <w:p w14:paraId="48941EBB" w14:textId="77777777" w:rsidR="00C82386" w:rsidRDefault="00C82386">
            <w:pPr>
              <w:jc w:val="both"/>
              <w:rPr>
                <w:rFonts w:ascii="Times New Roman" w:eastAsia="Times New Roman" w:hAnsi="Times New Roman" w:cs="Times New Roman"/>
                <w:color w:val="000000"/>
                <w:sz w:val="24"/>
                <w:szCs w:val="24"/>
              </w:rPr>
            </w:pPr>
          </w:p>
          <w:p w14:paraId="756BBF2D" w14:textId="77777777" w:rsidR="00C82386" w:rsidRDefault="00C82386">
            <w:pPr>
              <w:jc w:val="both"/>
              <w:rPr>
                <w:rFonts w:ascii="Times New Roman" w:eastAsia="Times New Roman" w:hAnsi="Times New Roman" w:cs="Times New Roman"/>
                <w:color w:val="000000"/>
                <w:sz w:val="24"/>
                <w:szCs w:val="24"/>
              </w:rPr>
            </w:pPr>
          </w:p>
          <w:p w14:paraId="419219FC" w14:textId="77777777" w:rsidR="00C82386" w:rsidRDefault="00C82386">
            <w:pPr>
              <w:jc w:val="both"/>
              <w:rPr>
                <w:rFonts w:ascii="Times New Roman" w:eastAsia="Times New Roman" w:hAnsi="Times New Roman" w:cs="Times New Roman"/>
                <w:color w:val="000000"/>
                <w:sz w:val="24"/>
                <w:szCs w:val="24"/>
              </w:rPr>
            </w:pPr>
          </w:p>
          <w:p w14:paraId="1CFB9D1C"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Оцінка інфраструктури міста і її пристосованості до змін клімату</w:t>
            </w:r>
          </w:p>
          <w:p w14:paraId="7BC6F65D" w14:textId="77777777" w:rsidR="00C82386" w:rsidRDefault="00C82386">
            <w:pPr>
              <w:jc w:val="both"/>
              <w:rPr>
                <w:rFonts w:ascii="Times New Roman" w:eastAsia="Times New Roman" w:hAnsi="Times New Roman" w:cs="Times New Roman"/>
                <w:color w:val="000000"/>
                <w:sz w:val="24"/>
                <w:szCs w:val="24"/>
              </w:rPr>
            </w:pPr>
          </w:p>
          <w:p w14:paraId="1AE63AA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Більшість мешканців Житомира помічають зміни клімату у повсякденному житті:</w:t>
            </w:r>
          </w:p>
          <w:p w14:paraId="0D65160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4E488924" wp14:editId="4FC20F3B">
                  <wp:extent cx="3373755" cy="1672590"/>
                  <wp:effectExtent l="0" t="0" r="0" b="0"/>
                  <wp:docPr id="2144251966"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50"/>
                          <a:srcRect/>
                          <a:stretch>
                            <a:fillRect/>
                          </a:stretch>
                        </pic:blipFill>
                        <pic:spPr>
                          <a:xfrm>
                            <a:off x="0" y="0"/>
                            <a:ext cx="3373755" cy="1672590"/>
                          </a:xfrm>
                          <a:prstGeom prst="rect">
                            <a:avLst/>
                          </a:prstGeom>
                          <a:ln/>
                        </pic:spPr>
                      </pic:pic>
                    </a:graphicData>
                  </a:graphic>
                </wp:inline>
              </w:drawing>
            </w:r>
            <w:r>
              <w:rPr>
                <w:rFonts w:ascii="Times New Roman" w:eastAsia="Times New Roman" w:hAnsi="Times New Roman" w:cs="Times New Roman"/>
                <w:color w:val="000000"/>
                <w:sz w:val="24"/>
                <w:szCs w:val="24"/>
              </w:rPr>
              <w:t xml:space="preserve">На вразливість населення до змін клімату впливають різні фактори, як природні так і інфраструктурні. В умовах міста, коли природні фактори жорстко підпорядковані інфраструктурним – важливою задачею є виявлення найбільш вразливих елементів міської інфраструктури. Враховуючи прогнозні зростання температур та пролонгування тривалості теплої пори року акцент в опитуванні зроблений на виявленні фактори вразливості міста до екстремальної спеки (ризиків теплового стресу) та вразливості зелених зон. </w:t>
            </w:r>
          </w:p>
          <w:p w14:paraId="7A0AB998" w14:textId="77777777" w:rsidR="00C82386" w:rsidRDefault="00C82386">
            <w:pPr>
              <w:jc w:val="both"/>
              <w:rPr>
                <w:rFonts w:ascii="Times New Roman" w:eastAsia="Times New Roman" w:hAnsi="Times New Roman" w:cs="Times New Roman"/>
                <w:color w:val="000000"/>
                <w:sz w:val="24"/>
                <w:szCs w:val="24"/>
              </w:rPr>
            </w:pPr>
          </w:p>
          <w:p w14:paraId="087EFF1F" w14:textId="77777777" w:rsidR="00C82386" w:rsidRDefault="00C82386">
            <w:pPr>
              <w:jc w:val="both"/>
              <w:rPr>
                <w:rFonts w:ascii="Times New Roman" w:eastAsia="Times New Roman" w:hAnsi="Times New Roman" w:cs="Times New Roman"/>
                <w:color w:val="000000"/>
                <w:sz w:val="24"/>
                <w:szCs w:val="24"/>
              </w:rPr>
            </w:pPr>
          </w:p>
          <w:p w14:paraId="0B0E085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загальному більшість респондентів відзначають недостатність елементів інфраструктури, що здатні </w:t>
            </w:r>
            <w:r>
              <w:rPr>
                <w:rFonts w:ascii="Times New Roman" w:eastAsia="Times New Roman" w:hAnsi="Times New Roman" w:cs="Times New Roman"/>
                <w:color w:val="000000"/>
                <w:sz w:val="24"/>
                <w:szCs w:val="24"/>
              </w:rPr>
              <w:lastRenderedPageBreak/>
              <w:t xml:space="preserve">зменшити тепловий вплив, так всього 26,1% респондентів вважають, що кількість затінених ділянок вулиці від дерев достатній, в той час, як 71,1% вважають, що таких ділянок мало. Водночас більшість (біля 60%) опитуваних відзначають, що до найближчий парк/сквер/сад розташований на відстані в межах одного кілометру  від їх помешкання або роботи. Причому 61,1% опитуваних вважають, наявних скверів, садів та парків в місті мало і лише 31,1% вважають, що їх достатньо. </w:t>
            </w:r>
          </w:p>
          <w:p w14:paraId="34623D9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 от найближча прогулянкова зона біля водойми знаходиться в середньому в межах 2-4х км від помешкання або місця роботи. Проте їх облаштованістю незадоволено 83,9% мешканців. Стан води, на думку 66,7% мешканців, не дозволяє купатися у водоймах, що знаходяться в межах міста, а 10,6% нехтують забороною на купання, хоча й знають про нею.</w:t>
            </w:r>
          </w:p>
          <w:p w14:paraId="37E23AE7" w14:textId="77777777" w:rsidR="00C82386" w:rsidRDefault="00C82386">
            <w:pPr>
              <w:jc w:val="both"/>
              <w:rPr>
                <w:rFonts w:ascii="Times New Roman" w:eastAsia="Times New Roman" w:hAnsi="Times New Roman" w:cs="Times New Roman"/>
                <w:color w:val="000000"/>
                <w:sz w:val="24"/>
                <w:szCs w:val="24"/>
              </w:rPr>
            </w:pPr>
          </w:p>
          <w:p w14:paraId="7CFA705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Оцінки мешканців щодо площ природного покриття ґрунту (трава, газони, клумби) дещо розділилися.  50,0% респондентів оцінюють площу природного покриття недостатньою,  у той час 37,8% вважають достатньою. </w:t>
            </w:r>
          </w:p>
          <w:p w14:paraId="2EB534FE" w14:textId="77777777" w:rsidR="00C82386" w:rsidRDefault="00C82386">
            <w:pPr>
              <w:jc w:val="both"/>
              <w:rPr>
                <w:rFonts w:ascii="Times New Roman" w:eastAsia="Times New Roman" w:hAnsi="Times New Roman" w:cs="Times New Roman"/>
                <w:b/>
                <w:color w:val="000000"/>
                <w:sz w:val="24"/>
                <w:szCs w:val="24"/>
              </w:rPr>
            </w:pPr>
          </w:p>
          <w:p w14:paraId="78BEB755"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Вплив змін клімату на системи життєзабезпечення міста. </w:t>
            </w:r>
          </w:p>
          <w:p w14:paraId="478C278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Міська інфраструктура та фінансове забезпечення її функціонування і реновацій грає вирішальну роль в адаптації містян до змін клімату. Виявленню проблем, які відчувають містяни присвячений наступний блок опитувальника. </w:t>
            </w:r>
          </w:p>
          <w:p w14:paraId="66D50C0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Прямий вплив на здоров’я та добробут населення має якість та кількість питної води – вразливість до погіршення якості та зменшення кількості питної води є одним з визначних індикаторів для оцінки вразливості. </w:t>
            </w:r>
          </w:p>
          <w:p w14:paraId="163B6C45" w14:textId="77777777" w:rsidR="00C82386" w:rsidRDefault="00C82386">
            <w:pPr>
              <w:jc w:val="both"/>
              <w:rPr>
                <w:rFonts w:ascii="Times New Roman" w:eastAsia="Times New Roman" w:hAnsi="Times New Roman" w:cs="Times New Roman"/>
                <w:color w:val="000000"/>
                <w:sz w:val="24"/>
                <w:szCs w:val="24"/>
              </w:rPr>
            </w:pPr>
          </w:p>
          <w:p w14:paraId="00B552F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Опитувані скаржаться на нестабільний  </w:t>
            </w:r>
            <w:r>
              <w:rPr>
                <w:rFonts w:ascii="Times New Roman" w:eastAsia="Times New Roman" w:hAnsi="Times New Roman" w:cs="Times New Roman"/>
                <w:color w:val="000000"/>
                <w:sz w:val="24"/>
                <w:szCs w:val="24"/>
                <w:u w:val="single"/>
              </w:rPr>
              <w:t>стан роботи водопровідної мережі</w:t>
            </w:r>
            <w:r>
              <w:rPr>
                <w:rFonts w:ascii="Times New Roman" w:eastAsia="Times New Roman" w:hAnsi="Times New Roman" w:cs="Times New Roman"/>
                <w:color w:val="000000"/>
                <w:sz w:val="24"/>
                <w:szCs w:val="24"/>
              </w:rPr>
              <w:t xml:space="preserve">, 35% зауважили, що відбуваються регулярні відключення, а 59,4% відмітили, що відключення води відбуваються лише деколи, причому 55% стверджують, що аварії водопровідної мережі часто трапляються, а 40% - що це стається періодично. </w:t>
            </w:r>
          </w:p>
          <w:p w14:paraId="473D3EB3" w14:textId="77777777" w:rsidR="00C82386" w:rsidRDefault="00C82386">
            <w:pPr>
              <w:jc w:val="both"/>
              <w:rPr>
                <w:rFonts w:ascii="Times New Roman" w:eastAsia="Times New Roman" w:hAnsi="Times New Roman" w:cs="Times New Roman"/>
                <w:color w:val="000000"/>
                <w:sz w:val="24"/>
                <w:szCs w:val="24"/>
              </w:rPr>
            </w:pPr>
          </w:p>
          <w:p w14:paraId="139B38D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Проте значну недовіру викликає </w:t>
            </w:r>
            <w:r>
              <w:rPr>
                <w:rFonts w:ascii="Times New Roman" w:eastAsia="Times New Roman" w:hAnsi="Times New Roman" w:cs="Times New Roman"/>
                <w:color w:val="000000"/>
                <w:sz w:val="24"/>
                <w:szCs w:val="24"/>
                <w:u w:val="single"/>
              </w:rPr>
              <w:t>якість питної води</w:t>
            </w:r>
            <w:r>
              <w:rPr>
                <w:rFonts w:ascii="Times New Roman" w:eastAsia="Times New Roman" w:hAnsi="Times New Roman" w:cs="Times New Roman"/>
                <w:color w:val="000000"/>
                <w:sz w:val="24"/>
                <w:szCs w:val="24"/>
              </w:rPr>
              <w:t xml:space="preserve">: </w:t>
            </w:r>
          </w:p>
          <w:p w14:paraId="44E1417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83,3% купують воду, ще 8,3% додатково її фільтрують. Доступ до питної води не вдома також проблематичний – лише 3,3% респондентів вважають, що доступ до неї вільний, натомість </w:t>
            </w:r>
            <w:r>
              <w:rPr>
                <w:rFonts w:ascii="Times New Roman" w:eastAsia="Times New Roman" w:hAnsi="Times New Roman" w:cs="Times New Roman"/>
                <w:color w:val="000000"/>
                <w:sz w:val="24"/>
                <w:szCs w:val="24"/>
              </w:rPr>
              <w:lastRenderedPageBreak/>
              <w:t xml:space="preserve">65,6% вважають, що доступу до питної води не має, а 18,3% лише інколи можуть задовольнити свою потребу в питній воді. </w:t>
            </w:r>
            <w:r>
              <w:rPr>
                <w:noProof/>
                <w:lang w:val="ru-RU"/>
              </w:rPr>
              <w:drawing>
                <wp:anchor distT="0" distB="0" distL="114300" distR="114300" simplePos="0" relativeHeight="251666432" behindDoc="0" locked="0" layoutInCell="1" hidden="0" allowOverlap="1" wp14:anchorId="62CF2C83" wp14:editId="40EB94E0">
                  <wp:simplePos x="0" y="0"/>
                  <wp:positionH relativeFrom="column">
                    <wp:posOffset>1</wp:posOffset>
                  </wp:positionH>
                  <wp:positionV relativeFrom="paragraph">
                    <wp:posOffset>635</wp:posOffset>
                  </wp:positionV>
                  <wp:extent cx="4095750" cy="1656857"/>
                  <wp:effectExtent l="0" t="0" r="0" b="0"/>
                  <wp:wrapSquare wrapText="bothSides" distT="0" distB="0" distL="114300" distR="114300"/>
                  <wp:docPr id="2144252007" name="image124.png" descr="C:\Users\olyar\Desktop\16_03_20\ecoclub\2020\адаптація\житомир\опитувальник\діаграми\питна вода.png"/>
                  <wp:cNvGraphicFramePr/>
                  <a:graphic xmlns:a="http://schemas.openxmlformats.org/drawingml/2006/main">
                    <a:graphicData uri="http://schemas.openxmlformats.org/drawingml/2006/picture">
                      <pic:pic xmlns:pic="http://schemas.openxmlformats.org/drawingml/2006/picture">
                        <pic:nvPicPr>
                          <pic:cNvPr id="0" name="image124.png" descr="C:\Users\olyar\Desktop\16_03_20\ecoclub\2020\адаптація\житомир\опитувальник\діаграми\питна вода.png"/>
                          <pic:cNvPicPr preferRelativeResize="0"/>
                        </pic:nvPicPr>
                        <pic:blipFill>
                          <a:blip r:embed="rId251"/>
                          <a:srcRect/>
                          <a:stretch>
                            <a:fillRect/>
                          </a:stretch>
                        </pic:blipFill>
                        <pic:spPr>
                          <a:xfrm>
                            <a:off x="0" y="0"/>
                            <a:ext cx="4095750" cy="1656857"/>
                          </a:xfrm>
                          <a:prstGeom prst="rect">
                            <a:avLst/>
                          </a:prstGeom>
                          <a:ln/>
                        </pic:spPr>
                      </pic:pic>
                    </a:graphicData>
                  </a:graphic>
                </wp:anchor>
              </w:drawing>
            </w:r>
          </w:p>
          <w:p w14:paraId="109846A6" w14:textId="77777777" w:rsidR="00C82386" w:rsidRDefault="00C82386">
            <w:pPr>
              <w:jc w:val="both"/>
              <w:rPr>
                <w:rFonts w:ascii="Times New Roman" w:eastAsia="Times New Roman" w:hAnsi="Times New Roman" w:cs="Times New Roman"/>
                <w:color w:val="000000"/>
                <w:sz w:val="24"/>
                <w:szCs w:val="24"/>
              </w:rPr>
            </w:pPr>
          </w:p>
          <w:p w14:paraId="3CDB036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Не зовсім стабільна ситуація і з </w:t>
            </w:r>
            <w:r>
              <w:rPr>
                <w:rFonts w:ascii="Times New Roman" w:eastAsia="Times New Roman" w:hAnsi="Times New Roman" w:cs="Times New Roman"/>
                <w:color w:val="000000"/>
                <w:sz w:val="24"/>
                <w:szCs w:val="24"/>
                <w:u w:val="single"/>
              </w:rPr>
              <w:t>постачанням електроенергії</w:t>
            </w:r>
            <w:r>
              <w:rPr>
                <w:rFonts w:ascii="Times New Roman" w:eastAsia="Times New Roman" w:hAnsi="Times New Roman" w:cs="Times New Roman"/>
                <w:color w:val="000000"/>
                <w:sz w:val="24"/>
                <w:szCs w:val="24"/>
              </w:rPr>
              <w:t xml:space="preserve"> – у 8,3% відключення відбуваються регулярно, 65,6% відзначають, що  відключення електроенергії  відбуваються лише деколи, а 22,8% взагалі не зазнають відключень. Щодо ситуацій із відключеннями з-за обриву електромереж внаслідок стихійних явищ - 63,3% відзначають, що такі відключення електроенергії  відбуваються лише деколи, а 23,3% взагалі не зазнають відключень і 8,9% - складно відповісти.</w:t>
            </w:r>
          </w:p>
          <w:p w14:paraId="391F647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Подібна ситуація із </w:t>
            </w:r>
            <w:r>
              <w:rPr>
                <w:rFonts w:ascii="Times New Roman" w:eastAsia="Times New Roman" w:hAnsi="Times New Roman" w:cs="Times New Roman"/>
                <w:color w:val="000000"/>
                <w:sz w:val="24"/>
                <w:szCs w:val="24"/>
                <w:u w:val="single"/>
              </w:rPr>
              <w:t>централізованим опаленням</w:t>
            </w:r>
            <w:r>
              <w:rPr>
                <w:rFonts w:ascii="Times New Roman" w:eastAsia="Times New Roman" w:hAnsi="Times New Roman" w:cs="Times New Roman"/>
                <w:color w:val="000000"/>
                <w:sz w:val="24"/>
                <w:szCs w:val="24"/>
              </w:rPr>
              <w:t xml:space="preserve"> – 48,3% - не пам’ятають відключень, 26,1% лише деколи стикалися з відключеннями, а 21,1% - не можуть відповісти на це питання. </w:t>
            </w:r>
          </w:p>
          <w:p w14:paraId="045EB481" w14:textId="77777777" w:rsidR="00C82386" w:rsidRDefault="00C82386">
            <w:pPr>
              <w:jc w:val="both"/>
              <w:rPr>
                <w:rFonts w:ascii="Times New Roman" w:eastAsia="Times New Roman" w:hAnsi="Times New Roman" w:cs="Times New Roman"/>
                <w:color w:val="000000"/>
                <w:sz w:val="24"/>
                <w:szCs w:val="24"/>
              </w:rPr>
            </w:pPr>
          </w:p>
          <w:p w14:paraId="403F68F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Внаслідок змін клімату, а саме – зростання кількості днів із аномальною або нетипово сезонною кількістю опадів  - зростають ризики підтоплення окремих районів міст, що відображено і у відповідях містян. </w:t>
            </w:r>
          </w:p>
          <w:tbl>
            <w:tblPr>
              <w:tblStyle w:val="afffffffff9"/>
              <w:tblW w:w="551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1587"/>
              <w:gridCol w:w="1701"/>
              <w:gridCol w:w="2226"/>
            </w:tblGrid>
            <w:tr w:rsidR="00C82386" w14:paraId="4CCCE71F" w14:textId="77777777">
              <w:trPr>
                <w:trHeight w:val="2379"/>
              </w:trPr>
              <w:tc>
                <w:tcPr>
                  <w:tcW w:w="1587" w:type="dxa"/>
                </w:tcPr>
                <w:p w14:paraId="5BAABD18"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Підтоплення перших поверхів будинків/підвалів</w:t>
                  </w:r>
                </w:p>
              </w:tc>
              <w:tc>
                <w:tcPr>
                  <w:tcW w:w="1701" w:type="dxa"/>
                </w:tcPr>
                <w:p w14:paraId="40253B1A"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Підтоплення дворів/вулиць під час злив</w:t>
                  </w:r>
                </w:p>
              </w:tc>
              <w:tc>
                <w:tcPr>
                  <w:tcW w:w="2226" w:type="dxa"/>
                </w:tcPr>
                <w:p w14:paraId="6F59382C"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Підтоплення дворів/будинків внаслідок підняття рівня води у водоймах в межах м. Житомира</w:t>
                  </w:r>
                </w:p>
              </w:tc>
            </w:tr>
            <w:tr w:rsidR="00C82386" w14:paraId="4AE04A75" w14:textId="77777777">
              <w:trPr>
                <w:trHeight w:val="2379"/>
              </w:trPr>
              <w:tc>
                <w:tcPr>
                  <w:tcW w:w="1587" w:type="dxa"/>
                </w:tcPr>
                <w:p w14:paraId="6BCB62E8"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28BB35CF" wp14:editId="310C1746">
                        <wp:extent cx="985135" cy="964526"/>
                        <wp:effectExtent l="0" t="0" r="0" b="0"/>
                        <wp:docPr id="2144251967" name="image75.png" descr="C:\Users\olyar\Desktop\16_03_20\ecoclub\2020\адаптація\житомир\опитувальник\діаграми\підтоплення 1 поверхів.png"/>
                        <wp:cNvGraphicFramePr/>
                        <a:graphic xmlns:a="http://schemas.openxmlformats.org/drawingml/2006/main">
                          <a:graphicData uri="http://schemas.openxmlformats.org/drawingml/2006/picture">
                            <pic:pic xmlns:pic="http://schemas.openxmlformats.org/drawingml/2006/picture">
                              <pic:nvPicPr>
                                <pic:cNvPr id="0" name="image75.png" descr="C:\Users\olyar\Desktop\16_03_20\ecoclub\2020\адаптація\житомир\опитувальник\діаграми\підтоплення 1 поверхів.png"/>
                                <pic:cNvPicPr preferRelativeResize="0"/>
                              </pic:nvPicPr>
                              <pic:blipFill>
                                <a:blip r:embed="rId252"/>
                                <a:srcRect/>
                                <a:stretch>
                                  <a:fillRect/>
                                </a:stretch>
                              </pic:blipFill>
                              <pic:spPr>
                                <a:xfrm>
                                  <a:off x="0" y="0"/>
                                  <a:ext cx="985135" cy="964526"/>
                                </a:xfrm>
                                <a:prstGeom prst="rect">
                                  <a:avLst/>
                                </a:prstGeom>
                                <a:ln/>
                              </pic:spPr>
                            </pic:pic>
                          </a:graphicData>
                        </a:graphic>
                      </wp:inline>
                    </w:drawing>
                  </w:r>
                </w:p>
              </w:tc>
              <w:tc>
                <w:tcPr>
                  <w:tcW w:w="1701" w:type="dxa"/>
                </w:tcPr>
                <w:p w14:paraId="749E4588" w14:textId="77777777" w:rsidR="00C82386" w:rsidRDefault="008C1685">
                  <w:pPr>
                    <w:jc w:val="both"/>
                    <w:rPr>
                      <w:rFonts w:ascii="Times New Roman" w:eastAsia="Times New Roman" w:hAnsi="Times New Roman" w:cs="Times New Roman"/>
                      <w:sz w:val="24"/>
                      <w:szCs w:val="24"/>
                    </w:rPr>
                  </w:pPr>
                  <w:r>
                    <w:rPr>
                      <w:noProof/>
                      <w:lang w:val="ru-RU"/>
                    </w:rPr>
                    <w:drawing>
                      <wp:anchor distT="0" distB="0" distL="0" distR="0" simplePos="0" relativeHeight="251667456" behindDoc="1" locked="0" layoutInCell="1" hidden="0" allowOverlap="1" wp14:anchorId="37E5A070" wp14:editId="7F48B184">
                        <wp:simplePos x="0" y="0"/>
                        <wp:positionH relativeFrom="column">
                          <wp:posOffset>-156210</wp:posOffset>
                        </wp:positionH>
                        <wp:positionV relativeFrom="paragraph">
                          <wp:posOffset>1041400</wp:posOffset>
                        </wp:positionV>
                        <wp:extent cx="1654748" cy="947284"/>
                        <wp:effectExtent l="0" t="0" r="0" b="0"/>
                        <wp:wrapNone/>
                        <wp:docPr id="2144252005" name="image126.png" descr="Зображення, що містить текст, знімок екран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6.png" descr="Зображення, що містить текст, знімок екрана, Шрифт&#10;&#10;Автоматично згенерований опис"/>
                                <pic:cNvPicPr preferRelativeResize="0"/>
                              </pic:nvPicPr>
                              <pic:blipFill>
                                <a:blip r:embed="rId253"/>
                                <a:srcRect/>
                                <a:stretch>
                                  <a:fillRect/>
                                </a:stretch>
                              </pic:blipFill>
                              <pic:spPr>
                                <a:xfrm>
                                  <a:off x="0" y="0"/>
                                  <a:ext cx="1654748" cy="947284"/>
                                </a:xfrm>
                                <a:prstGeom prst="rect">
                                  <a:avLst/>
                                </a:prstGeom>
                                <a:ln/>
                              </pic:spPr>
                            </pic:pic>
                          </a:graphicData>
                        </a:graphic>
                      </wp:anchor>
                    </w:drawing>
                  </w:r>
                  <w:r w:rsidR="00E66F64">
                    <w:rPr>
                      <w:rFonts w:ascii="Times New Roman" w:eastAsia="Times New Roman" w:hAnsi="Times New Roman" w:cs="Times New Roman"/>
                      <w:noProof/>
                      <w:sz w:val="24"/>
                      <w:szCs w:val="24"/>
                      <w:lang w:val="ru-RU"/>
                    </w:rPr>
                    <w:drawing>
                      <wp:inline distT="0" distB="0" distL="0" distR="0" wp14:anchorId="22CF0413" wp14:editId="7ADC0EC3">
                        <wp:extent cx="940021" cy="896757"/>
                        <wp:effectExtent l="0" t="0" r="0" b="0"/>
                        <wp:docPr id="2144251964" name="image92.png" descr="C:\Users\olyar\Desktop\16_03_20\ecoclub\2020\адаптація\житомир\опитувальник\діаграми\підтоплення під час злив.png"/>
                        <wp:cNvGraphicFramePr/>
                        <a:graphic xmlns:a="http://schemas.openxmlformats.org/drawingml/2006/main">
                          <a:graphicData uri="http://schemas.openxmlformats.org/drawingml/2006/picture">
                            <pic:pic xmlns:pic="http://schemas.openxmlformats.org/drawingml/2006/picture">
                              <pic:nvPicPr>
                                <pic:cNvPr id="0" name="image92.png" descr="C:\Users\olyar\Desktop\16_03_20\ecoclub\2020\адаптація\житомир\опитувальник\діаграми\підтоплення під час злив.png"/>
                                <pic:cNvPicPr preferRelativeResize="0"/>
                              </pic:nvPicPr>
                              <pic:blipFill>
                                <a:blip r:embed="rId254"/>
                                <a:srcRect/>
                                <a:stretch>
                                  <a:fillRect/>
                                </a:stretch>
                              </pic:blipFill>
                              <pic:spPr>
                                <a:xfrm>
                                  <a:off x="0" y="0"/>
                                  <a:ext cx="940021" cy="896757"/>
                                </a:xfrm>
                                <a:prstGeom prst="rect">
                                  <a:avLst/>
                                </a:prstGeom>
                                <a:ln/>
                              </pic:spPr>
                            </pic:pic>
                          </a:graphicData>
                        </a:graphic>
                      </wp:inline>
                    </w:drawing>
                  </w:r>
                </w:p>
              </w:tc>
              <w:tc>
                <w:tcPr>
                  <w:tcW w:w="2226" w:type="dxa"/>
                </w:tcPr>
                <w:p w14:paraId="76DE57EE" w14:textId="77777777" w:rsidR="00C82386" w:rsidRDefault="00E66F64">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w:drawing>
                      <wp:inline distT="0" distB="0" distL="0" distR="0" wp14:anchorId="672F4214" wp14:editId="1B06E132">
                        <wp:extent cx="1272877" cy="1188418"/>
                        <wp:effectExtent l="0" t="0" r="0" b="0"/>
                        <wp:docPr id="2144251978" name="image94.png" descr="Зображення, що містить текст, логотип, коло,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94.png" descr="Зображення, що містить текст, логотип, коло, Шрифт&#10;&#10;Автоматично згенерований опис"/>
                                <pic:cNvPicPr preferRelativeResize="0"/>
                              </pic:nvPicPr>
                              <pic:blipFill>
                                <a:blip r:embed="rId255"/>
                                <a:srcRect/>
                                <a:stretch>
                                  <a:fillRect/>
                                </a:stretch>
                              </pic:blipFill>
                              <pic:spPr>
                                <a:xfrm>
                                  <a:off x="0" y="0"/>
                                  <a:ext cx="1272877" cy="1188418"/>
                                </a:xfrm>
                                <a:prstGeom prst="rect">
                                  <a:avLst/>
                                </a:prstGeom>
                                <a:ln/>
                              </pic:spPr>
                            </pic:pic>
                          </a:graphicData>
                        </a:graphic>
                      </wp:inline>
                    </w:drawing>
                  </w:r>
                </w:p>
              </w:tc>
            </w:tr>
          </w:tbl>
          <w:p w14:paraId="1995543B" w14:textId="77777777" w:rsidR="00C82386" w:rsidRDefault="00C82386">
            <w:pPr>
              <w:jc w:val="both"/>
              <w:rPr>
                <w:rFonts w:ascii="Times New Roman" w:eastAsia="Times New Roman" w:hAnsi="Times New Roman" w:cs="Times New Roman"/>
                <w:color w:val="000000"/>
                <w:sz w:val="24"/>
                <w:szCs w:val="24"/>
              </w:rPr>
            </w:pPr>
          </w:p>
          <w:p w14:paraId="10CD1A3A" w14:textId="77777777" w:rsidR="00C82386" w:rsidRDefault="00C82386">
            <w:pPr>
              <w:jc w:val="both"/>
              <w:rPr>
                <w:rFonts w:ascii="Times New Roman" w:eastAsia="Times New Roman" w:hAnsi="Times New Roman" w:cs="Times New Roman"/>
                <w:color w:val="000000"/>
                <w:sz w:val="24"/>
                <w:szCs w:val="24"/>
              </w:rPr>
            </w:pPr>
          </w:p>
          <w:p w14:paraId="2773DECA" w14:textId="77777777" w:rsidR="00C82386" w:rsidRDefault="00C82386">
            <w:pPr>
              <w:jc w:val="both"/>
              <w:rPr>
                <w:rFonts w:ascii="Times New Roman" w:eastAsia="Times New Roman" w:hAnsi="Times New Roman" w:cs="Times New Roman"/>
                <w:color w:val="000000"/>
                <w:sz w:val="24"/>
                <w:szCs w:val="24"/>
              </w:rPr>
            </w:pPr>
          </w:p>
          <w:p w14:paraId="2336BC4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Тут варто врахувати, що підтоплення залежить від району міста, в якому проживає респондент, типу будинку (багатоповерхівка, не на першому поверсі тощо). </w:t>
            </w:r>
          </w:p>
          <w:p w14:paraId="05E2DCC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Ситуація з протіканням дахів під час сильних злив: у 35,6% респондентів дах протікає регулярно, а у 44,4% не траплялося але вони знають про існування такої проблеми, лише 7,2%  респондентів ніколи не чули і не стикалися з протіканням дахів. </w:t>
            </w:r>
          </w:p>
          <w:p w14:paraId="6B3C42A3" w14:textId="77777777" w:rsidR="00C82386" w:rsidRDefault="00C82386">
            <w:pPr>
              <w:jc w:val="both"/>
              <w:rPr>
                <w:rFonts w:ascii="Times New Roman" w:eastAsia="Times New Roman" w:hAnsi="Times New Roman" w:cs="Times New Roman"/>
                <w:color w:val="000000"/>
                <w:sz w:val="24"/>
                <w:szCs w:val="24"/>
              </w:rPr>
            </w:pPr>
          </w:p>
          <w:p w14:paraId="01D5559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Зливова каналізація приймає на себе головний удар злив, враховуючи, що внаслідок змін клімату зростатиме частота та інтенсивність злив – необхідно оцінити її стан. 67,8% респондентів відзначили відсутність або поганий технічний стан зливової каналізації, а 20,0% знають/чули про таку проблему. </w:t>
            </w:r>
          </w:p>
          <w:p w14:paraId="70412465" w14:textId="77777777" w:rsidR="00C82386" w:rsidRDefault="00C82386">
            <w:pPr>
              <w:jc w:val="both"/>
              <w:rPr>
                <w:rFonts w:ascii="Times New Roman" w:eastAsia="Times New Roman" w:hAnsi="Times New Roman" w:cs="Times New Roman"/>
                <w:color w:val="000000"/>
                <w:sz w:val="24"/>
                <w:szCs w:val="24"/>
              </w:rPr>
            </w:pPr>
          </w:p>
          <w:p w14:paraId="0E1E2CC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Руйнування (в тому числі часткове) будинків і споруд внаслідок негоди (сильного вітру, дощу і подібного) зазнавало 7,2% респондентів і 50,6% знає про такі випадки. </w:t>
            </w:r>
          </w:p>
          <w:p w14:paraId="36A8C967" w14:textId="77777777" w:rsidR="00C82386" w:rsidRDefault="00C82386">
            <w:pPr>
              <w:jc w:val="both"/>
              <w:rPr>
                <w:rFonts w:ascii="Times New Roman" w:eastAsia="Times New Roman" w:hAnsi="Times New Roman" w:cs="Times New Roman"/>
                <w:color w:val="000000"/>
                <w:sz w:val="24"/>
                <w:szCs w:val="24"/>
              </w:rPr>
            </w:pPr>
          </w:p>
          <w:p w14:paraId="0443389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створення комфортних умов проживання частина з опитуваних (26,7%) вже придбала техніку для регулювання мікроклімату в будинку (кондиціонерів, зволожувачів повітря, тощо), або планують це зробити (42,8%). </w:t>
            </w:r>
          </w:p>
          <w:p w14:paraId="21DF5107" w14:textId="77777777" w:rsidR="00C82386" w:rsidRDefault="00C82386">
            <w:pPr>
              <w:jc w:val="both"/>
              <w:rPr>
                <w:rFonts w:ascii="Times New Roman" w:eastAsia="Times New Roman" w:hAnsi="Times New Roman" w:cs="Times New Roman"/>
                <w:color w:val="000000"/>
                <w:sz w:val="24"/>
                <w:szCs w:val="24"/>
              </w:rPr>
            </w:pPr>
          </w:p>
          <w:p w14:paraId="0F342E4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Підвищення температур та невідповідне реагування комунальних служб, що забезпечують вчасне вивезення сміття спричиняють його накопичення та дискомфорт мешканців: 66,1% постійно відчувають сморід, а 30% відомо про такі випадки. Також 23,9% знають, що кількість комах/гризунів зростає, а 44,4% прямо стикнулися з цим. </w:t>
            </w:r>
          </w:p>
          <w:p w14:paraId="5FE0C84A" w14:textId="77777777" w:rsidR="00C82386" w:rsidRDefault="00C82386">
            <w:pPr>
              <w:jc w:val="both"/>
              <w:rPr>
                <w:rFonts w:ascii="Times New Roman" w:eastAsia="Times New Roman" w:hAnsi="Times New Roman" w:cs="Times New Roman"/>
                <w:color w:val="000000"/>
                <w:sz w:val="24"/>
                <w:szCs w:val="24"/>
              </w:rPr>
            </w:pPr>
          </w:p>
          <w:p w14:paraId="4D709EF1" w14:textId="77777777" w:rsidR="00C82386" w:rsidRDefault="00C82386">
            <w:pPr>
              <w:jc w:val="both"/>
              <w:rPr>
                <w:rFonts w:ascii="Times New Roman" w:eastAsia="Times New Roman" w:hAnsi="Times New Roman" w:cs="Times New Roman"/>
                <w:color w:val="000000"/>
                <w:sz w:val="24"/>
                <w:szCs w:val="24"/>
              </w:rPr>
            </w:pPr>
          </w:p>
          <w:p w14:paraId="748E5824" w14:textId="77777777" w:rsidR="00C82386" w:rsidRDefault="00C82386">
            <w:pPr>
              <w:jc w:val="both"/>
              <w:rPr>
                <w:rFonts w:ascii="Times New Roman" w:eastAsia="Times New Roman" w:hAnsi="Times New Roman" w:cs="Times New Roman"/>
                <w:color w:val="000000"/>
                <w:sz w:val="24"/>
                <w:szCs w:val="24"/>
              </w:rPr>
            </w:pPr>
          </w:p>
          <w:tbl>
            <w:tblPr>
              <w:tblStyle w:val="afffffffffa"/>
              <w:tblW w:w="516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694"/>
              <w:gridCol w:w="2471"/>
            </w:tblGrid>
            <w:tr w:rsidR="00C82386" w14:paraId="1879405D" w14:textId="77777777">
              <w:trPr>
                <w:trHeight w:val="108"/>
              </w:trPr>
              <w:tc>
                <w:tcPr>
                  <w:tcW w:w="2694" w:type="dxa"/>
                </w:tcPr>
                <w:p w14:paraId="13D8600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Сморід від смітників</w:t>
                  </w:r>
                </w:p>
              </w:tc>
              <w:tc>
                <w:tcPr>
                  <w:tcW w:w="2471" w:type="dxa"/>
                </w:tcPr>
                <w:p w14:paraId="6EE9C00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Зростання кількості гризунів/комах</w:t>
                  </w:r>
                </w:p>
              </w:tc>
            </w:tr>
            <w:tr w:rsidR="00C82386" w14:paraId="0EC4CA24" w14:textId="77777777">
              <w:trPr>
                <w:trHeight w:val="108"/>
              </w:trPr>
              <w:tc>
                <w:tcPr>
                  <w:tcW w:w="2694" w:type="dxa"/>
                </w:tcPr>
                <w:p w14:paraId="7EA6E5A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71F9EC2A" wp14:editId="1BE5FF85">
                        <wp:extent cx="1283988" cy="1312522"/>
                        <wp:effectExtent l="0" t="0" r="0" b="0"/>
                        <wp:docPr id="2144251977" name="image101.png" descr="Зображення, що містить текст, знімок екрана, Шрифт, логотип&#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01.png" descr="Зображення, що містить текст, знімок екрана, Шрифт, логотип&#10;&#10;Автоматично згенерований опис"/>
                                <pic:cNvPicPr preferRelativeResize="0"/>
                              </pic:nvPicPr>
                              <pic:blipFill>
                                <a:blip r:embed="rId256"/>
                                <a:srcRect t="9804" r="63415"/>
                                <a:stretch>
                                  <a:fillRect/>
                                </a:stretch>
                              </pic:blipFill>
                              <pic:spPr>
                                <a:xfrm>
                                  <a:off x="0" y="0"/>
                                  <a:ext cx="1283988" cy="1312522"/>
                                </a:xfrm>
                                <a:prstGeom prst="rect">
                                  <a:avLst/>
                                </a:prstGeom>
                                <a:ln/>
                              </pic:spPr>
                            </pic:pic>
                          </a:graphicData>
                        </a:graphic>
                      </wp:inline>
                    </w:drawing>
                  </w:r>
                </w:p>
                <w:p w14:paraId="63C54EDF" w14:textId="77777777" w:rsidR="00C82386" w:rsidRDefault="00C82386">
                  <w:pPr>
                    <w:jc w:val="both"/>
                    <w:rPr>
                      <w:rFonts w:ascii="Times New Roman" w:eastAsia="Times New Roman" w:hAnsi="Times New Roman" w:cs="Times New Roman"/>
                      <w:color w:val="000000"/>
                      <w:sz w:val="24"/>
                      <w:szCs w:val="24"/>
                    </w:rPr>
                  </w:pPr>
                </w:p>
              </w:tc>
              <w:tc>
                <w:tcPr>
                  <w:tcW w:w="2471" w:type="dxa"/>
                </w:tcPr>
                <w:p w14:paraId="236FB02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drawing>
                      <wp:inline distT="0" distB="0" distL="0" distR="0" wp14:anchorId="61885952" wp14:editId="46D78DFC">
                        <wp:extent cx="1189271" cy="1253063"/>
                        <wp:effectExtent l="0" t="0" r="0" b="0"/>
                        <wp:docPr id="2144251975" name="image86.png" descr="Зображення, що містить текст, знімок екрана, Шрифт, логотип&#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86.png" descr="Зображення, що містить текст, знімок екрана, Шрифт, логотип&#10;&#10;Автоматично згенерований опис"/>
                                <pic:cNvPicPr preferRelativeResize="0"/>
                              </pic:nvPicPr>
                              <pic:blipFill>
                                <a:blip r:embed="rId257"/>
                                <a:srcRect t="12699" r="64682"/>
                                <a:stretch>
                                  <a:fillRect/>
                                </a:stretch>
                              </pic:blipFill>
                              <pic:spPr>
                                <a:xfrm>
                                  <a:off x="0" y="0"/>
                                  <a:ext cx="1189271" cy="1253063"/>
                                </a:xfrm>
                                <a:prstGeom prst="rect">
                                  <a:avLst/>
                                </a:prstGeom>
                                <a:ln/>
                              </pic:spPr>
                            </pic:pic>
                          </a:graphicData>
                        </a:graphic>
                      </wp:inline>
                    </w:drawing>
                  </w:r>
                </w:p>
              </w:tc>
            </w:tr>
          </w:tbl>
          <w:p w14:paraId="2E8B8CF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lang w:val="ru-RU"/>
              </w:rPr>
              <w:lastRenderedPageBreak/>
              <w:drawing>
                <wp:inline distT="0" distB="0" distL="0" distR="0" wp14:anchorId="566EC54D" wp14:editId="7294031F">
                  <wp:extent cx="1585479" cy="706304"/>
                  <wp:effectExtent l="0" t="0" r="0" b="0"/>
                  <wp:docPr id="214425197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58"/>
                          <a:srcRect/>
                          <a:stretch>
                            <a:fillRect/>
                          </a:stretch>
                        </pic:blipFill>
                        <pic:spPr>
                          <a:xfrm>
                            <a:off x="0" y="0"/>
                            <a:ext cx="1585479" cy="706304"/>
                          </a:xfrm>
                          <a:prstGeom prst="rect">
                            <a:avLst/>
                          </a:prstGeom>
                          <a:ln/>
                        </pic:spPr>
                      </pic:pic>
                    </a:graphicData>
                  </a:graphic>
                </wp:inline>
              </w:drawing>
            </w:r>
          </w:p>
          <w:p w14:paraId="3AAC8B7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Зміна клімату відображається на </w:t>
            </w:r>
            <w:r>
              <w:rPr>
                <w:rFonts w:ascii="Times New Roman" w:eastAsia="Times New Roman" w:hAnsi="Times New Roman" w:cs="Times New Roman"/>
                <w:color w:val="000000"/>
                <w:sz w:val="24"/>
                <w:szCs w:val="24"/>
                <w:u w:val="single"/>
              </w:rPr>
              <w:t>стані здоров’я та самопочуття населення</w:t>
            </w:r>
            <w:r>
              <w:rPr>
                <w:rFonts w:ascii="Times New Roman" w:eastAsia="Times New Roman" w:hAnsi="Times New Roman" w:cs="Times New Roman"/>
                <w:color w:val="000000"/>
                <w:sz w:val="24"/>
                <w:szCs w:val="24"/>
              </w:rPr>
              <w:t xml:space="preserve">, так вже зараз зміни в самопочутті, пов’язані зі змінами клімату (надмірна спека, вплив гроз, різкої зміни погоди) відзначають 78,3% опитуваних, а 17,2% самі не відзначають впливу але мають знайомих/родичів, що страждають. При чому 13,3% - зверталися самі та 16,7% знають людей, що зверталися </w:t>
            </w:r>
            <w:r>
              <w:rPr>
                <w:rFonts w:ascii="Times New Roman" w:eastAsia="Times New Roman" w:hAnsi="Times New Roman" w:cs="Times New Roman"/>
                <w:color w:val="000000"/>
                <w:sz w:val="24"/>
                <w:szCs w:val="24"/>
                <w:highlight w:val="white"/>
              </w:rPr>
              <w:t xml:space="preserve">за </w:t>
            </w:r>
            <w:r>
              <w:rPr>
                <w:rFonts w:ascii="Times New Roman" w:eastAsia="Times New Roman" w:hAnsi="Times New Roman" w:cs="Times New Roman"/>
                <w:color w:val="000000"/>
                <w:sz w:val="24"/>
                <w:szCs w:val="24"/>
              </w:rPr>
              <w:t xml:space="preserve">медичною допомогою, що стала необхідною внаслідок стихійних явищ, а 67,2% не зверталися за медичною допомогою. </w:t>
            </w:r>
          </w:p>
          <w:p w14:paraId="086E5D7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Поки що переважаюча частина опитуваних не зазнавали (або не усвідомлюють) </w:t>
            </w:r>
            <w:r>
              <w:rPr>
                <w:rFonts w:ascii="Times New Roman" w:eastAsia="Times New Roman" w:hAnsi="Times New Roman" w:cs="Times New Roman"/>
                <w:color w:val="000000"/>
                <w:sz w:val="24"/>
                <w:szCs w:val="24"/>
                <w:u w:val="single"/>
              </w:rPr>
              <w:t xml:space="preserve">прямих збитків через екстремальні погодні умови </w:t>
            </w:r>
            <w:r>
              <w:rPr>
                <w:rFonts w:ascii="Times New Roman" w:eastAsia="Times New Roman" w:hAnsi="Times New Roman" w:cs="Times New Roman"/>
                <w:color w:val="000000"/>
                <w:sz w:val="24"/>
                <w:szCs w:val="24"/>
              </w:rPr>
              <w:t xml:space="preserve">(пошкодження будинку, підтоплення городу, підвищення цін на їжу, тощо) – 41,7%. Проте 24,4% таких збитків зазнали, а 30% мали незначні збитки. Причому 30,6% респондентів знають куди звертатися для відшкодування збитків в разі отримання ураження або шкоди внаслідок стихійних явищ (паводок, спека, гроза, ожеледиця, тощо) але за відшкодуванням ніхто не завертався. 30% респондентів взагалі не вважають, що хтось має відшкодовувати збитки отримані внаслідок стихійних явищ. </w:t>
            </w:r>
          </w:p>
          <w:p w14:paraId="0D04A242" w14:textId="77777777" w:rsidR="00C82386" w:rsidRDefault="00C82386">
            <w:pPr>
              <w:jc w:val="both"/>
              <w:rPr>
                <w:rFonts w:ascii="Times New Roman" w:eastAsia="Times New Roman" w:hAnsi="Times New Roman" w:cs="Times New Roman"/>
                <w:color w:val="000000"/>
                <w:sz w:val="24"/>
                <w:szCs w:val="24"/>
              </w:rPr>
            </w:pPr>
          </w:p>
          <w:p w14:paraId="05D1736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Значна частина опитуваних (72,2%) почуваються досить впевнено і стверджують, що </w:t>
            </w:r>
            <w:r>
              <w:rPr>
                <w:rFonts w:ascii="Times New Roman" w:eastAsia="Times New Roman" w:hAnsi="Times New Roman" w:cs="Times New Roman"/>
                <w:color w:val="000000"/>
                <w:sz w:val="24"/>
                <w:szCs w:val="24"/>
                <w:u w:val="single"/>
              </w:rPr>
              <w:t>знають як поводитися під час надзвичайних природних ситуацій</w:t>
            </w:r>
            <w:r>
              <w:rPr>
                <w:rFonts w:ascii="Times New Roman" w:eastAsia="Times New Roman" w:hAnsi="Times New Roman" w:cs="Times New Roman"/>
                <w:color w:val="000000"/>
                <w:sz w:val="24"/>
                <w:szCs w:val="24"/>
              </w:rPr>
              <w:t xml:space="preserve">, а 15% вважають себе повністю готовими до такого розвитку подій. Подібна картина спостерігається і щодо  </w:t>
            </w:r>
            <w:r>
              <w:rPr>
                <w:rFonts w:ascii="Times New Roman" w:eastAsia="Times New Roman" w:hAnsi="Times New Roman" w:cs="Times New Roman"/>
                <w:color w:val="000000"/>
                <w:sz w:val="24"/>
                <w:szCs w:val="24"/>
                <w:u w:val="single"/>
              </w:rPr>
              <w:t>правила поводження під час надмірної спеки/холоду</w:t>
            </w:r>
            <w:r>
              <w:rPr>
                <w:rFonts w:ascii="Times New Roman" w:eastAsia="Times New Roman" w:hAnsi="Times New Roman" w:cs="Times New Roman"/>
                <w:color w:val="000000"/>
                <w:sz w:val="24"/>
                <w:szCs w:val="24"/>
              </w:rPr>
              <w:t xml:space="preserve"> – повністю готовими вважають себе 32,6%, а достатньо готовими - 65%. </w:t>
            </w:r>
          </w:p>
          <w:p w14:paraId="4F44FD73" w14:textId="77777777" w:rsidR="00C82386" w:rsidRDefault="00C82386">
            <w:pPr>
              <w:jc w:val="both"/>
              <w:rPr>
                <w:rFonts w:ascii="Times New Roman" w:eastAsia="Times New Roman" w:hAnsi="Times New Roman" w:cs="Times New Roman"/>
                <w:color w:val="000000"/>
                <w:sz w:val="24"/>
                <w:szCs w:val="24"/>
              </w:rPr>
            </w:pPr>
          </w:p>
          <w:p w14:paraId="24BC061C" w14:textId="77777777" w:rsidR="00C82386" w:rsidRDefault="00C82386">
            <w:pPr>
              <w:jc w:val="both"/>
              <w:rPr>
                <w:rFonts w:ascii="Times New Roman" w:eastAsia="Times New Roman" w:hAnsi="Times New Roman" w:cs="Times New Roman"/>
                <w:color w:val="000000"/>
                <w:sz w:val="24"/>
                <w:szCs w:val="24"/>
              </w:rPr>
            </w:pPr>
          </w:p>
          <w:p w14:paraId="5C433823" w14:textId="77777777" w:rsidR="00C82386" w:rsidRDefault="00C82386">
            <w:pPr>
              <w:jc w:val="both"/>
              <w:rPr>
                <w:rFonts w:ascii="Times New Roman" w:eastAsia="Times New Roman" w:hAnsi="Times New Roman" w:cs="Times New Roman"/>
                <w:color w:val="000000"/>
                <w:sz w:val="24"/>
                <w:szCs w:val="24"/>
              </w:rPr>
            </w:pPr>
          </w:p>
          <w:p w14:paraId="19CD79F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цілому більшість респондентів отримують інформацію про правила поводження під час стихійних лих чи надмірної спеки/холоду із ЗМІ – 61,7%, міської влади – 18,9%, відділу охорони праці на підприємстві – 18,3%, МНС – 16,7%, медичних закладів – 9,4%, посадових осіб – 7,8%. Всього 1,1% респондентів не отримують інформацію взагалі. Частина респондентів відповіли, що останній раз отримували інформацію подібного роду ще в школі чи університеті, декілька стверджують, що шукають інформацію самостійно. </w:t>
            </w:r>
          </w:p>
          <w:p w14:paraId="7ACDF8F6" w14:textId="77777777" w:rsidR="00C82386" w:rsidRDefault="00C82386">
            <w:pPr>
              <w:jc w:val="both"/>
              <w:rPr>
                <w:rFonts w:ascii="Times New Roman" w:eastAsia="Times New Roman" w:hAnsi="Times New Roman" w:cs="Times New Roman"/>
                <w:color w:val="000000"/>
                <w:sz w:val="24"/>
                <w:szCs w:val="24"/>
              </w:rPr>
            </w:pPr>
          </w:p>
          <w:tbl>
            <w:tblPr>
              <w:tblStyle w:val="afffffffffb"/>
              <w:tblW w:w="4793"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013"/>
              <w:gridCol w:w="2780"/>
            </w:tblGrid>
            <w:tr w:rsidR="00C82386" w14:paraId="454334FE" w14:textId="77777777">
              <w:trPr>
                <w:trHeight w:val="281"/>
              </w:trPr>
              <w:tc>
                <w:tcPr>
                  <w:tcW w:w="2013" w:type="dxa"/>
                </w:tcPr>
                <w:p w14:paraId="4AD4E09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 отримували ви інформацію про правила поводження під час стихійних лих, сильної спеки/холоду?</w:t>
                  </w:r>
                </w:p>
              </w:tc>
              <w:tc>
                <w:tcPr>
                  <w:tcW w:w="2780" w:type="dxa"/>
                </w:tcPr>
                <w:p w14:paraId="63B8D7F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 отримуєте ви вчасно інформацію про стихійні явища (зливи, сильний вітер, спека/холод, тощо)</w:t>
                  </w:r>
                </w:p>
              </w:tc>
            </w:tr>
            <w:tr w:rsidR="00C82386" w14:paraId="5ADE2EBC" w14:textId="77777777">
              <w:trPr>
                <w:trHeight w:val="281"/>
              </w:trPr>
              <w:tc>
                <w:tcPr>
                  <w:tcW w:w="2013" w:type="dxa"/>
                </w:tcPr>
                <w:p w14:paraId="3E54C891"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noProof/>
                      <w:sz w:val="24"/>
                      <w:szCs w:val="24"/>
                      <w:lang w:val="ru-RU"/>
                    </w:rPr>
                    <w:drawing>
                      <wp:inline distT="0" distB="0" distL="0" distR="0" wp14:anchorId="3348A889" wp14:editId="05765562">
                        <wp:extent cx="1242398" cy="1216869"/>
                        <wp:effectExtent l="0" t="0" r="0" b="0"/>
                        <wp:docPr id="2144251976" name="image93.png" descr="Зображення, що містить текст, коло, Шрифт, логотип&#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93.png" descr="Зображення, що містить текст, коло, Шрифт, логотип&#10;&#10;Автоматично згенерований опис"/>
                                <pic:cNvPicPr preferRelativeResize="0"/>
                              </pic:nvPicPr>
                              <pic:blipFill>
                                <a:blip r:embed="rId259"/>
                                <a:srcRect/>
                                <a:stretch>
                                  <a:fillRect/>
                                </a:stretch>
                              </pic:blipFill>
                              <pic:spPr>
                                <a:xfrm>
                                  <a:off x="0" y="0"/>
                                  <a:ext cx="1242398" cy="1216869"/>
                                </a:xfrm>
                                <a:prstGeom prst="rect">
                                  <a:avLst/>
                                </a:prstGeom>
                                <a:ln/>
                              </pic:spPr>
                            </pic:pic>
                          </a:graphicData>
                        </a:graphic>
                      </wp:inline>
                    </w:drawing>
                  </w:r>
                  <w:r>
                    <w:rPr>
                      <w:noProof/>
                      <w:lang w:val="ru-RU"/>
                    </w:rPr>
                    <w:drawing>
                      <wp:anchor distT="0" distB="0" distL="114300" distR="114300" simplePos="0" relativeHeight="251668480" behindDoc="0" locked="0" layoutInCell="1" hidden="0" allowOverlap="1" wp14:anchorId="27B63A43" wp14:editId="14E5F5E2">
                        <wp:simplePos x="0" y="0"/>
                        <wp:positionH relativeFrom="column">
                          <wp:posOffset>83821</wp:posOffset>
                        </wp:positionH>
                        <wp:positionV relativeFrom="paragraph">
                          <wp:posOffset>1464945</wp:posOffset>
                        </wp:positionV>
                        <wp:extent cx="1114425" cy="603250"/>
                        <wp:effectExtent l="0" t="0" r="0" b="0"/>
                        <wp:wrapSquare wrapText="bothSides" distT="0" distB="0" distL="114300" distR="114300"/>
                        <wp:docPr id="2144252009" name="image128.png" descr="Зображення, що містить текст, знімок екран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8.png" descr="Зображення, що містить текст, знімок екрана, Шрифт&#10;&#10;Автоматично згенерований опис"/>
                                <pic:cNvPicPr preferRelativeResize="0"/>
                              </pic:nvPicPr>
                              <pic:blipFill>
                                <a:blip r:embed="rId260"/>
                                <a:srcRect/>
                                <a:stretch>
                                  <a:fillRect/>
                                </a:stretch>
                              </pic:blipFill>
                              <pic:spPr>
                                <a:xfrm>
                                  <a:off x="0" y="0"/>
                                  <a:ext cx="1114425" cy="603250"/>
                                </a:xfrm>
                                <a:prstGeom prst="rect">
                                  <a:avLst/>
                                </a:prstGeom>
                                <a:ln/>
                              </pic:spPr>
                            </pic:pic>
                          </a:graphicData>
                        </a:graphic>
                      </wp:anchor>
                    </w:drawing>
                  </w:r>
                </w:p>
              </w:tc>
              <w:tc>
                <w:tcPr>
                  <w:tcW w:w="2780" w:type="dxa"/>
                </w:tcPr>
                <w:p w14:paraId="559F49C7" w14:textId="77777777" w:rsidR="00C82386" w:rsidRDefault="00E66F64">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b/>
                      <w:noProof/>
                      <w:sz w:val="24"/>
                      <w:szCs w:val="24"/>
                      <w:lang w:val="ru-RU"/>
                    </w:rPr>
                    <w:drawing>
                      <wp:inline distT="0" distB="0" distL="0" distR="0" wp14:anchorId="551694E6" wp14:editId="5E5B256D">
                        <wp:extent cx="1187498" cy="1196360"/>
                        <wp:effectExtent l="0" t="0" r="0" b="0"/>
                        <wp:docPr id="2144251973" name="image97.png" descr="Зображення, що містить текст, логотип, коло,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97.png" descr="Зображення, що містить текст, логотип, коло, Шрифт&#10;&#10;Автоматично згенерований опис"/>
                                <pic:cNvPicPr preferRelativeResize="0"/>
                              </pic:nvPicPr>
                              <pic:blipFill>
                                <a:blip r:embed="rId261"/>
                                <a:srcRect/>
                                <a:stretch>
                                  <a:fillRect/>
                                </a:stretch>
                              </pic:blipFill>
                              <pic:spPr>
                                <a:xfrm>
                                  <a:off x="0" y="0"/>
                                  <a:ext cx="1187498" cy="1196360"/>
                                </a:xfrm>
                                <a:prstGeom prst="rect">
                                  <a:avLst/>
                                </a:prstGeom>
                                <a:ln/>
                              </pic:spPr>
                            </pic:pic>
                          </a:graphicData>
                        </a:graphic>
                      </wp:inline>
                    </w:drawing>
                  </w:r>
                </w:p>
              </w:tc>
            </w:tr>
          </w:tbl>
          <w:p w14:paraId="18B3BB2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14:paraId="421FFE11" w14:textId="77777777" w:rsidR="00C82386" w:rsidRDefault="00E66F64">
            <w:pPr>
              <w:spacing w:after="16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u w:val="single"/>
              </w:rPr>
              <w:t>Адаптація міста до змін клімату</w:t>
            </w:r>
          </w:p>
          <w:p w14:paraId="6062BAC6" w14:textId="77777777" w:rsidR="00C82386" w:rsidRDefault="00E66F64">
            <w:pPr>
              <w:spacing w:after="16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адаптаційних заходів дозволить жителям та місту почуватися комфортніше та зменшити негативні наслідки зміни клімату. Мешканці часто мають власні ідеї щодо поліпшення та облаштування їх міст. Опис таких ідей дозволяє втілити їх у життя.</w:t>
            </w:r>
          </w:p>
          <w:p w14:paraId="46A42DA6"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Важливо виявити готовність населення до адаптаційних дій. Якщо розуміння населенням необхідності впровадження таких заходів низьке – необхідно спрямувати зусилля на розробку і впровадження просвітницьких заходів. Якщо опитуванні мешканці висловлюють чіткі очікування та надають конкретні рекомендації – необхідно звернути на них особливу увагу під час розробки заходів.  </w:t>
            </w:r>
          </w:p>
          <w:p w14:paraId="23780C7A" w14:textId="77777777" w:rsidR="00C82386" w:rsidRDefault="00E66F64">
            <w:pPr>
              <w:spacing w:before="36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Перелік першочергових заходів, які на думку опитуваних має  впроваджувати місцева влада, щоб адаптувати місто </w:t>
            </w:r>
            <w:r>
              <w:rPr>
                <w:rFonts w:ascii="Times New Roman" w:eastAsia="Times New Roman" w:hAnsi="Times New Roman" w:cs="Times New Roman"/>
                <w:color w:val="000000"/>
                <w:sz w:val="24"/>
                <w:szCs w:val="24"/>
                <w:u w:val="single"/>
              </w:rPr>
              <w:t>до сильної спеки</w:t>
            </w:r>
            <w:r>
              <w:rPr>
                <w:rFonts w:ascii="Times New Roman" w:eastAsia="Times New Roman" w:hAnsi="Times New Roman" w:cs="Times New Roman"/>
                <w:color w:val="000000"/>
                <w:sz w:val="24"/>
                <w:szCs w:val="24"/>
              </w:rPr>
              <w:t>:</w:t>
            </w:r>
          </w:p>
          <w:tbl>
            <w:tblPr>
              <w:tblStyle w:val="afffffffffc"/>
              <w:tblW w:w="537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76"/>
              <w:gridCol w:w="1095"/>
            </w:tblGrid>
            <w:tr w:rsidR="00C82386" w14:paraId="3471A147" w14:textId="77777777">
              <w:trPr>
                <w:trHeight w:val="341"/>
              </w:trPr>
              <w:tc>
                <w:tcPr>
                  <w:tcW w:w="4276" w:type="dxa"/>
                </w:tcPr>
                <w:p w14:paraId="4F836F9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Збільшення кількості зелених зон </w:t>
                  </w:r>
                </w:p>
              </w:tc>
              <w:tc>
                <w:tcPr>
                  <w:tcW w:w="1095" w:type="dxa"/>
                </w:tcPr>
                <w:p w14:paraId="005E15A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72.2%</w:t>
                  </w:r>
                </w:p>
              </w:tc>
            </w:tr>
            <w:tr w:rsidR="00C82386" w14:paraId="58451048" w14:textId="77777777">
              <w:trPr>
                <w:trHeight w:val="350"/>
              </w:trPr>
              <w:tc>
                <w:tcPr>
                  <w:tcW w:w="4276" w:type="dxa"/>
                </w:tcPr>
                <w:p w14:paraId="0644F31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Досягнення чистої води у річках та міських водоймах </w:t>
                  </w:r>
                </w:p>
              </w:tc>
              <w:tc>
                <w:tcPr>
                  <w:tcW w:w="1095" w:type="dxa"/>
                </w:tcPr>
                <w:p w14:paraId="1E2DA5F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80.0 %</w:t>
                  </w:r>
                </w:p>
              </w:tc>
            </w:tr>
            <w:tr w:rsidR="00C82386" w14:paraId="37AC166E" w14:textId="77777777">
              <w:trPr>
                <w:trHeight w:val="350"/>
              </w:trPr>
              <w:tc>
                <w:tcPr>
                  <w:tcW w:w="4276" w:type="dxa"/>
                </w:tcPr>
                <w:p w14:paraId="6C8E774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Створення облаштованих зон відпочинку біля водойм</w:t>
                  </w:r>
                </w:p>
              </w:tc>
              <w:tc>
                <w:tcPr>
                  <w:tcW w:w="1095" w:type="dxa"/>
                </w:tcPr>
                <w:p w14:paraId="3083499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55.6</w:t>
                  </w:r>
                </w:p>
              </w:tc>
            </w:tr>
            <w:tr w:rsidR="00C82386" w14:paraId="08EABC5F" w14:textId="77777777">
              <w:trPr>
                <w:trHeight w:val="350"/>
              </w:trPr>
              <w:tc>
                <w:tcPr>
                  <w:tcW w:w="4276" w:type="dxa"/>
                </w:tcPr>
                <w:p w14:paraId="5FE5403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Термоізоляція будівель </w:t>
                  </w:r>
                </w:p>
              </w:tc>
              <w:tc>
                <w:tcPr>
                  <w:tcW w:w="1095" w:type="dxa"/>
                </w:tcPr>
                <w:p w14:paraId="78DE72E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41.1</w:t>
                  </w:r>
                </w:p>
              </w:tc>
            </w:tr>
            <w:tr w:rsidR="00C82386" w14:paraId="4048DF36" w14:textId="77777777">
              <w:trPr>
                <w:trHeight w:val="530"/>
              </w:trPr>
              <w:tc>
                <w:tcPr>
                  <w:tcW w:w="4276" w:type="dxa"/>
                </w:tcPr>
                <w:p w14:paraId="304941A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Кондиціонери, вентиляція, питна вода у дитячі дошкільні установи, лікарні, будинки для людей похилого віку</w:t>
                  </w:r>
                </w:p>
              </w:tc>
              <w:tc>
                <w:tcPr>
                  <w:tcW w:w="1095" w:type="dxa"/>
                </w:tcPr>
                <w:p w14:paraId="0569A0C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58.9</w:t>
                  </w:r>
                </w:p>
              </w:tc>
            </w:tr>
            <w:tr w:rsidR="00C82386" w14:paraId="5A88271E" w14:textId="77777777">
              <w:trPr>
                <w:trHeight w:val="568"/>
              </w:trPr>
              <w:tc>
                <w:tcPr>
                  <w:tcW w:w="4276" w:type="dxa"/>
                </w:tcPr>
                <w:p w14:paraId="46A7DEF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питних фонтанчиків/безкоштовний доступ до питної води у закладах громадського харчування  </w:t>
                  </w:r>
                </w:p>
              </w:tc>
              <w:tc>
                <w:tcPr>
                  <w:tcW w:w="1095" w:type="dxa"/>
                </w:tcPr>
                <w:p w14:paraId="3121034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61.7</w:t>
                  </w:r>
                </w:p>
              </w:tc>
            </w:tr>
            <w:tr w:rsidR="00C82386" w14:paraId="50402F2C" w14:textId="77777777">
              <w:trPr>
                <w:trHeight w:val="350"/>
              </w:trPr>
              <w:tc>
                <w:tcPr>
                  <w:tcW w:w="4276" w:type="dxa"/>
                </w:tcPr>
                <w:p w14:paraId="34517FB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Облаштування зон прохолоди (зелені навіси, вертикальне озеленення, сквери) </w:t>
                  </w:r>
                </w:p>
              </w:tc>
              <w:tc>
                <w:tcPr>
                  <w:tcW w:w="1095" w:type="dxa"/>
                </w:tcPr>
                <w:p w14:paraId="359C825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68.9</w:t>
                  </w:r>
                </w:p>
              </w:tc>
            </w:tr>
          </w:tbl>
          <w:p w14:paraId="495E8B58"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14:paraId="4B147913"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Окрім цього, опитувані рекомендують чистити водойми від замулення, облаштувати ігрові майданчики для дітей в кожному районі, запровадити вологе прибирання доріг та тротуарів, встановити рамки-оприскувачі та забезпечити громадський транспорт кондиціонерами тощо. </w:t>
            </w:r>
          </w:p>
          <w:p w14:paraId="6B759A07" w14:textId="77777777" w:rsidR="00C82386" w:rsidRDefault="00E66F64">
            <w:pPr>
              <w:spacing w:before="240" w:after="240"/>
              <w:ind w:right="23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 xml:space="preserve">Перелік першочергових заходів, які на думку опитуваних має  впроваджувати місцева влада, щоб адаптувати місто </w:t>
            </w:r>
            <w:r>
              <w:rPr>
                <w:rFonts w:ascii="Times New Roman" w:eastAsia="Times New Roman" w:hAnsi="Times New Roman" w:cs="Times New Roman"/>
                <w:color w:val="000000"/>
                <w:sz w:val="24"/>
                <w:szCs w:val="24"/>
                <w:u w:val="single"/>
              </w:rPr>
              <w:t>до стихійних метеорологічних явищ</w:t>
            </w:r>
            <w:r>
              <w:rPr>
                <w:rFonts w:ascii="Times New Roman" w:eastAsia="Times New Roman" w:hAnsi="Times New Roman" w:cs="Times New Roman"/>
                <w:color w:val="000000"/>
                <w:sz w:val="24"/>
                <w:szCs w:val="24"/>
              </w:rPr>
              <w:t xml:space="preserve"> (раптова зміна погоди; сильні дощі, сильні хуртовини та снігопади; сильний вітер: шквали та смерч):</w:t>
            </w:r>
            <w:r>
              <w:rPr>
                <w:rFonts w:ascii="Times New Roman" w:eastAsia="Times New Roman" w:hAnsi="Times New Roman" w:cs="Times New Roman"/>
                <w:i/>
                <w:color w:val="000000"/>
                <w:sz w:val="24"/>
                <w:szCs w:val="24"/>
              </w:rPr>
              <w:t xml:space="preserve"> </w:t>
            </w:r>
          </w:p>
          <w:tbl>
            <w:tblPr>
              <w:tblStyle w:val="afffffffffd"/>
              <w:tblW w:w="52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76"/>
              <w:gridCol w:w="999"/>
            </w:tblGrid>
            <w:tr w:rsidR="00C82386" w14:paraId="28957D14" w14:textId="77777777">
              <w:trPr>
                <w:trHeight w:val="300"/>
              </w:trPr>
              <w:tc>
                <w:tcPr>
                  <w:tcW w:w="4276" w:type="dxa"/>
                </w:tcPr>
                <w:p w14:paraId="19A2ED5D" w14:textId="77777777" w:rsidR="00C82386" w:rsidRDefault="00E66F64">
                  <w:pPr>
                    <w:spacing w:after="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Заміна старих систем зливової каналізації та будівництво нових стоків дощової води</w:t>
                  </w:r>
                </w:p>
              </w:tc>
              <w:tc>
                <w:tcPr>
                  <w:tcW w:w="999" w:type="dxa"/>
                </w:tcPr>
                <w:p w14:paraId="1A78D524" w14:textId="77777777" w:rsidR="00C82386" w:rsidRDefault="00E66F64">
                  <w:pPr>
                    <w:spacing w:after="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87,8%</w:t>
                  </w:r>
                </w:p>
              </w:tc>
            </w:tr>
            <w:tr w:rsidR="00C82386" w14:paraId="5B1C44E7" w14:textId="77777777">
              <w:trPr>
                <w:trHeight w:val="450"/>
              </w:trPr>
              <w:tc>
                <w:tcPr>
                  <w:tcW w:w="4276" w:type="dxa"/>
                </w:tcPr>
                <w:p w14:paraId="09EC282F" w14:textId="77777777" w:rsidR="00C82386" w:rsidRDefault="00E66F64">
                  <w:pPr>
                    <w:spacing w:after="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Резервуари для збирання дощової води;</w:t>
                  </w:r>
                </w:p>
              </w:tc>
              <w:tc>
                <w:tcPr>
                  <w:tcW w:w="999" w:type="dxa"/>
                </w:tcPr>
                <w:p w14:paraId="43CE443A" w14:textId="77777777" w:rsidR="00C82386" w:rsidRDefault="00E66F64">
                  <w:pPr>
                    <w:spacing w:after="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42,8%</w:t>
                  </w:r>
                </w:p>
              </w:tc>
            </w:tr>
            <w:tr w:rsidR="00C82386" w14:paraId="7CC48E5E" w14:textId="77777777">
              <w:trPr>
                <w:trHeight w:val="300"/>
              </w:trPr>
              <w:tc>
                <w:tcPr>
                  <w:tcW w:w="4276" w:type="dxa"/>
                </w:tcPr>
                <w:p w14:paraId="668C37F8" w14:textId="77777777" w:rsidR="00C82386" w:rsidRDefault="00E66F64">
                  <w:pPr>
                    <w:spacing w:after="60"/>
                    <w:jc w:val="both"/>
                    <w:rPr>
                      <w:rFonts w:ascii="Times New Roman" w:eastAsia="Times New Roman" w:hAnsi="Times New Roman" w:cs="Times New Roman"/>
                      <w:color w:val="000000"/>
                      <w:sz w:val="24"/>
                      <w:szCs w:val="24"/>
                    </w:rPr>
                  </w:pPr>
                  <w:bookmarkStart w:id="124" w:name="_heading=h.1idq7dh" w:colFirst="0" w:colLast="0"/>
                  <w:bookmarkEnd w:id="124"/>
                  <w:r>
                    <w:rPr>
                      <w:rFonts w:ascii="Times New Roman" w:eastAsia="Times New Roman" w:hAnsi="Times New Roman" w:cs="Times New Roman"/>
                      <w:color w:val="000000"/>
                      <w:sz w:val="24"/>
                      <w:szCs w:val="24"/>
                    </w:rPr>
                    <w:t xml:space="preserve">Забезпечення підтримання у належному стані (постійні технічні огляди та ремонти) ліній електропередач; </w:t>
                  </w:r>
                </w:p>
              </w:tc>
              <w:tc>
                <w:tcPr>
                  <w:tcW w:w="999" w:type="dxa"/>
                </w:tcPr>
                <w:p w14:paraId="2C4C0E12" w14:textId="77777777" w:rsidR="00C82386" w:rsidRDefault="00E66F64">
                  <w:pPr>
                    <w:spacing w:after="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61,1%</w:t>
                  </w:r>
                </w:p>
              </w:tc>
            </w:tr>
            <w:tr w:rsidR="00C82386" w14:paraId="563E693A" w14:textId="77777777">
              <w:trPr>
                <w:trHeight w:val="300"/>
              </w:trPr>
              <w:tc>
                <w:tcPr>
                  <w:tcW w:w="4276" w:type="dxa"/>
                </w:tcPr>
                <w:p w14:paraId="1B96B771" w14:textId="77777777" w:rsidR="00C82386" w:rsidRDefault="00E66F64">
                  <w:pPr>
                    <w:jc w:val="both"/>
                    <w:rPr>
                      <w:rFonts w:ascii="Times New Roman" w:eastAsia="Times New Roman" w:hAnsi="Times New Roman" w:cs="Times New Roman"/>
                      <w:color w:val="000000"/>
                      <w:sz w:val="24"/>
                      <w:szCs w:val="24"/>
                    </w:rPr>
                  </w:pPr>
                  <w:bookmarkStart w:id="125" w:name="_heading=h.42ddq1a" w:colFirst="0" w:colLast="0"/>
                  <w:bookmarkEnd w:id="125"/>
                  <w:r>
                    <w:rPr>
                      <w:rFonts w:ascii="Times New Roman" w:eastAsia="Times New Roman" w:hAnsi="Times New Roman" w:cs="Times New Roman"/>
                      <w:color w:val="000000"/>
                      <w:sz w:val="24"/>
                      <w:szCs w:val="24"/>
                    </w:rPr>
                    <w:t xml:space="preserve">Забезпечення лікарень, шкіл,  автономними  джерелами електроенергії; </w:t>
                  </w:r>
                </w:p>
              </w:tc>
              <w:tc>
                <w:tcPr>
                  <w:tcW w:w="999" w:type="dxa"/>
                </w:tcPr>
                <w:p w14:paraId="0008374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62,8%</w:t>
                  </w:r>
                </w:p>
              </w:tc>
            </w:tr>
            <w:tr w:rsidR="00C82386" w14:paraId="71624A4F" w14:textId="77777777">
              <w:trPr>
                <w:trHeight w:val="300"/>
              </w:trPr>
              <w:tc>
                <w:tcPr>
                  <w:tcW w:w="4276" w:type="dxa"/>
                </w:tcPr>
                <w:p w14:paraId="3357B143" w14:textId="77777777" w:rsidR="00C82386" w:rsidRDefault="00E66F64">
                  <w:pPr>
                    <w:jc w:val="both"/>
                    <w:rPr>
                      <w:rFonts w:ascii="Times New Roman" w:eastAsia="Times New Roman" w:hAnsi="Times New Roman" w:cs="Times New Roman"/>
                      <w:color w:val="000000"/>
                      <w:sz w:val="24"/>
                      <w:szCs w:val="24"/>
                    </w:rPr>
                  </w:pPr>
                  <w:bookmarkStart w:id="126" w:name="_heading=h.2hio093" w:colFirst="0" w:colLast="0"/>
                  <w:bookmarkEnd w:id="126"/>
                  <w:r>
                    <w:rPr>
                      <w:rFonts w:ascii="Times New Roman" w:eastAsia="Times New Roman" w:hAnsi="Times New Roman" w:cs="Times New Roman"/>
                      <w:color w:val="000000"/>
                      <w:sz w:val="24"/>
                      <w:szCs w:val="24"/>
                    </w:rPr>
                    <w:t xml:space="preserve">Розроблення програми встановлення у навчальних та лікувальних закладах сонячних колекторів для нагріву води та економії електроенергії, теплових насосів для опалення; </w:t>
                  </w:r>
                </w:p>
              </w:tc>
              <w:tc>
                <w:tcPr>
                  <w:tcW w:w="999" w:type="dxa"/>
                </w:tcPr>
                <w:p w14:paraId="46381AA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54,4%</w:t>
                  </w:r>
                </w:p>
              </w:tc>
            </w:tr>
          </w:tbl>
          <w:p w14:paraId="62C99EE6" w14:textId="77777777" w:rsidR="00C82386" w:rsidRDefault="00C82386">
            <w:pPr>
              <w:jc w:val="both"/>
              <w:rPr>
                <w:rFonts w:ascii="Times New Roman" w:eastAsia="Times New Roman" w:hAnsi="Times New Roman" w:cs="Times New Roman"/>
                <w:color w:val="000000"/>
                <w:sz w:val="24"/>
                <w:szCs w:val="24"/>
              </w:rPr>
            </w:pPr>
            <w:bookmarkStart w:id="127" w:name="_heading=h.wnyagw" w:colFirst="0" w:colLast="0"/>
            <w:bookmarkEnd w:id="127"/>
          </w:p>
          <w:p w14:paraId="6BE1D47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14:paraId="51A0BD2F" w14:textId="77777777" w:rsidR="00C82386" w:rsidRDefault="00C82386">
            <w:pPr>
              <w:jc w:val="both"/>
              <w:rPr>
                <w:rFonts w:ascii="Times New Roman" w:eastAsia="Times New Roman" w:hAnsi="Times New Roman" w:cs="Times New Roman"/>
                <w:color w:val="000000"/>
                <w:sz w:val="24"/>
                <w:szCs w:val="24"/>
              </w:rPr>
            </w:pPr>
          </w:p>
          <w:p w14:paraId="1E8699E7" w14:textId="77777777" w:rsidR="00C82386" w:rsidRDefault="00C82386">
            <w:pPr>
              <w:jc w:val="both"/>
              <w:rPr>
                <w:rFonts w:ascii="Times New Roman" w:eastAsia="Times New Roman" w:hAnsi="Times New Roman" w:cs="Times New Roman"/>
                <w:color w:val="000000"/>
                <w:sz w:val="24"/>
                <w:szCs w:val="24"/>
              </w:rPr>
            </w:pPr>
          </w:p>
          <w:p w14:paraId="2CCB06FD" w14:textId="77777777" w:rsidR="00C82386" w:rsidRDefault="00C82386">
            <w:pPr>
              <w:jc w:val="both"/>
              <w:rPr>
                <w:rFonts w:ascii="Times New Roman" w:eastAsia="Times New Roman" w:hAnsi="Times New Roman" w:cs="Times New Roman"/>
                <w:color w:val="000000"/>
                <w:sz w:val="24"/>
                <w:szCs w:val="24"/>
              </w:rPr>
            </w:pPr>
          </w:p>
          <w:p w14:paraId="03D7EA1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Перелік першочергових заходів, які на думку опитуваних має  впроваджувати місцева влада, щоб адаптувати зелені зони (парки, сквери, лісосмуги). </w:t>
            </w:r>
          </w:p>
          <w:tbl>
            <w:tblPr>
              <w:tblStyle w:val="afffffffffe"/>
              <w:tblW w:w="545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1062"/>
            </w:tblGrid>
            <w:tr w:rsidR="00C82386" w14:paraId="0F1AFFAC" w14:textId="77777777">
              <w:trPr>
                <w:trHeight w:val="300"/>
              </w:trPr>
              <w:tc>
                <w:tcPr>
                  <w:tcW w:w="4390" w:type="dxa"/>
                </w:tcPr>
                <w:p w14:paraId="0D3CF19E" w14:textId="77777777" w:rsidR="00C82386" w:rsidRDefault="00E66F64">
                  <w:pPr>
                    <w:spacing w:before="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Збільшення кількості зелених насаджень (створення нових парків, скверів, лісосмуг)</w:t>
                  </w:r>
                </w:p>
              </w:tc>
              <w:tc>
                <w:tcPr>
                  <w:tcW w:w="1062" w:type="dxa"/>
                </w:tcPr>
                <w:p w14:paraId="760DEBC6" w14:textId="77777777" w:rsidR="00C82386" w:rsidRDefault="00E66F64">
                  <w:pPr>
                    <w:spacing w:before="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75,6%</w:t>
                  </w:r>
                </w:p>
              </w:tc>
            </w:tr>
            <w:tr w:rsidR="00C82386" w14:paraId="6B5DE805" w14:textId="77777777">
              <w:trPr>
                <w:trHeight w:val="300"/>
              </w:trPr>
              <w:tc>
                <w:tcPr>
                  <w:tcW w:w="4390" w:type="dxa"/>
                </w:tcPr>
                <w:p w14:paraId="19CF1CF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Зміна методики обслуговування зелених зон (відповідальний догляд за насадженнями, відміна кронування, полив) </w:t>
                  </w:r>
                </w:p>
              </w:tc>
              <w:tc>
                <w:tcPr>
                  <w:tcW w:w="1062" w:type="dxa"/>
                </w:tcPr>
                <w:p w14:paraId="3996DB0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51,1%</w:t>
                  </w:r>
                </w:p>
              </w:tc>
            </w:tr>
            <w:tr w:rsidR="00C82386" w14:paraId="00926CC0" w14:textId="77777777">
              <w:trPr>
                <w:trHeight w:val="300"/>
              </w:trPr>
              <w:tc>
                <w:tcPr>
                  <w:tcW w:w="4390" w:type="dxa"/>
                </w:tcPr>
                <w:p w14:paraId="0C9AFC6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інвентаризації та паспортизації зелених насаджень</w:t>
                  </w:r>
                </w:p>
              </w:tc>
              <w:tc>
                <w:tcPr>
                  <w:tcW w:w="1062" w:type="dxa"/>
                </w:tcPr>
                <w:p w14:paraId="30D1ED8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37,2%</w:t>
                  </w:r>
                </w:p>
              </w:tc>
            </w:tr>
            <w:tr w:rsidR="00C82386" w14:paraId="454196A3" w14:textId="77777777">
              <w:trPr>
                <w:trHeight w:val="375"/>
              </w:trPr>
              <w:tc>
                <w:tcPr>
                  <w:tcW w:w="4390" w:type="dxa"/>
                </w:tcPr>
                <w:p w14:paraId="0C62BC46" w14:textId="77777777" w:rsidR="00C82386" w:rsidRDefault="00E66F64">
                  <w:pPr>
                    <w:ind w:right="18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Заборона забудови існуючих зелених зон.</w:t>
                  </w:r>
                </w:p>
              </w:tc>
              <w:tc>
                <w:tcPr>
                  <w:tcW w:w="1062" w:type="dxa"/>
                </w:tcPr>
                <w:p w14:paraId="42DD779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72,8%</w:t>
                  </w:r>
                </w:p>
              </w:tc>
            </w:tr>
            <w:tr w:rsidR="00C82386" w14:paraId="403230FA" w14:textId="77777777">
              <w:trPr>
                <w:trHeight w:val="300"/>
              </w:trPr>
              <w:tc>
                <w:tcPr>
                  <w:tcW w:w="4390" w:type="dxa"/>
                </w:tcPr>
                <w:p w14:paraId="003CC4FC"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Висадження посухостійких рослин, здатних давати тінь, стримувати пил, вітер </w:t>
                  </w:r>
                </w:p>
              </w:tc>
              <w:tc>
                <w:tcPr>
                  <w:tcW w:w="1062" w:type="dxa"/>
                </w:tcPr>
                <w:p w14:paraId="365D9BE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55,6% </w:t>
                  </w:r>
                </w:p>
              </w:tc>
            </w:tr>
            <w:tr w:rsidR="00C82386" w14:paraId="2041D312" w14:textId="77777777">
              <w:trPr>
                <w:trHeight w:val="300"/>
              </w:trPr>
              <w:tc>
                <w:tcPr>
                  <w:tcW w:w="4390" w:type="dxa"/>
                </w:tcPr>
                <w:p w14:paraId="608DC30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Озеленення прибережних ділянок </w:t>
                  </w:r>
                </w:p>
              </w:tc>
              <w:tc>
                <w:tcPr>
                  <w:tcW w:w="1062" w:type="dxa"/>
                </w:tcPr>
                <w:p w14:paraId="3980E0E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44,4%</w:t>
                  </w:r>
                </w:p>
              </w:tc>
            </w:tr>
            <w:tr w:rsidR="00C82386" w14:paraId="42B9CA78" w14:textId="77777777">
              <w:trPr>
                <w:trHeight w:val="300"/>
              </w:trPr>
              <w:tc>
                <w:tcPr>
                  <w:tcW w:w="4390" w:type="dxa"/>
                </w:tcPr>
                <w:p w14:paraId="184B0D6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Боротьба з шкідливими видами рослин та рослинами-алергенами</w:t>
                  </w:r>
                </w:p>
              </w:tc>
              <w:tc>
                <w:tcPr>
                  <w:tcW w:w="1062" w:type="dxa"/>
                </w:tcPr>
                <w:p w14:paraId="124D837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60,6%</w:t>
                  </w:r>
                </w:p>
              </w:tc>
            </w:tr>
          </w:tbl>
          <w:p w14:paraId="6C992DB1"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Перелік першочергових заходів, які на думку опитуваних має впроваджувати місцева влада, щоб зменшити негативні наслідки впливу зміни клімату на здоров’я населення:</w:t>
            </w:r>
          </w:p>
          <w:tbl>
            <w:tblPr>
              <w:tblStyle w:val="affffffffff"/>
              <w:tblW w:w="54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9"/>
              <w:gridCol w:w="900"/>
            </w:tblGrid>
            <w:tr w:rsidR="00C82386" w14:paraId="60364E68" w14:textId="77777777">
              <w:trPr>
                <w:trHeight w:val="300"/>
              </w:trPr>
              <w:tc>
                <w:tcPr>
                  <w:tcW w:w="4559" w:type="dxa"/>
                </w:tcPr>
                <w:p w14:paraId="4B7ABFC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Моніторинг за інфекційними та неінфекційними захворюваннями, переносниками та збудниками інфекційних хвороб, на які впливає зміна клімату, а також профілактика цих захворювань</w:t>
                  </w:r>
                </w:p>
              </w:tc>
              <w:tc>
                <w:tcPr>
                  <w:tcW w:w="900" w:type="dxa"/>
                </w:tcPr>
                <w:p w14:paraId="3F1D403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49,4%</w:t>
                  </w:r>
                </w:p>
              </w:tc>
            </w:tr>
            <w:tr w:rsidR="00C82386" w14:paraId="03F50E03" w14:textId="77777777">
              <w:trPr>
                <w:trHeight w:val="300"/>
              </w:trPr>
              <w:tc>
                <w:tcPr>
                  <w:tcW w:w="4559" w:type="dxa"/>
                </w:tcPr>
                <w:p w14:paraId="1E6ADB5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протиепідемічних заходів захисту населення в умовах зміни клімату (поліпшення гігієнічного рівня населення, медична освіта, вакцинація, реєстрація і контроль переносників хвороб)</w:t>
                  </w:r>
                </w:p>
              </w:tc>
              <w:tc>
                <w:tcPr>
                  <w:tcW w:w="900" w:type="dxa"/>
                </w:tcPr>
                <w:p w14:paraId="046DD0E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52,1%</w:t>
                  </w:r>
                </w:p>
              </w:tc>
            </w:tr>
            <w:tr w:rsidR="00C82386" w14:paraId="243F7826" w14:textId="77777777">
              <w:trPr>
                <w:trHeight w:val="300"/>
              </w:trPr>
              <w:tc>
                <w:tcPr>
                  <w:tcW w:w="4559" w:type="dxa"/>
                </w:tcPr>
                <w:p w14:paraId="6B272A8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Моніторинг стану річок, ставків, озер, колодязів, що можуть стати осередком незадовільної санітарно-епідеміологічної ситуації</w:t>
                  </w:r>
                </w:p>
              </w:tc>
              <w:tc>
                <w:tcPr>
                  <w:tcW w:w="900" w:type="dxa"/>
                </w:tcPr>
                <w:p w14:paraId="58969784"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74,4%</w:t>
                  </w:r>
                </w:p>
              </w:tc>
            </w:tr>
            <w:tr w:rsidR="00C82386" w14:paraId="37BED6FF" w14:textId="77777777">
              <w:trPr>
                <w:trHeight w:val="300"/>
              </w:trPr>
              <w:tc>
                <w:tcPr>
                  <w:tcW w:w="4559" w:type="dxa"/>
                </w:tcPr>
                <w:p w14:paraId="31F1117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Система сповіщень про небезпечні природні та техногенні умови </w:t>
                  </w:r>
                </w:p>
              </w:tc>
              <w:tc>
                <w:tcPr>
                  <w:tcW w:w="900" w:type="dxa"/>
                </w:tcPr>
                <w:p w14:paraId="0836C20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53,3%</w:t>
                  </w:r>
                </w:p>
              </w:tc>
            </w:tr>
            <w:tr w:rsidR="00C82386" w14:paraId="15DB9E7F" w14:textId="77777777">
              <w:trPr>
                <w:trHeight w:val="300"/>
              </w:trPr>
              <w:tc>
                <w:tcPr>
                  <w:tcW w:w="4559" w:type="dxa"/>
                </w:tcPr>
                <w:p w14:paraId="2F4AB48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Впровадити програми профілактики інфекційних та вірусних захворювань, викликаних та/або посилених зміною клімату</w:t>
                  </w:r>
                </w:p>
              </w:tc>
              <w:tc>
                <w:tcPr>
                  <w:tcW w:w="900" w:type="dxa"/>
                </w:tcPr>
                <w:p w14:paraId="5FFD5CBD"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38,3%</w:t>
                  </w:r>
                </w:p>
              </w:tc>
            </w:tr>
            <w:tr w:rsidR="00C82386" w14:paraId="0BF44653" w14:textId="77777777">
              <w:trPr>
                <w:trHeight w:val="300"/>
              </w:trPr>
              <w:tc>
                <w:tcPr>
                  <w:tcW w:w="4559" w:type="dxa"/>
                </w:tcPr>
                <w:p w14:paraId="255C2DD4" w14:textId="77777777" w:rsidR="00C82386" w:rsidRDefault="00E66F64">
                  <w:pPr>
                    <w:ind w:right="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страхових програм на випадок негативних наслідків від зміни клімату</w:t>
                  </w:r>
                </w:p>
              </w:tc>
              <w:tc>
                <w:tcPr>
                  <w:tcW w:w="900" w:type="dxa"/>
                </w:tcPr>
                <w:p w14:paraId="5C56E0A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41,7%</w:t>
                  </w:r>
                </w:p>
              </w:tc>
            </w:tr>
          </w:tbl>
          <w:p w14:paraId="353A9CB8" w14:textId="77777777" w:rsidR="00C82386" w:rsidRDefault="00C82386">
            <w:pPr>
              <w:spacing w:before="240" w:after="240"/>
              <w:jc w:val="both"/>
              <w:rPr>
                <w:rFonts w:ascii="Times New Roman" w:eastAsia="Times New Roman" w:hAnsi="Times New Roman" w:cs="Times New Roman"/>
                <w:color w:val="000000"/>
                <w:sz w:val="24"/>
                <w:szCs w:val="24"/>
              </w:rPr>
            </w:pPr>
          </w:p>
          <w:p w14:paraId="249B0C06" w14:textId="77777777" w:rsidR="00C82386" w:rsidRDefault="00C82386">
            <w:pPr>
              <w:spacing w:before="240" w:after="240"/>
              <w:jc w:val="both"/>
              <w:rPr>
                <w:rFonts w:ascii="Times New Roman" w:eastAsia="Times New Roman" w:hAnsi="Times New Roman" w:cs="Times New Roman"/>
                <w:color w:val="000000"/>
                <w:sz w:val="24"/>
                <w:szCs w:val="24"/>
              </w:rPr>
            </w:pPr>
          </w:p>
          <w:p w14:paraId="6B28F91A" w14:textId="77777777" w:rsidR="00C82386" w:rsidRDefault="00E66F64">
            <w:pPr>
              <w:spacing w:before="240"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Перелік заходів, які мешканці готові робити для зменшення наслідків від зміни клімату у вашій громаді?</w:t>
            </w:r>
          </w:p>
          <w:tbl>
            <w:tblPr>
              <w:tblStyle w:val="affffffffff0"/>
              <w:tblW w:w="55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8"/>
              <w:gridCol w:w="998"/>
            </w:tblGrid>
            <w:tr w:rsidR="00C82386" w14:paraId="5F13B135" w14:textId="77777777">
              <w:trPr>
                <w:trHeight w:val="300"/>
              </w:trPr>
              <w:tc>
                <w:tcPr>
                  <w:tcW w:w="4559" w:type="dxa"/>
                </w:tcPr>
                <w:p w14:paraId="1DE939C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садити дерева і доглядати за ними</w:t>
                  </w:r>
                </w:p>
              </w:tc>
              <w:tc>
                <w:tcPr>
                  <w:tcW w:w="998" w:type="dxa"/>
                </w:tcPr>
                <w:p w14:paraId="17597CC1"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74,4%</w:t>
                  </w:r>
                </w:p>
              </w:tc>
            </w:tr>
            <w:tr w:rsidR="00C82386" w14:paraId="086E0CC3" w14:textId="77777777">
              <w:trPr>
                <w:trHeight w:val="300"/>
              </w:trPr>
              <w:tc>
                <w:tcPr>
                  <w:tcW w:w="4559" w:type="dxa"/>
                </w:tcPr>
                <w:p w14:paraId="118227D5"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користуватися екологічним транспортом (велосипеди, електрокари, тролейбуси, поїзди)</w:t>
                  </w:r>
                </w:p>
              </w:tc>
              <w:tc>
                <w:tcPr>
                  <w:tcW w:w="998" w:type="dxa"/>
                </w:tcPr>
                <w:p w14:paraId="493EC73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58,3%</w:t>
                  </w:r>
                </w:p>
              </w:tc>
            </w:tr>
            <w:tr w:rsidR="00C82386" w14:paraId="78B0C593" w14:textId="77777777">
              <w:trPr>
                <w:trHeight w:val="300"/>
              </w:trPr>
              <w:tc>
                <w:tcPr>
                  <w:tcW w:w="4559" w:type="dxa"/>
                </w:tcPr>
                <w:p w14:paraId="00EC3EA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сортувати сміття</w:t>
                  </w:r>
                </w:p>
              </w:tc>
              <w:tc>
                <w:tcPr>
                  <w:tcW w:w="998" w:type="dxa"/>
                </w:tcPr>
                <w:p w14:paraId="022C4DC9"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78,9%</w:t>
                  </w:r>
                </w:p>
              </w:tc>
            </w:tr>
            <w:tr w:rsidR="00C82386" w14:paraId="158422EC" w14:textId="77777777">
              <w:trPr>
                <w:trHeight w:val="300"/>
              </w:trPr>
              <w:tc>
                <w:tcPr>
                  <w:tcW w:w="4559" w:type="dxa"/>
                </w:tcPr>
                <w:p w14:paraId="30988E87"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зменшувати використання пластикової і поліетиленової упаковки</w:t>
                  </w:r>
                </w:p>
              </w:tc>
              <w:tc>
                <w:tcPr>
                  <w:tcW w:w="998" w:type="dxa"/>
                </w:tcPr>
                <w:p w14:paraId="67A08E68"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73,9%</w:t>
                  </w:r>
                </w:p>
              </w:tc>
            </w:tr>
            <w:tr w:rsidR="00C82386" w14:paraId="05C10EFE" w14:textId="77777777">
              <w:trPr>
                <w:trHeight w:val="300"/>
              </w:trPr>
              <w:tc>
                <w:tcPr>
                  <w:tcW w:w="4559" w:type="dxa"/>
                </w:tcPr>
                <w:p w14:paraId="093C63D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платити більше за використання води, електроенергії і газу</w:t>
                  </w:r>
                </w:p>
              </w:tc>
              <w:tc>
                <w:tcPr>
                  <w:tcW w:w="998" w:type="dxa"/>
                </w:tcPr>
                <w:p w14:paraId="6CD014F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r>
            <w:tr w:rsidR="00C82386" w14:paraId="14DBAB0F" w14:textId="77777777">
              <w:trPr>
                <w:trHeight w:val="300"/>
              </w:trPr>
              <w:tc>
                <w:tcPr>
                  <w:tcW w:w="4559" w:type="dxa"/>
                </w:tcPr>
                <w:p w14:paraId="5A68CFD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харчуватися місцевими продуктами, зменшувати кількість харчових відходів</w:t>
                  </w:r>
                </w:p>
              </w:tc>
              <w:tc>
                <w:tcPr>
                  <w:tcW w:w="998" w:type="dxa"/>
                </w:tcPr>
                <w:p w14:paraId="01FAFD7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43,3%</w:t>
                  </w:r>
                </w:p>
              </w:tc>
            </w:tr>
            <w:tr w:rsidR="00C82386" w14:paraId="7F8E8466" w14:textId="77777777">
              <w:trPr>
                <w:trHeight w:val="300"/>
              </w:trPr>
              <w:tc>
                <w:tcPr>
                  <w:tcW w:w="4559" w:type="dxa"/>
                </w:tcPr>
                <w:p w14:paraId="4A3E2196"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скоротити споживання м’яса і молочних продуктів</w:t>
                  </w:r>
                </w:p>
              </w:tc>
              <w:tc>
                <w:tcPr>
                  <w:tcW w:w="998" w:type="dxa"/>
                </w:tcPr>
                <w:p w14:paraId="4C9B5EBE"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w:t>
                  </w:r>
                </w:p>
              </w:tc>
            </w:tr>
            <w:tr w:rsidR="00C82386" w14:paraId="18717F25" w14:textId="77777777">
              <w:trPr>
                <w:trHeight w:val="300"/>
              </w:trPr>
              <w:tc>
                <w:tcPr>
                  <w:tcW w:w="4559" w:type="dxa"/>
                </w:tcPr>
                <w:p w14:paraId="197A340B"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встановити сонячні панелі, колектори</w:t>
                  </w:r>
                </w:p>
              </w:tc>
              <w:tc>
                <w:tcPr>
                  <w:tcW w:w="998" w:type="dxa"/>
                </w:tcPr>
                <w:p w14:paraId="002B4E8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25,0%</w:t>
                  </w:r>
                </w:p>
              </w:tc>
            </w:tr>
            <w:tr w:rsidR="00C82386" w14:paraId="56642CD5" w14:textId="77777777">
              <w:trPr>
                <w:trHeight w:val="300"/>
              </w:trPr>
              <w:tc>
                <w:tcPr>
                  <w:tcW w:w="4559" w:type="dxa"/>
                </w:tcPr>
                <w:p w14:paraId="552774F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відповідально і бережливо споживати</w:t>
                  </w:r>
                </w:p>
              </w:tc>
              <w:tc>
                <w:tcPr>
                  <w:tcW w:w="998" w:type="dxa"/>
                </w:tcPr>
                <w:p w14:paraId="65BE738F"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66,7%</w:t>
                  </w:r>
                </w:p>
              </w:tc>
            </w:tr>
            <w:tr w:rsidR="00C82386" w14:paraId="04B6F6DC" w14:textId="77777777">
              <w:trPr>
                <w:trHeight w:val="300"/>
              </w:trPr>
              <w:tc>
                <w:tcPr>
                  <w:tcW w:w="4559" w:type="dxa"/>
                </w:tcPr>
                <w:p w14:paraId="5C18D93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надавати перевагу ремонту речей, а не купівлі нових</w:t>
                  </w:r>
                </w:p>
              </w:tc>
              <w:tc>
                <w:tcPr>
                  <w:tcW w:w="998" w:type="dxa"/>
                </w:tcPr>
                <w:p w14:paraId="405129A2"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r>
            <w:tr w:rsidR="00C82386" w14:paraId="5A0F97FC" w14:textId="77777777">
              <w:trPr>
                <w:trHeight w:val="300"/>
              </w:trPr>
              <w:tc>
                <w:tcPr>
                  <w:tcW w:w="4559" w:type="dxa"/>
                </w:tcPr>
                <w:p w14:paraId="7A290293"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утеплити житло</w:t>
                  </w:r>
                </w:p>
              </w:tc>
              <w:tc>
                <w:tcPr>
                  <w:tcW w:w="998" w:type="dxa"/>
                </w:tcPr>
                <w:p w14:paraId="1254CB80"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47,8%</w:t>
                  </w:r>
                </w:p>
              </w:tc>
            </w:tr>
          </w:tbl>
          <w:p w14:paraId="23467803" w14:textId="77777777" w:rsidR="00C82386" w:rsidRDefault="00C82386">
            <w:pPr>
              <w:jc w:val="both"/>
              <w:rPr>
                <w:rFonts w:ascii="Times New Roman" w:eastAsia="Times New Roman" w:hAnsi="Times New Roman" w:cs="Times New Roman"/>
                <w:color w:val="000000"/>
                <w:sz w:val="24"/>
                <w:szCs w:val="24"/>
              </w:rPr>
            </w:pPr>
          </w:p>
          <w:p w14:paraId="6176E048" w14:textId="77777777" w:rsidR="00C82386" w:rsidRDefault="00C82386">
            <w:pPr>
              <w:jc w:val="both"/>
              <w:rPr>
                <w:rFonts w:ascii="Times New Roman" w:eastAsia="Times New Roman" w:hAnsi="Times New Roman" w:cs="Times New Roman"/>
                <w:color w:val="000000"/>
                <w:sz w:val="24"/>
                <w:szCs w:val="24"/>
              </w:rPr>
            </w:pPr>
          </w:p>
          <w:p w14:paraId="28871827" w14:textId="77777777" w:rsidR="00C82386" w:rsidRDefault="00C82386">
            <w:pPr>
              <w:jc w:val="both"/>
              <w:rPr>
                <w:rFonts w:ascii="Times New Roman" w:eastAsia="Times New Roman" w:hAnsi="Times New Roman" w:cs="Times New Roman"/>
                <w:color w:val="000000"/>
                <w:sz w:val="24"/>
                <w:szCs w:val="24"/>
              </w:rPr>
            </w:pPr>
          </w:p>
          <w:p w14:paraId="61B65C85" w14:textId="77777777" w:rsidR="00C82386" w:rsidRDefault="00C82386">
            <w:pPr>
              <w:jc w:val="both"/>
              <w:rPr>
                <w:rFonts w:ascii="Times New Roman" w:eastAsia="Times New Roman" w:hAnsi="Times New Roman" w:cs="Times New Roman"/>
                <w:color w:val="000000"/>
                <w:sz w:val="24"/>
                <w:szCs w:val="24"/>
              </w:rPr>
            </w:pPr>
          </w:p>
          <w:p w14:paraId="2C0837AE" w14:textId="77777777" w:rsidR="00C82386" w:rsidRDefault="00C82386">
            <w:pPr>
              <w:jc w:val="both"/>
              <w:rPr>
                <w:rFonts w:ascii="Times New Roman" w:eastAsia="Times New Roman" w:hAnsi="Times New Roman" w:cs="Times New Roman"/>
                <w:color w:val="000000"/>
                <w:sz w:val="24"/>
                <w:szCs w:val="24"/>
              </w:rPr>
            </w:pPr>
          </w:p>
          <w:p w14:paraId="524CCE20" w14:textId="77777777" w:rsidR="00C82386" w:rsidRDefault="00E66F64">
            <w:pPr>
              <w:spacing w:before="2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Можна підсумувати, що мешканці Житомира відчувають зміни клімату, що відбуваються, відчувають вплив наслідків зміни клімату вже зараз як в самопочутті так і в умовах проживання, а, відповідно і помічають вплив на інфраструктуру міста. </w:t>
            </w:r>
          </w:p>
          <w:p w14:paraId="678C7924" w14:textId="77777777" w:rsidR="00C82386" w:rsidRDefault="00C82386">
            <w:pPr>
              <w:jc w:val="both"/>
              <w:rPr>
                <w:rFonts w:ascii="Times New Roman" w:eastAsia="Times New Roman" w:hAnsi="Times New Roman" w:cs="Times New Roman"/>
                <w:color w:val="000000"/>
                <w:sz w:val="24"/>
                <w:szCs w:val="24"/>
              </w:rPr>
            </w:pPr>
          </w:p>
          <w:p w14:paraId="131039EA" w14:textId="77777777" w:rsidR="00C82386" w:rsidRDefault="00E66F64">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Очікування мешканців від дій місцевої влади зрозумілі та чіткі і мають бути враховані під час розробки адаптаційних заходів. </w:t>
            </w:r>
          </w:p>
          <w:p w14:paraId="708A85B2" w14:textId="77777777" w:rsidR="00C82386" w:rsidRDefault="00C82386">
            <w:pPr>
              <w:jc w:val="both"/>
              <w:rPr>
                <w:rFonts w:ascii="Times New Roman" w:eastAsia="Times New Roman" w:hAnsi="Times New Roman" w:cs="Times New Roman"/>
                <w:color w:val="000000"/>
                <w:sz w:val="24"/>
                <w:szCs w:val="24"/>
              </w:rPr>
            </w:pPr>
          </w:p>
        </w:tc>
      </w:tr>
    </w:tbl>
    <w:p w14:paraId="3497E77D" w14:textId="77777777" w:rsidR="00C82386" w:rsidRDefault="00C82386">
      <w:pPr>
        <w:spacing w:after="0"/>
        <w:jc w:val="both"/>
        <w:rPr>
          <w:rFonts w:ascii="Times New Roman" w:eastAsia="Times New Roman" w:hAnsi="Times New Roman" w:cs="Times New Roman"/>
          <w:sz w:val="24"/>
          <w:szCs w:val="24"/>
        </w:rPr>
      </w:pPr>
    </w:p>
    <w:p w14:paraId="42986BF2" w14:textId="77777777" w:rsidR="00C82386" w:rsidRDefault="00E66F64">
      <w:pPr>
        <w:rPr>
          <w:rFonts w:ascii="Times New Roman" w:eastAsia="Times New Roman" w:hAnsi="Times New Roman" w:cs="Times New Roman"/>
          <w:sz w:val="24"/>
          <w:szCs w:val="24"/>
        </w:rPr>
      </w:pPr>
      <w:r>
        <w:br w:type="page"/>
      </w:r>
    </w:p>
    <w:p w14:paraId="6C71EBF7"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b/>
          <w:color w:val="000000"/>
          <w:sz w:val="24"/>
          <w:szCs w:val="24"/>
        </w:rPr>
      </w:pPr>
      <w:bookmarkStart w:id="128" w:name="_heading=h.3gnlt4p" w:colFirst="0" w:colLast="0"/>
      <w:bookmarkEnd w:id="128"/>
      <w:r>
        <w:rPr>
          <w:rFonts w:ascii="Times New Roman" w:eastAsia="Times New Roman" w:hAnsi="Times New Roman" w:cs="Times New Roman"/>
          <w:b/>
          <w:color w:val="000000"/>
          <w:sz w:val="24"/>
          <w:szCs w:val="24"/>
        </w:rPr>
        <w:lastRenderedPageBreak/>
        <w:t xml:space="preserve">ДОДАТОК 5 </w:t>
      </w:r>
      <w:r>
        <w:rPr>
          <w:rFonts w:ascii="Times New Roman" w:eastAsia="Times New Roman" w:hAnsi="Times New Roman" w:cs="Times New Roman"/>
          <w:b/>
          <w:color w:val="000000"/>
          <w:sz w:val="24"/>
          <w:szCs w:val="24"/>
        </w:rPr>
        <w:br/>
        <w:t>Зсувні процеси відповідно до Паспорту ризику виникнення надзвичайних ситуацій техногенного та природного характеру на території Житомирської міської об’єднаної територіальної громади, лютий 2022</w:t>
      </w:r>
    </w:p>
    <w:p w14:paraId="697666C0" w14:textId="77777777" w:rsidR="00C82386" w:rsidRDefault="00C82386">
      <w:pPr>
        <w:pBdr>
          <w:top w:val="nil"/>
          <w:left w:val="nil"/>
          <w:bottom w:val="nil"/>
          <w:right w:val="nil"/>
          <w:between w:val="nil"/>
        </w:pBdr>
        <w:jc w:val="both"/>
        <w:rPr>
          <w:rFonts w:ascii="Times New Roman" w:eastAsia="Times New Roman" w:hAnsi="Times New Roman" w:cs="Times New Roman"/>
          <w:color w:val="000000"/>
          <w:sz w:val="24"/>
          <w:szCs w:val="24"/>
        </w:rPr>
      </w:pPr>
    </w:p>
    <w:tbl>
      <w:tblPr>
        <w:tblStyle w:val="affffffffff1"/>
        <w:tblW w:w="903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1555"/>
        <w:gridCol w:w="1829"/>
        <w:gridCol w:w="1860"/>
        <w:gridCol w:w="1560"/>
      </w:tblGrid>
      <w:tr w:rsidR="00C82386" w14:paraId="0DBDB9BA" w14:textId="77777777" w:rsidTr="00C22217">
        <w:trPr>
          <w:trHeight w:val="871"/>
        </w:trPr>
        <w:tc>
          <w:tcPr>
            <w:tcW w:w="2235" w:type="dxa"/>
            <w:shd w:val="clear" w:color="auto" w:fill="EBF1DD"/>
            <w:vAlign w:val="center"/>
          </w:tcPr>
          <w:p w14:paraId="7E50D60C"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Адреса</w:t>
            </w:r>
          </w:p>
        </w:tc>
        <w:tc>
          <w:tcPr>
            <w:tcW w:w="1555" w:type="dxa"/>
            <w:shd w:val="clear" w:color="auto" w:fill="EBF1DD"/>
            <w:vAlign w:val="center"/>
          </w:tcPr>
          <w:p w14:paraId="7E3085B0"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Ураженість території зсувами, </w:t>
            </w:r>
            <w:r>
              <w:rPr>
                <w:rFonts w:ascii="Times New Roman" w:eastAsia="Times New Roman" w:hAnsi="Times New Roman" w:cs="Times New Roman"/>
                <w:color w:val="000000"/>
                <w:sz w:val="24"/>
                <w:szCs w:val="24"/>
              </w:rPr>
              <w:br/>
              <w:t>кв. км.</w:t>
            </w:r>
          </w:p>
        </w:tc>
        <w:tc>
          <w:tcPr>
            <w:tcW w:w="1829" w:type="dxa"/>
            <w:shd w:val="clear" w:color="auto" w:fill="EBF1DD"/>
            <w:vAlign w:val="center"/>
          </w:tcPr>
          <w:p w14:paraId="2685B08B"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зсувів, шт.</w:t>
            </w:r>
          </w:p>
        </w:tc>
        <w:tc>
          <w:tcPr>
            <w:tcW w:w="1860" w:type="dxa"/>
            <w:shd w:val="clear" w:color="auto" w:fill="EBF1DD"/>
            <w:vAlign w:val="center"/>
          </w:tcPr>
          <w:p w14:paraId="71D284DB"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населення у зонах зсувів, чол.</w:t>
            </w:r>
          </w:p>
        </w:tc>
        <w:tc>
          <w:tcPr>
            <w:tcW w:w="1560" w:type="dxa"/>
            <w:shd w:val="clear" w:color="auto" w:fill="EBF1DD"/>
            <w:vAlign w:val="center"/>
          </w:tcPr>
          <w:p w14:paraId="343FC6E3"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Примітка</w:t>
            </w:r>
          </w:p>
        </w:tc>
      </w:tr>
      <w:tr w:rsidR="00C82386" w14:paraId="49C7358F" w14:textId="77777777" w:rsidTr="00C22217">
        <w:trPr>
          <w:trHeight w:val="684"/>
        </w:trPr>
        <w:tc>
          <w:tcPr>
            <w:tcW w:w="2235" w:type="dxa"/>
            <w:vAlign w:val="center"/>
          </w:tcPr>
          <w:p w14:paraId="428ABE1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Клосовського, Сурина гора</w:t>
            </w:r>
          </w:p>
        </w:tc>
        <w:tc>
          <w:tcPr>
            <w:tcW w:w="1555" w:type="dxa"/>
            <w:vAlign w:val="center"/>
          </w:tcPr>
          <w:p w14:paraId="5FAAF73B"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 0,95</w:t>
            </w:r>
          </w:p>
        </w:tc>
        <w:tc>
          <w:tcPr>
            <w:tcW w:w="1829" w:type="dxa"/>
            <w:vAlign w:val="center"/>
          </w:tcPr>
          <w:p w14:paraId="3CDB76D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860" w:type="dxa"/>
            <w:vAlign w:val="center"/>
          </w:tcPr>
          <w:p w14:paraId="4A6AD8DE"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2500</w:t>
            </w:r>
          </w:p>
        </w:tc>
        <w:tc>
          <w:tcPr>
            <w:tcW w:w="1560" w:type="dxa"/>
            <w:vAlign w:val="center"/>
          </w:tcPr>
          <w:p w14:paraId="000E906C" w14:textId="77777777" w:rsidR="00C82386" w:rsidRDefault="00C82386">
            <w:pPr>
              <w:spacing w:after="0"/>
              <w:rPr>
                <w:rFonts w:ascii="Times New Roman" w:eastAsia="Times New Roman" w:hAnsi="Times New Roman" w:cs="Times New Roman"/>
                <w:color w:val="000000"/>
                <w:sz w:val="24"/>
                <w:szCs w:val="24"/>
              </w:rPr>
            </w:pPr>
          </w:p>
        </w:tc>
      </w:tr>
      <w:tr w:rsidR="00C82386" w14:paraId="18C2CF40" w14:textId="77777777" w:rsidTr="00C22217">
        <w:trPr>
          <w:trHeight w:val="871"/>
        </w:trPr>
        <w:tc>
          <w:tcPr>
            <w:tcW w:w="2235" w:type="dxa"/>
            <w:shd w:val="clear" w:color="auto" w:fill="EBF1DD"/>
            <w:vAlign w:val="center"/>
          </w:tcPr>
          <w:p w14:paraId="7A5E7CDF"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Адреса</w:t>
            </w:r>
          </w:p>
        </w:tc>
        <w:tc>
          <w:tcPr>
            <w:tcW w:w="1555" w:type="dxa"/>
            <w:shd w:val="clear" w:color="auto" w:fill="EBF1DD"/>
            <w:vAlign w:val="center"/>
          </w:tcPr>
          <w:p w14:paraId="15E98142"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Ураженість території зсувами, </w:t>
            </w:r>
            <w:r>
              <w:rPr>
                <w:rFonts w:ascii="Times New Roman" w:eastAsia="Times New Roman" w:hAnsi="Times New Roman" w:cs="Times New Roman"/>
                <w:color w:val="000000"/>
                <w:sz w:val="24"/>
                <w:szCs w:val="24"/>
              </w:rPr>
              <w:br/>
              <w:t>кв. км.</w:t>
            </w:r>
          </w:p>
        </w:tc>
        <w:tc>
          <w:tcPr>
            <w:tcW w:w="1829" w:type="dxa"/>
            <w:shd w:val="clear" w:color="auto" w:fill="EBF1DD"/>
            <w:vAlign w:val="center"/>
          </w:tcPr>
          <w:p w14:paraId="3A107966"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зсувів, шт.</w:t>
            </w:r>
          </w:p>
        </w:tc>
        <w:tc>
          <w:tcPr>
            <w:tcW w:w="1860" w:type="dxa"/>
            <w:shd w:val="clear" w:color="auto" w:fill="EBF1DD"/>
            <w:vAlign w:val="center"/>
          </w:tcPr>
          <w:p w14:paraId="250E0F47"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населення у зонах зсувів, чол.</w:t>
            </w:r>
          </w:p>
        </w:tc>
        <w:tc>
          <w:tcPr>
            <w:tcW w:w="1560" w:type="dxa"/>
            <w:shd w:val="clear" w:color="auto" w:fill="EBF1DD"/>
            <w:vAlign w:val="center"/>
          </w:tcPr>
          <w:p w14:paraId="276CECBD"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Примітка</w:t>
            </w:r>
          </w:p>
        </w:tc>
      </w:tr>
      <w:tr w:rsidR="00C82386" w14:paraId="26393296" w14:textId="77777777" w:rsidTr="00C22217">
        <w:trPr>
          <w:trHeight w:val="310"/>
        </w:trPr>
        <w:tc>
          <w:tcPr>
            <w:tcW w:w="2235" w:type="dxa"/>
            <w:vAlign w:val="center"/>
          </w:tcPr>
          <w:p w14:paraId="049593C2"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Замкова гора</w:t>
            </w:r>
          </w:p>
        </w:tc>
        <w:tc>
          <w:tcPr>
            <w:tcW w:w="1555" w:type="dxa"/>
            <w:vAlign w:val="center"/>
          </w:tcPr>
          <w:p w14:paraId="79523438" w14:textId="77777777" w:rsidR="00C82386" w:rsidRDefault="00C82386">
            <w:pPr>
              <w:spacing w:after="0"/>
              <w:jc w:val="center"/>
              <w:rPr>
                <w:rFonts w:ascii="Times New Roman" w:eastAsia="Times New Roman" w:hAnsi="Times New Roman" w:cs="Times New Roman"/>
                <w:color w:val="000000"/>
                <w:sz w:val="24"/>
                <w:szCs w:val="24"/>
              </w:rPr>
            </w:pPr>
          </w:p>
        </w:tc>
        <w:tc>
          <w:tcPr>
            <w:tcW w:w="1829" w:type="dxa"/>
            <w:vAlign w:val="center"/>
          </w:tcPr>
          <w:p w14:paraId="61AA31C4" w14:textId="77777777" w:rsidR="00C82386" w:rsidRDefault="00C82386">
            <w:pPr>
              <w:spacing w:after="0"/>
              <w:rPr>
                <w:rFonts w:ascii="Times New Roman" w:eastAsia="Times New Roman" w:hAnsi="Times New Roman" w:cs="Times New Roman"/>
                <w:color w:val="000000"/>
                <w:sz w:val="24"/>
                <w:szCs w:val="24"/>
              </w:rPr>
            </w:pPr>
          </w:p>
        </w:tc>
        <w:tc>
          <w:tcPr>
            <w:tcW w:w="1860" w:type="dxa"/>
            <w:vAlign w:val="center"/>
          </w:tcPr>
          <w:p w14:paraId="59441BEC"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w:t>
            </w:r>
          </w:p>
        </w:tc>
        <w:tc>
          <w:tcPr>
            <w:tcW w:w="1560" w:type="dxa"/>
            <w:vAlign w:val="center"/>
          </w:tcPr>
          <w:p w14:paraId="24EFFFE8" w14:textId="77777777" w:rsidR="00C82386" w:rsidRDefault="00C82386">
            <w:pPr>
              <w:spacing w:after="0"/>
              <w:rPr>
                <w:rFonts w:ascii="Times New Roman" w:eastAsia="Times New Roman" w:hAnsi="Times New Roman" w:cs="Times New Roman"/>
                <w:color w:val="000000"/>
                <w:sz w:val="24"/>
                <w:szCs w:val="24"/>
              </w:rPr>
            </w:pPr>
          </w:p>
        </w:tc>
      </w:tr>
      <w:tr w:rsidR="00C82386" w14:paraId="33070654" w14:textId="77777777" w:rsidTr="00C22217">
        <w:trPr>
          <w:trHeight w:val="476"/>
        </w:trPr>
        <w:tc>
          <w:tcPr>
            <w:tcW w:w="2235" w:type="dxa"/>
            <w:vAlign w:val="center"/>
          </w:tcPr>
          <w:p w14:paraId="7B566D0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Шевченка (ЦДМЛ)</w:t>
            </w:r>
          </w:p>
        </w:tc>
        <w:tc>
          <w:tcPr>
            <w:tcW w:w="1555" w:type="dxa"/>
            <w:vAlign w:val="center"/>
          </w:tcPr>
          <w:p w14:paraId="3DA1526D" w14:textId="77777777" w:rsidR="00C82386" w:rsidRDefault="00C82386">
            <w:pPr>
              <w:spacing w:after="0"/>
              <w:jc w:val="center"/>
              <w:rPr>
                <w:rFonts w:ascii="Times New Roman" w:eastAsia="Times New Roman" w:hAnsi="Times New Roman" w:cs="Times New Roman"/>
                <w:color w:val="000000"/>
                <w:sz w:val="24"/>
                <w:szCs w:val="24"/>
              </w:rPr>
            </w:pPr>
          </w:p>
        </w:tc>
        <w:tc>
          <w:tcPr>
            <w:tcW w:w="1829" w:type="dxa"/>
            <w:vAlign w:val="center"/>
          </w:tcPr>
          <w:p w14:paraId="70E3F1F1" w14:textId="77777777" w:rsidR="00C82386" w:rsidRDefault="00C82386">
            <w:pPr>
              <w:spacing w:after="0"/>
              <w:rPr>
                <w:rFonts w:ascii="Times New Roman" w:eastAsia="Times New Roman" w:hAnsi="Times New Roman" w:cs="Times New Roman"/>
                <w:color w:val="000000"/>
                <w:sz w:val="24"/>
                <w:szCs w:val="24"/>
              </w:rPr>
            </w:pPr>
          </w:p>
        </w:tc>
        <w:tc>
          <w:tcPr>
            <w:tcW w:w="1860" w:type="dxa"/>
            <w:vAlign w:val="center"/>
          </w:tcPr>
          <w:p w14:paraId="73C59C4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120</w:t>
            </w:r>
          </w:p>
        </w:tc>
        <w:tc>
          <w:tcPr>
            <w:tcW w:w="1560" w:type="dxa"/>
            <w:vAlign w:val="center"/>
          </w:tcPr>
          <w:p w14:paraId="7F09B8E4" w14:textId="77777777" w:rsidR="00C82386" w:rsidRDefault="00C82386">
            <w:pPr>
              <w:spacing w:after="0"/>
              <w:rPr>
                <w:rFonts w:ascii="Times New Roman" w:eastAsia="Times New Roman" w:hAnsi="Times New Roman" w:cs="Times New Roman"/>
                <w:color w:val="000000"/>
                <w:sz w:val="24"/>
                <w:szCs w:val="24"/>
              </w:rPr>
            </w:pPr>
          </w:p>
        </w:tc>
      </w:tr>
      <w:tr w:rsidR="00C82386" w14:paraId="2B5E879F" w14:textId="77777777" w:rsidTr="00C22217">
        <w:trPr>
          <w:trHeight w:val="310"/>
        </w:trPr>
        <w:tc>
          <w:tcPr>
            <w:tcW w:w="2235" w:type="dxa"/>
            <w:vAlign w:val="center"/>
          </w:tcPr>
          <w:p w14:paraId="2F8A95F7"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Свободи</w:t>
            </w:r>
          </w:p>
        </w:tc>
        <w:tc>
          <w:tcPr>
            <w:tcW w:w="1555" w:type="dxa"/>
            <w:vAlign w:val="center"/>
          </w:tcPr>
          <w:p w14:paraId="72A7E936" w14:textId="77777777" w:rsidR="00C82386" w:rsidRDefault="00C82386">
            <w:pPr>
              <w:spacing w:after="0"/>
              <w:jc w:val="center"/>
              <w:rPr>
                <w:rFonts w:ascii="Times New Roman" w:eastAsia="Times New Roman" w:hAnsi="Times New Roman" w:cs="Times New Roman"/>
                <w:color w:val="000000"/>
                <w:sz w:val="24"/>
                <w:szCs w:val="24"/>
              </w:rPr>
            </w:pPr>
          </w:p>
        </w:tc>
        <w:tc>
          <w:tcPr>
            <w:tcW w:w="1829" w:type="dxa"/>
            <w:vAlign w:val="center"/>
          </w:tcPr>
          <w:p w14:paraId="2EAABD92" w14:textId="77777777" w:rsidR="00C82386" w:rsidRDefault="00C82386">
            <w:pPr>
              <w:spacing w:after="0"/>
              <w:rPr>
                <w:rFonts w:ascii="Times New Roman" w:eastAsia="Times New Roman" w:hAnsi="Times New Roman" w:cs="Times New Roman"/>
                <w:color w:val="000000"/>
                <w:sz w:val="24"/>
                <w:szCs w:val="24"/>
              </w:rPr>
            </w:pPr>
          </w:p>
        </w:tc>
        <w:tc>
          <w:tcPr>
            <w:tcW w:w="1860" w:type="dxa"/>
            <w:vAlign w:val="center"/>
          </w:tcPr>
          <w:p w14:paraId="673754BE"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w:t>
            </w:r>
          </w:p>
        </w:tc>
        <w:tc>
          <w:tcPr>
            <w:tcW w:w="1560" w:type="dxa"/>
            <w:vAlign w:val="center"/>
          </w:tcPr>
          <w:p w14:paraId="50BADA89" w14:textId="77777777" w:rsidR="00C82386" w:rsidRDefault="00C82386">
            <w:pPr>
              <w:spacing w:after="0"/>
              <w:rPr>
                <w:rFonts w:ascii="Times New Roman" w:eastAsia="Times New Roman" w:hAnsi="Times New Roman" w:cs="Times New Roman"/>
                <w:color w:val="000000"/>
                <w:sz w:val="24"/>
                <w:szCs w:val="24"/>
              </w:rPr>
            </w:pPr>
          </w:p>
        </w:tc>
      </w:tr>
      <w:tr w:rsidR="00C82386" w14:paraId="66B9C365" w14:textId="77777777" w:rsidTr="00C22217">
        <w:trPr>
          <w:trHeight w:val="557"/>
        </w:trPr>
        <w:tc>
          <w:tcPr>
            <w:tcW w:w="2235" w:type="dxa"/>
            <w:vAlign w:val="center"/>
          </w:tcPr>
          <w:p w14:paraId="6485AE09"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Чуднівська</w:t>
            </w:r>
          </w:p>
          <w:p w14:paraId="77726FD9"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Чуднівський</w:t>
            </w:r>
          </w:p>
        </w:tc>
        <w:tc>
          <w:tcPr>
            <w:tcW w:w="1555" w:type="dxa"/>
            <w:vAlign w:val="center"/>
          </w:tcPr>
          <w:p w14:paraId="7C39DD33" w14:textId="77777777" w:rsidR="00C82386" w:rsidRDefault="00C82386">
            <w:pPr>
              <w:spacing w:after="0"/>
              <w:jc w:val="center"/>
              <w:rPr>
                <w:rFonts w:ascii="Times New Roman" w:eastAsia="Times New Roman" w:hAnsi="Times New Roman" w:cs="Times New Roman"/>
                <w:color w:val="000000"/>
                <w:sz w:val="24"/>
                <w:szCs w:val="24"/>
              </w:rPr>
            </w:pPr>
          </w:p>
        </w:tc>
        <w:tc>
          <w:tcPr>
            <w:tcW w:w="1829" w:type="dxa"/>
            <w:vAlign w:val="center"/>
          </w:tcPr>
          <w:p w14:paraId="52E7FA04" w14:textId="77777777" w:rsidR="00C82386" w:rsidRDefault="00C82386">
            <w:pPr>
              <w:spacing w:after="0"/>
              <w:rPr>
                <w:rFonts w:ascii="Times New Roman" w:eastAsia="Times New Roman" w:hAnsi="Times New Roman" w:cs="Times New Roman"/>
                <w:color w:val="000000"/>
                <w:sz w:val="24"/>
                <w:szCs w:val="24"/>
              </w:rPr>
            </w:pPr>
          </w:p>
        </w:tc>
        <w:tc>
          <w:tcPr>
            <w:tcW w:w="1860" w:type="dxa"/>
            <w:vAlign w:val="center"/>
          </w:tcPr>
          <w:p w14:paraId="286F5B79"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w:t>
            </w:r>
          </w:p>
        </w:tc>
        <w:tc>
          <w:tcPr>
            <w:tcW w:w="1560" w:type="dxa"/>
            <w:vAlign w:val="center"/>
          </w:tcPr>
          <w:p w14:paraId="5314F9A3" w14:textId="77777777" w:rsidR="00C82386" w:rsidRDefault="00C82386">
            <w:pPr>
              <w:spacing w:after="0"/>
              <w:rPr>
                <w:rFonts w:ascii="Times New Roman" w:eastAsia="Times New Roman" w:hAnsi="Times New Roman" w:cs="Times New Roman"/>
                <w:color w:val="000000"/>
                <w:sz w:val="24"/>
                <w:szCs w:val="24"/>
              </w:rPr>
            </w:pPr>
          </w:p>
        </w:tc>
      </w:tr>
      <w:tr w:rsidR="00C82386" w14:paraId="1945A4F4" w14:textId="77777777" w:rsidTr="00C22217">
        <w:trPr>
          <w:trHeight w:val="290"/>
        </w:trPr>
        <w:tc>
          <w:tcPr>
            <w:tcW w:w="2235" w:type="dxa"/>
            <w:vAlign w:val="center"/>
          </w:tcPr>
          <w:p w14:paraId="7F89EA1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Береговий</w:t>
            </w:r>
          </w:p>
        </w:tc>
        <w:tc>
          <w:tcPr>
            <w:tcW w:w="1555" w:type="dxa"/>
            <w:vAlign w:val="center"/>
          </w:tcPr>
          <w:p w14:paraId="68E61326" w14:textId="77777777" w:rsidR="00C82386" w:rsidRDefault="00C82386">
            <w:pPr>
              <w:spacing w:after="0"/>
              <w:jc w:val="center"/>
              <w:rPr>
                <w:rFonts w:ascii="Times New Roman" w:eastAsia="Times New Roman" w:hAnsi="Times New Roman" w:cs="Times New Roman"/>
                <w:color w:val="000000"/>
                <w:sz w:val="24"/>
                <w:szCs w:val="24"/>
              </w:rPr>
            </w:pPr>
          </w:p>
        </w:tc>
        <w:tc>
          <w:tcPr>
            <w:tcW w:w="1829" w:type="dxa"/>
            <w:vAlign w:val="center"/>
          </w:tcPr>
          <w:p w14:paraId="5D798BD1" w14:textId="77777777" w:rsidR="00C82386" w:rsidRDefault="00C82386">
            <w:pPr>
              <w:spacing w:after="0"/>
              <w:rPr>
                <w:rFonts w:ascii="Times New Roman" w:eastAsia="Times New Roman" w:hAnsi="Times New Roman" w:cs="Times New Roman"/>
                <w:color w:val="000000"/>
                <w:sz w:val="24"/>
                <w:szCs w:val="24"/>
              </w:rPr>
            </w:pPr>
          </w:p>
        </w:tc>
        <w:tc>
          <w:tcPr>
            <w:tcW w:w="1860" w:type="dxa"/>
            <w:vAlign w:val="center"/>
          </w:tcPr>
          <w:p w14:paraId="1AF5CA2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tc>
        <w:tc>
          <w:tcPr>
            <w:tcW w:w="1560" w:type="dxa"/>
            <w:vAlign w:val="center"/>
          </w:tcPr>
          <w:p w14:paraId="62595CB0" w14:textId="77777777" w:rsidR="00C82386" w:rsidRDefault="00C82386">
            <w:pPr>
              <w:spacing w:after="0"/>
              <w:rPr>
                <w:rFonts w:ascii="Times New Roman" w:eastAsia="Times New Roman" w:hAnsi="Times New Roman" w:cs="Times New Roman"/>
                <w:color w:val="000000"/>
                <w:sz w:val="24"/>
                <w:szCs w:val="24"/>
              </w:rPr>
            </w:pPr>
          </w:p>
        </w:tc>
      </w:tr>
    </w:tbl>
    <w:p w14:paraId="1FD5F664" w14:textId="77777777" w:rsidR="00C82386" w:rsidRDefault="00C82386">
      <w:pPr>
        <w:pBdr>
          <w:top w:val="nil"/>
          <w:left w:val="nil"/>
          <w:bottom w:val="nil"/>
          <w:right w:val="nil"/>
          <w:between w:val="nil"/>
        </w:pBdr>
        <w:jc w:val="both"/>
        <w:rPr>
          <w:rFonts w:ascii="Times New Roman" w:eastAsia="Times New Roman" w:hAnsi="Times New Roman" w:cs="Times New Roman"/>
          <w:color w:val="000000"/>
          <w:sz w:val="24"/>
          <w:szCs w:val="24"/>
        </w:rPr>
      </w:pPr>
    </w:p>
    <w:p w14:paraId="6E5A1452" w14:textId="77777777" w:rsidR="00C82386" w:rsidRDefault="00E66F64">
      <w:pPr>
        <w:rPr>
          <w:rFonts w:ascii="Times New Roman" w:eastAsia="Times New Roman" w:hAnsi="Times New Roman" w:cs="Times New Roman"/>
          <w:sz w:val="24"/>
          <w:szCs w:val="24"/>
        </w:rPr>
      </w:pPr>
      <w:r>
        <w:br w:type="page"/>
      </w:r>
    </w:p>
    <w:p w14:paraId="10CA7E42" w14:textId="77777777" w:rsidR="00C82386" w:rsidRDefault="00E66F64">
      <w:pPr>
        <w:keepNext/>
        <w:keepLines/>
        <w:pBdr>
          <w:top w:val="nil"/>
          <w:left w:val="nil"/>
          <w:bottom w:val="nil"/>
          <w:right w:val="nil"/>
          <w:between w:val="nil"/>
        </w:pBdr>
        <w:spacing w:before="480" w:after="0"/>
        <w:rPr>
          <w:rFonts w:ascii="Times New Roman" w:eastAsia="Times New Roman" w:hAnsi="Times New Roman" w:cs="Times New Roman"/>
          <w:color w:val="000000"/>
          <w:sz w:val="24"/>
          <w:szCs w:val="24"/>
        </w:rPr>
      </w:pPr>
      <w:bookmarkStart w:id="129" w:name="_heading=h.1vsw3ci" w:colFirst="0" w:colLast="0"/>
      <w:bookmarkEnd w:id="129"/>
      <w:r>
        <w:rPr>
          <w:rFonts w:ascii="Times New Roman" w:eastAsia="Times New Roman" w:hAnsi="Times New Roman" w:cs="Times New Roman"/>
          <w:b/>
          <w:color w:val="000000"/>
          <w:sz w:val="24"/>
          <w:szCs w:val="24"/>
        </w:rPr>
        <w:lastRenderedPageBreak/>
        <w:t>ДОДАТОК 6</w:t>
      </w:r>
      <w:r>
        <w:rPr>
          <w:rFonts w:ascii="Times New Roman" w:eastAsia="Times New Roman" w:hAnsi="Times New Roman" w:cs="Times New Roman"/>
          <w:b/>
          <w:color w:val="000000"/>
          <w:sz w:val="24"/>
          <w:szCs w:val="24"/>
        </w:rPr>
        <w:br/>
        <w:t>Процеси підтоплення відповідно до Паспорту ризику виникнення надзвичайних ситуацій техногенного та природного характеру на території Житомирської міської об’єднаної територіальної громади, лютий 2022</w:t>
      </w:r>
    </w:p>
    <w:p w14:paraId="435A762E" w14:textId="77777777" w:rsidR="00C82386" w:rsidRDefault="00C82386">
      <w:pPr>
        <w:pBdr>
          <w:top w:val="nil"/>
          <w:left w:val="nil"/>
          <w:bottom w:val="nil"/>
          <w:right w:val="nil"/>
          <w:between w:val="nil"/>
        </w:pBdr>
        <w:rPr>
          <w:rFonts w:ascii="Times New Roman" w:eastAsia="Times New Roman" w:hAnsi="Times New Roman" w:cs="Times New Roman"/>
          <w:color w:val="000000"/>
          <w:sz w:val="24"/>
          <w:szCs w:val="24"/>
        </w:rPr>
      </w:pPr>
    </w:p>
    <w:tbl>
      <w:tblPr>
        <w:tblStyle w:val="affffffffff2"/>
        <w:tblW w:w="875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2672"/>
        <w:gridCol w:w="3252"/>
      </w:tblGrid>
      <w:tr w:rsidR="00C82386" w14:paraId="4C89F1AC" w14:textId="77777777" w:rsidTr="00B7553A">
        <w:tc>
          <w:tcPr>
            <w:tcW w:w="2830" w:type="dxa"/>
            <w:shd w:val="clear" w:color="auto" w:fill="EBF1DD"/>
          </w:tcPr>
          <w:p w14:paraId="00749224"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Адреса</w:t>
            </w:r>
          </w:p>
        </w:tc>
        <w:tc>
          <w:tcPr>
            <w:tcW w:w="2672" w:type="dxa"/>
            <w:shd w:val="clear" w:color="auto" w:fill="EBF1DD"/>
            <w:vAlign w:val="center"/>
          </w:tcPr>
          <w:p w14:paraId="131710E0"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Ураженість підтоплених територій, кв. км</w:t>
            </w:r>
          </w:p>
        </w:tc>
        <w:tc>
          <w:tcPr>
            <w:tcW w:w="3252" w:type="dxa"/>
            <w:shd w:val="clear" w:color="auto" w:fill="EBF1DD"/>
            <w:vAlign w:val="center"/>
          </w:tcPr>
          <w:p w14:paraId="76EF11C7"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населення у зоні підтоплення, чол</w:t>
            </w:r>
          </w:p>
        </w:tc>
      </w:tr>
      <w:tr w:rsidR="00C82386" w14:paraId="38313F2E" w14:textId="77777777" w:rsidTr="00B7553A">
        <w:tc>
          <w:tcPr>
            <w:tcW w:w="2830" w:type="dxa"/>
          </w:tcPr>
          <w:p w14:paraId="630924C8"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Саєнка</w:t>
            </w:r>
          </w:p>
        </w:tc>
        <w:tc>
          <w:tcPr>
            <w:tcW w:w="2672" w:type="dxa"/>
            <w:vAlign w:val="center"/>
          </w:tcPr>
          <w:p w14:paraId="70D4E991"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0,45</w:t>
            </w:r>
          </w:p>
        </w:tc>
        <w:tc>
          <w:tcPr>
            <w:tcW w:w="3252" w:type="dxa"/>
            <w:vAlign w:val="center"/>
          </w:tcPr>
          <w:p w14:paraId="33114282"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1400</w:t>
            </w:r>
          </w:p>
        </w:tc>
      </w:tr>
      <w:tr w:rsidR="00C82386" w14:paraId="32F13B94" w14:textId="77777777" w:rsidTr="00B7553A">
        <w:tc>
          <w:tcPr>
            <w:tcW w:w="2830" w:type="dxa"/>
          </w:tcPr>
          <w:p w14:paraId="5451AC4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Мар'янівська</w:t>
            </w:r>
          </w:p>
          <w:p w14:paraId="5C4A7D66"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Руданська</w:t>
            </w:r>
          </w:p>
        </w:tc>
        <w:tc>
          <w:tcPr>
            <w:tcW w:w="2672" w:type="dxa"/>
            <w:vAlign w:val="center"/>
          </w:tcPr>
          <w:p w14:paraId="30B9A3F2"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0,24</w:t>
            </w:r>
          </w:p>
        </w:tc>
        <w:tc>
          <w:tcPr>
            <w:tcW w:w="3252" w:type="dxa"/>
            <w:vAlign w:val="center"/>
          </w:tcPr>
          <w:p w14:paraId="5CD35859"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760</w:t>
            </w:r>
          </w:p>
        </w:tc>
      </w:tr>
      <w:tr w:rsidR="00C82386" w14:paraId="2E99B331" w14:textId="77777777" w:rsidTr="00B7553A">
        <w:tc>
          <w:tcPr>
            <w:tcW w:w="2830" w:type="dxa"/>
          </w:tcPr>
          <w:p w14:paraId="6B877029"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Якова Зайка</w:t>
            </w:r>
          </w:p>
        </w:tc>
        <w:tc>
          <w:tcPr>
            <w:tcW w:w="2672" w:type="dxa"/>
            <w:vAlign w:val="center"/>
          </w:tcPr>
          <w:p w14:paraId="45E6B51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0,32</w:t>
            </w:r>
          </w:p>
        </w:tc>
        <w:tc>
          <w:tcPr>
            <w:tcW w:w="3252" w:type="dxa"/>
            <w:vAlign w:val="center"/>
          </w:tcPr>
          <w:p w14:paraId="3EBE88F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1020</w:t>
            </w:r>
          </w:p>
        </w:tc>
      </w:tr>
      <w:tr w:rsidR="00C82386" w14:paraId="62E2A5BB" w14:textId="77777777" w:rsidTr="00B7553A">
        <w:tc>
          <w:tcPr>
            <w:tcW w:w="2830" w:type="dxa"/>
          </w:tcPr>
          <w:p w14:paraId="597C2682"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Крошенська набережна</w:t>
            </w:r>
          </w:p>
        </w:tc>
        <w:tc>
          <w:tcPr>
            <w:tcW w:w="2672" w:type="dxa"/>
            <w:vAlign w:val="center"/>
          </w:tcPr>
          <w:p w14:paraId="0ADE1C8D"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0,21</w:t>
            </w:r>
          </w:p>
        </w:tc>
        <w:tc>
          <w:tcPr>
            <w:tcW w:w="3252" w:type="dxa"/>
            <w:vAlign w:val="center"/>
          </w:tcPr>
          <w:p w14:paraId="05FA001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660</w:t>
            </w:r>
          </w:p>
        </w:tc>
      </w:tr>
      <w:tr w:rsidR="00C82386" w14:paraId="27C9F778" w14:textId="77777777" w:rsidTr="00B7553A">
        <w:tc>
          <w:tcPr>
            <w:tcW w:w="2830" w:type="dxa"/>
          </w:tcPr>
          <w:p w14:paraId="2BFCF14B"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Миклухо-Маклая</w:t>
            </w:r>
          </w:p>
        </w:tc>
        <w:tc>
          <w:tcPr>
            <w:tcW w:w="2672" w:type="dxa"/>
            <w:vAlign w:val="center"/>
          </w:tcPr>
          <w:p w14:paraId="21C1957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0,12</w:t>
            </w:r>
          </w:p>
        </w:tc>
        <w:tc>
          <w:tcPr>
            <w:tcW w:w="3252" w:type="dxa"/>
            <w:vAlign w:val="center"/>
          </w:tcPr>
          <w:p w14:paraId="1A902AE3"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370</w:t>
            </w:r>
          </w:p>
        </w:tc>
      </w:tr>
      <w:tr w:rsidR="00C82386" w14:paraId="53AD9046" w14:textId="77777777" w:rsidTr="00B7553A">
        <w:tc>
          <w:tcPr>
            <w:tcW w:w="2830" w:type="dxa"/>
          </w:tcPr>
          <w:p w14:paraId="0A27887E"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Федора Терещенка, 2-й Сосновий</w:t>
            </w:r>
          </w:p>
        </w:tc>
        <w:tc>
          <w:tcPr>
            <w:tcW w:w="2672" w:type="dxa"/>
            <w:vAlign w:val="center"/>
          </w:tcPr>
          <w:p w14:paraId="29AC11B5"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3252" w:type="dxa"/>
            <w:vAlign w:val="center"/>
          </w:tcPr>
          <w:p w14:paraId="49300E9E"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320</w:t>
            </w:r>
          </w:p>
        </w:tc>
      </w:tr>
      <w:tr w:rsidR="00C82386" w14:paraId="4EC3ADA9" w14:textId="77777777" w:rsidTr="00B7553A">
        <w:tc>
          <w:tcPr>
            <w:tcW w:w="2830" w:type="dxa"/>
          </w:tcPr>
          <w:p w14:paraId="4484B53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Лівобережна</w:t>
            </w:r>
            <w:r w:rsidR="00D00C82">
              <w:rPr>
                <w:rFonts w:ascii="Times New Roman" w:eastAsia="Times New Roman" w:hAnsi="Times New Roman" w:cs="Times New Roman"/>
                <w:color w:val="000000"/>
                <w:sz w:val="24"/>
                <w:szCs w:val="24"/>
              </w:rPr>
              <w:t xml:space="preserve"> (р. </w:t>
            </w:r>
            <w:r>
              <w:rPr>
                <w:rFonts w:ascii="Times New Roman" w:eastAsia="Times New Roman" w:hAnsi="Times New Roman" w:cs="Times New Roman"/>
                <w:color w:val="000000"/>
                <w:sz w:val="24"/>
                <w:szCs w:val="24"/>
              </w:rPr>
              <w:t>Кам'янка)</w:t>
            </w:r>
          </w:p>
        </w:tc>
        <w:tc>
          <w:tcPr>
            <w:tcW w:w="2672" w:type="dxa"/>
            <w:vAlign w:val="center"/>
          </w:tcPr>
          <w:p w14:paraId="32287BAF"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0,15</w:t>
            </w:r>
          </w:p>
        </w:tc>
        <w:tc>
          <w:tcPr>
            <w:tcW w:w="3252" w:type="dxa"/>
            <w:vAlign w:val="center"/>
          </w:tcPr>
          <w:p w14:paraId="561DC2B6"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470</w:t>
            </w:r>
          </w:p>
        </w:tc>
      </w:tr>
      <w:tr w:rsidR="00C82386" w14:paraId="2816255E" w14:textId="77777777" w:rsidTr="00B7553A">
        <w:tc>
          <w:tcPr>
            <w:tcW w:w="2830" w:type="dxa"/>
          </w:tcPr>
          <w:p w14:paraId="43EA1BA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 Цегельний </w:t>
            </w:r>
          </w:p>
          <w:p w14:paraId="0734187C"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(Ботанічний сад)</w:t>
            </w:r>
          </w:p>
        </w:tc>
        <w:tc>
          <w:tcPr>
            <w:tcW w:w="2672" w:type="dxa"/>
            <w:vAlign w:val="center"/>
          </w:tcPr>
          <w:p w14:paraId="749C0AB6"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0,12</w:t>
            </w:r>
          </w:p>
        </w:tc>
        <w:tc>
          <w:tcPr>
            <w:tcW w:w="3252" w:type="dxa"/>
            <w:vAlign w:val="center"/>
          </w:tcPr>
          <w:p w14:paraId="2153D4C4"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r>
      <w:tr w:rsidR="00C82386" w14:paraId="4D6498F2" w14:textId="77777777" w:rsidTr="00B7553A">
        <w:tc>
          <w:tcPr>
            <w:tcW w:w="2830" w:type="dxa"/>
          </w:tcPr>
          <w:p w14:paraId="74A44988"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І. Огієнка</w:t>
            </w:r>
          </w:p>
        </w:tc>
        <w:tc>
          <w:tcPr>
            <w:tcW w:w="2672" w:type="dxa"/>
            <w:vAlign w:val="center"/>
          </w:tcPr>
          <w:p w14:paraId="5DA5E40F"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0,03</w:t>
            </w:r>
          </w:p>
        </w:tc>
        <w:tc>
          <w:tcPr>
            <w:tcW w:w="3252" w:type="dxa"/>
            <w:vAlign w:val="center"/>
          </w:tcPr>
          <w:p w14:paraId="402B04D1"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r>
      <w:tr w:rsidR="00C82386" w14:paraId="2B160B23" w14:textId="77777777" w:rsidTr="00B7553A">
        <w:tc>
          <w:tcPr>
            <w:tcW w:w="2830" w:type="dxa"/>
          </w:tcPr>
          <w:p w14:paraId="274C5FA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Бічний</w:t>
            </w:r>
          </w:p>
        </w:tc>
        <w:tc>
          <w:tcPr>
            <w:tcW w:w="2672" w:type="dxa"/>
            <w:vAlign w:val="center"/>
          </w:tcPr>
          <w:p w14:paraId="37FE0DB7"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0,06</w:t>
            </w:r>
          </w:p>
        </w:tc>
        <w:tc>
          <w:tcPr>
            <w:tcW w:w="3252" w:type="dxa"/>
            <w:vAlign w:val="center"/>
          </w:tcPr>
          <w:p w14:paraId="2860F7F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190</w:t>
            </w:r>
          </w:p>
        </w:tc>
      </w:tr>
      <w:tr w:rsidR="00C82386" w14:paraId="1F3EEF2A" w14:textId="77777777" w:rsidTr="00B7553A">
        <w:tc>
          <w:tcPr>
            <w:tcW w:w="2830" w:type="dxa"/>
          </w:tcPr>
          <w:p w14:paraId="07B604F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Комунальний</w:t>
            </w:r>
          </w:p>
        </w:tc>
        <w:tc>
          <w:tcPr>
            <w:tcW w:w="2672" w:type="dxa"/>
            <w:vAlign w:val="center"/>
          </w:tcPr>
          <w:p w14:paraId="6CE99454"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0,15</w:t>
            </w:r>
          </w:p>
        </w:tc>
        <w:tc>
          <w:tcPr>
            <w:tcW w:w="3252" w:type="dxa"/>
            <w:vAlign w:val="center"/>
          </w:tcPr>
          <w:p w14:paraId="57EC4C7B"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470</w:t>
            </w:r>
          </w:p>
        </w:tc>
      </w:tr>
      <w:tr w:rsidR="00C82386" w14:paraId="0196407F" w14:textId="77777777" w:rsidTr="00B7553A">
        <w:tc>
          <w:tcPr>
            <w:tcW w:w="2830" w:type="dxa"/>
          </w:tcPr>
          <w:p w14:paraId="4C69E7FD"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Житній ринок</w:t>
            </w:r>
          </w:p>
        </w:tc>
        <w:tc>
          <w:tcPr>
            <w:tcW w:w="2672" w:type="dxa"/>
            <w:vAlign w:val="center"/>
          </w:tcPr>
          <w:p w14:paraId="15F5A490"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0,05</w:t>
            </w:r>
          </w:p>
        </w:tc>
        <w:tc>
          <w:tcPr>
            <w:tcW w:w="3252" w:type="dxa"/>
            <w:vAlign w:val="center"/>
          </w:tcPr>
          <w:p w14:paraId="0BB6DF04"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160</w:t>
            </w:r>
          </w:p>
        </w:tc>
      </w:tr>
      <w:tr w:rsidR="00C82386" w14:paraId="57448FF1" w14:textId="77777777" w:rsidTr="00B7553A">
        <w:tc>
          <w:tcPr>
            <w:tcW w:w="2830" w:type="dxa"/>
          </w:tcPr>
          <w:p w14:paraId="7C3509C5"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Парникова</w:t>
            </w:r>
          </w:p>
        </w:tc>
        <w:tc>
          <w:tcPr>
            <w:tcW w:w="2672" w:type="dxa"/>
            <w:vAlign w:val="center"/>
          </w:tcPr>
          <w:p w14:paraId="19C4CF45"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3252" w:type="dxa"/>
            <w:vAlign w:val="center"/>
          </w:tcPr>
          <w:p w14:paraId="2E503D18"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320</w:t>
            </w:r>
          </w:p>
        </w:tc>
      </w:tr>
      <w:tr w:rsidR="00C82386" w14:paraId="17F130FE" w14:textId="77777777" w:rsidTr="00B7553A">
        <w:tc>
          <w:tcPr>
            <w:tcW w:w="2830" w:type="dxa"/>
          </w:tcPr>
          <w:p w14:paraId="7C5302AA"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вул. Зелена, Лісна</w:t>
            </w:r>
          </w:p>
        </w:tc>
        <w:tc>
          <w:tcPr>
            <w:tcW w:w="2672" w:type="dxa"/>
            <w:vAlign w:val="center"/>
          </w:tcPr>
          <w:p w14:paraId="179A261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0,15</w:t>
            </w:r>
          </w:p>
        </w:tc>
        <w:tc>
          <w:tcPr>
            <w:tcW w:w="3252" w:type="dxa"/>
            <w:vAlign w:val="center"/>
          </w:tcPr>
          <w:p w14:paraId="0FB46E1E"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470</w:t>
            </w:r>
          </w:p>
        </w:tc>
      </w:tr>
      <w:tr w:rsidR="00C82386" w14:paraId="69B5A481" w14:textId="77777777" w:rsidTr="00B7553A">
        <w:tc>
          <w:tcPr>
            <w:tcW w:w="2830" w:type="dxa"/>
          </w:tcPr>
          <w:p w14:paraId="1AF14DAD"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 Фізкультурний</w:t>
            </w:r>
          </w:p>
        </w:tc>
        <w:tc>
          <w:tcPr>
            <w:tcW w:w="2672" w:type="dxa"/>
            <w:vAlign w:val="center"/>
          </w:tcPr>
          <w:p w14:paraId="363DB1AD"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0,05</w:t>
            </w:r>
          </w:p>
        </w:tc>
        <w:tc>
          <w:tcPr>
            <w:tcW w:w="3252" w:type="dxa"/>
            <w:vAlign w:val="center"/>
          </w:tcPr>
          <w:p w14:paraId="77D60CCA"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160</w:t>
            </w:r>
          </w:p>
        </w:tc>
      </w:tr>
      <w:tr w:rsidR="00C82386" w14:paraId="187FC3B3" w14:textId="77777777" w:rsidTr="00B7553A">
        <w:tc>
          <w:tcPr>
            <w:tcW w:w="2830" w:type="dxa"/>
            <w:shd w:val="clear" w:color="auto" w:fill="D9D9D9"/>
          </w:tcPr>
          <w:p w14:paraId="7874E444" w14:textId="77777777" w:rsidR="00C82386" w:rsidRDefault="00E66F6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Усього</w:t>
            </w:r>
          </w:p>
        </w:tc>
        <w:tc>
          <w:tcPr>
            <w:tcW w:w="2672" w:type="dxa"/>
            <w:shd w:val="clear" w:color="auto" w:fill="D9D9D9"/>
            <w:vAlign w:val="center"/>
          </w:tcPr>
          <w:p w14:paraId="37660B20"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w:t>
            </w:r>
          </w:p>
        </w:tc>
        <w:tc>
          <w:tcPr>
            <w:tcW w:w="3252" w:type="dxa"/>
            <w:shd w:val="clear" w:color="auto" w:fill="D9D9D9"/>
            <w:vAlign w:val="center"/>
          </w:tcPr>
          <w:p w14:paraId="60C59F5E" w14:textId="77777777" w:rsidR="00C82386" w:rsidRDefault="00E66F64">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7170</w:t>
            </w:r>
          </w:p>
        </w:tc>
      </w:tr>
    </w:tbl>
    <w:p w14:paraId="788368BD" w14:textId="77777777" w:rsidR="00C82386" w:rsidRDefault="00C82386">
      <w:pPr>
        <w:pBdr>
          <w:top w:val="nil"/>
          <w:left w:val="nil"/>
          <w:bottom w:val="nil"/>
          <w:right w:val="nil"/>
          <w:between w:val="nil"/>
        </w:pBdr>
        <w:spacing w:after="0"/>
        <w:rPr>
          <w:rFonts w:ascii="Times New Roman" w:eastAsia="Times New Roman" w:hAnsi="Times New Roman" w:cs="Times New Roman"/>
          <w:color w:val="000000"/>
          <w:sz w:val="24"/>
          <w:szCs w:val="24"/>
        </w:rPr>
      </w:pPr>
    </w:p>
    <w:p w14:paraId="64561C22" w14:textId="77777777" w:rsidR="00C82386" w:rsidRDefault="00C82386">
      <w:pPr>
        <w:pBdr>
          <w:top w:val="nil"/>
          <w:left w:val="nil"/>
          <w:bottom w:val="nil"/>
          <w:right w:val="nil"/>
          <w:between w:val="nil"/>
        </w:pBdr>
        <w:spacing w:after="0"/>
        <w:rPr>
          <w:rFonts w:ascii="Times New Roman" w:eastAsia="Times New Roman" w:hAnsi="Times New Roman" w:cs="Times New Roman"/>
          <w:color w:val="000000"/>
          <w:sz w:val="24"/>
          <w:szCs w:val="24"/>
        </w:rPr>
      </w:pPr>
    </w:p>
    <w:p w14:paraId="56823FC2" w14:textId="77777777" w:rsidR="00C82386" w:rsidRDefault="00C82386">
      <w:pPr>
        <w:pBdr>
          <w:top w:val="nil"/>
          <w:left w:val="nil"/>
          <w:bottom w:val="nil"/>
          <w:right w:val="nil"/>
          <w:between w:val="nil"/>
        </w:pBdr>
        <w:spacing w:after="0"/>
        <w:rPr>
          <w:rFonts w:ascii="Times New Roman" w:eastAsia="Times New Roman" w:hAnsi="Times New Roman" w:cs="Times New Roman"/>
          <w:color w:val="000000"/>
          <w:sz w:val="24"/>
          <w:szCs w:val="24"/>
        </w:rPr>
      </w:pPr>
    </w:p>
    <w:p w14:paraId="5DD4D588" w14:textId="77777777" w:rsidR="00C82386" w:rsidRDefault="00C82386">
      <w:pPr>
        <w:pBdr>
          <w:top w:val="nil"/>
          <w:left w:val="nil"/>
          <w:bottom w:val="nil"/>
          <w:right w:val="nil"/>
          <w:between w:val="nil"/>
        </w:pBdr>
        <w:spacing w:after="0"/>
        <w:rPr>
          <w:rFonts w:ascii="Times New Roman" w:eastAsia="Times New Roman" w:hAnsi="Times New Roman" w:cs="Times New Roman"/>
          <w:color w:val="000000"/>
          <w:sz w:val="24"/>
          <w:szCs w:val="24"/>
        </w:rPr>
      </w:pPr>
    </w:p>
    <w:p w14:paraId="4910BD5D" w14:textId="77777777" w:rsidR="00C82386" w:rsidRDefault="00C82386">
      <w:pPr>
        <w:pBdr>
          <w:top w:val="nil"/>
          <w:left w:val="nil"/>
          <w:bottom w:val="nil"/>
          <w:right w:val="nil"/>
          <w:between w:val="nil"/>
        </w:pBdr>
        <w:rPr>
          <w:rFonts w:ascii="Times New Roman" w:eastAsia="Times New Roman" w:hAnsi="Times New Roman" w:cs="Times New Roman"/>
          <w:color w:val="000000"/>
          <w:sz w:val="24"/>
          <w:szCs w:val="24"/>
        </w:rPr>
      </w:pPr>
    </w:p>
    <w:sectPr w:rsidR="00C82386">
      <w:headerReference w:type="even" r:id="rId262"/>
      <w:headerReference w:type="default" r:id="rId263"/>
      <w:footerReference w:type="even" r:id="rId264"/>
      <w:footerReference w:type="default" r:id="rId265"/>
      <w:headerReference w:type="first" r:id="rId266"/>
      <w:footerReference w:type="first" r:id="rId267"/>
      <w:pgSz w:w="11906" w:h="16838"/>
      <w:pgMar w:top="957" w:right="1416" w:bottom="1276"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EB008" w14:textId="77777777" w:rsidR="00CB3A1E" w:rsidRDefault="00CB3A1E">
      <w:pPr>
        <w:spacing w:after="0" w:line="240" w:lineRule="auto"/>
      </w:pPr>
      <w:r>
        <w:separator/>
      </w:r>
    </w:p>
  </w:endnote>
  <w:endnote w:type="continuationSeparator" w:id="0">
    <w:p w14:paraId="2B71D9E2" w14:textId="77777777" w:rsidR="00CB3A1E" w:rsidRDefault="00CB3A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Roboto Medium">
    <w:charset w:val="00"/>
    <w:family w:val="auto"/>
    <w:pitch w:val="variable"/>
    <w:sig w:usb0="E0000AFF" w:usb1="5000217F" w:usb2="00000021" w:usb3="00000000" w:csb0="0000019F" w:csb1="00000000"/>
  </w:font>
  <w:font w:name="Roboto Light">
    <w:charset w:val="00"/>
    <w:family w:val="auto"/>
    <w:pitch w:val="variable"/>
    <w:sig w:usb0="E0000AFF" w:usb1="5000217F" w:usb2="00000021" w:usb3="00000000" w:csb0="0000019F" w:csb1="00000000"/>
  </w:font>
  <w:font w:name="Liberation Serif">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Gungsuh">
    <w:altName w:val="Times New Roman"/>
    <w:charset w:val="81"/>
    <w:family w:val="roman"/>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89A7B" w14:textId="77777777" w:rsidR="00BD7402" w:rsidRPr="00D1501A" w:rsidRDefault="00BD7402">
    <w:pPr>
      <w:pBdr>
        <w:top w:val="nil"/>
        <w:left w:val="nil"/>
        <w:bottom w:val="nil"/>
        <w:right w:val="nil"/>
        <w:between w:val="nil"/>
      </w:pBdr>
      <w:tabs>
        <w:tab w:val="center" w:pos="4677"/>
        <w:tab w:val="right" w:pos="9355"/>
      </w:tabs>
      <w:spacing w:after="0" w:line="240" w:lineRule="auto"/>
      <w:jc w:val="right"/>
      <w:rPr>
        <w:rFonts w:ascii="Times New Roman" w:hAnsi="Times New Roman" w:cs="Times New Roman"/>
        <w:color w:val="000000"/>
      </w:rPr>
    </w:pPr>
    <w:r w:rsidRPr="00D1501A">
      <w:rPr>
        <w:rFonts w:ascii="Times New Roman" w:hAnsi="Times New Roman" w:cs="Times New Roman"/>
        <w:color w:val="000000"/>
      </w:rPr>
      <w:fldChar w:fldCharType="begin"/>
    </w:r>
    <w:r w:rsidRPr="00D1501A">
      <w:rPr>
        <w:rFonts w:ascii="Times New Roman" w:hAnsi="Times New Roman" w:cs="Times New Roman"/>
        <w:color w:val="000000"/>
      </w:rPr>
      <w:instrText>PAGE</w:instrText>
    </w:r>
    <w:r w:rsidRPr="00D1501A">
      <w:rPr>
        <w:rFonts w:ascii="Times New Roman" w:hAnsi="Times New Roman" w:cs="Times New Roman"/>
        <w:color w:val="000000"/>
      </w:rPr>
      <w:fldChar w:fldCharType="separate"/>
    </w:r>
    <w:r w:rsidR="00B4069B">
      <w:rPr>
        <w:rFonts w:ascii="Times New Roman" w:hAnsi="Times New Roman" w:cs="Times New Roman"/>
        <w:noProof/>
        <w:color w:val="000000"/>
      </w:rPr>
      <w:t>5</w:t>
    </w:r>
    <w:r w:rsidRPr="00D1501A">
      <w:rPr>
        <w:rFonts w:ascii="Times New Roman" w:hAnsi="Times New Roman" w:cs="Times New Roman"/>
        <w:color w:val="000000"/>
      </w:rPr>
      <w:fldChar w:fldCharType="end"/>
    </w:r>
  </w:p>
  <w:p w14:paraId="6E6B53FF" w14:textId="77777777" w:rsidR="00BD7402" w:rsidRDefault="00BD7402" w:rsidP="00563EC7">
    <w:pPr>
      <w:pBdr>
        <w:top w:val="nil"/>
        <w:left w:val="nil"/>
        <w:bottom w:val="nil"/>
        <w:right w:val="nil"/>
        <w:between w:val="nil"/>
      </w:pBdr>
      <w:tabs>
        <w:tab w:val="center" w:pos="4677"/>
        <w:tab w:val="right" w:pos="9355"/>
      </w:tabs>
      <w:spacing w:after="0" w:line="240" w:lineRule="auto"/>
      <w:jc w:val="righ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BF0DA" w14:textId="77777777" w:rsidR="00BD7402" w:rsidRDefault="00BD7402">
    <w:pPr>
      <w:pBdr>
        <w:top w:val="nil"/>
        <w:left w:val="nil"/>
        <w:bottom w:val="nil"/>
        <w:right w:val="nil"/>
        <w:between w:val="nil"/>
      </w:pBdr>
      <w:tabs>
        <w:tab w:val="center" w:pos="4677"/>
        <w:tab w:val="right" w:pos="9355"/>
      </w:tabs>
      <w:spacing w:after="0" w:line="240" w:lineRule="auto"/>
      <w:jc w:val="right"/>
      <w:rPr>
        <w:color w:val="000000"/>
      </w:rPr>
    </w:pPr>
  </w:p>
  <w:p w14:paraId="1813DEEC"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34E90" w14:textId="77777777" w:rsidR="00BD7402" w:rsidRDefault="00BD7402">
    <w:pPr>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5015C">
      <w:rPr>
        <w:noProof/>
        <w:color w:val="000000"/>
      </w:rPr>
      <w:t>188</w:t>
    </w:r>
    <w:r>
      <w:rPr>
        <w:color w:val="000000"/>
      </w:rPr>
      <w:fldChar w:fldCharType="end"/>
    </w:r>
  </w:p>
  <w:p w14:paraId="6699C1E7"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B5B6C"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C3205" w14:textId="77777777" w:rsidR="00BD7402" w:rsidRDefault="00BD7402">
    <w:pPr>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5015C">
      <w:rPr>
        <w:noProof/>
        <w:color w:val="000000"/>
      </w:rPr>
      <w:t>192</w:t>
    </w:r>
    <w:r>
      <w:rPr>
        <w:color w:val="000000"/>
      </w:rPr>
      <w:fldChar w:fldCharType="end"/>
    </w:r>
  </w:p>
  <w:p w14:paraId="1D47C5C2"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B3130"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F01E5"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A71CE" w14:textId="77777777" w:rsidR="00BD7402" w:rsidRDefault="00BD7402">
    <w:pPr>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5015C">
      <w:rPr>
        <w:noProof/>
        <w:color w:val="000000"/>
      </w:rPr>
      <w:t>207</w:t>
    </w:r>
    <w:r>
      <w:rPr>
        <w:color w:val="000000"/>
      </w:rPr>
      <w:fldChar w:fldCharType="end"/>
    </w:r>
  </w:p>
  <w:p w14:paraId="1C1CE286"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E30FF" w14:textId="77777777" w:rsidR="00BD7402" w:rsidRDefault="00BD7402">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B6EC7" w14:textId="77777777" w:rsidR="00CB3A1E" w:rsidRDefault="00CB3A1E">
      <w:pPr>
        <w:spacing w:after="0" w:line="240" w:lineRule="auto"/>
      </w:pPr>
      <w:r>
        <w:separator/>
      </w:r>
    </w:p>
  </w:footnote>
  <w:footnote w:type="continuationSeparator" w:id="0">
    <w:p w14:paraId="2FE0721F" w14:textId="77777777" w:rsidR="00CB3A1E" w:rsidRDefault="00CB3A1E">
      <w:pPr>
        <w:spacing w:after="0" w:line="240" w:lineRule="auto"/>
      </w:pPr>
      <w:r>
        <w:continuationSeparator/>
      </w:r>
    </w:p>
  </w:footnote>
  <w:footnote w:id="1">
    <w:p w14:paraId="775FD6FD"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Європейський зелений курс, детальніше за посиланням: </w:t>
      </w:r>
      <w:hyperlink r:id="rId1">
        <w:r>
          <w:rPr>
            <w:color w:val="0000FF"/>
            <w:sz w:val="20"/>
            <w:szCs w:val="20"/>
            <w:u w:val="single"/>
          </w:rPr>
          <w:t>https://ukraine-eu.mfa.gov.ua/posolstvo/galuzeve-spivrobitnictvo/klimat-yevropejska-zelena-ugoda</w:t>
        </w:r>
      </w:hyperlink>
    </w:p>
  </w:footnote>
  <w:footnote w:id="2">
    <w:p w14:paraId="32C7A677"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Економічна стратегія України до 2030 року,  </w:t>
      </w:r>
      <w:r>
        <w:rPr>
          <w:color w:val="000000"/>
          <w:sz w:val="20"/>
          <w:szCs w:val="20"/>
        </w:rPr>
        <w:br/>
        <w:t xml:space="preserve">посилання для перегляду: </w:t>
      </w:r>
      <w:hyperlink r:id="rId2">
        <w:r>
          <w:rPr>
            <w:color w:val="0000FF"/>
            <w:sz w:val="20"/>
            <w:szCs w:val="20"/>
            <w:u w:val="single"/>
          </w:rPr>
          <w:t>https://www.kmu.gov.ua/npas/pro-zatverdzhennya-nacionalnoyi-eko-a179</w:t>
        </w:r>
      </w:hyperlink>
    </w:p>
  </w:footnote>
  <w:footnote w:id="3">
    <w:p w14:paraId="3049F52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Таблиці підготовані за даними: </w:t>
      </w:r>
    </w:p>
    <w:p w14:paraId="204DBAEC"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Кліматичний кадастр України [Електронний ресурс]. − К.: Державна Гідрометеорологічна служба, УкрНДГМІ, ЦГО, 2006.</w:t>
      </w:r>
    </w:p>
  </w:footnote>
  <w:footnote w:id="4">
    <w:p w14:paraId="6108B198"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Таблиця підготов</w:t>
      </w:r>
      <w:r>
        <w:rPr>
          <w:sz w:val="20"/>
          <w:szCs w:val="20"/>
        </w:rPr>
        <w:t>ле</w:t>
      </w:r>
      <w:r>
        <w:rPr>
          <w:color w:val="000000"/>
          <w:sz w:val="20"/>
          <w:szCs w:val="20"/>
        </w:rPr>
        <w:t xml:space="preserve">на за даними: </w:t>
      </w:r>
    </w:p>
    <w:p w14:paraId="25920776"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 xml:space="preserve">Кліматичний кадастр України [Електронний ресурс]. − К.: Державна Гідрометеорологічна служба, УкрНДГМІ, ЦГО, 2006. </w:t>
      </w:r>
    </w:p>
    <w:p w14:paraId="6E34FB47"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Балабух В.О. та ін. Електронний атлас «Фактичні та очікувані зміни клімату в Україні», 2016.</w:t>
      </w:r>
    </w:p>
    <w:p w14:paraId="0198C297" w14:textId="77777777" w:rsidR="00BD7402" w:rsidRDefault="00BD7402">
      <w:pPr>
        <w:pBdr>
          <w:top w:val="nil"/>
          <w:left w:val="nil"/>
          <w:bottom w:val="nil"/>
          <w:right w:val="nil"/>
          <w:between w:val="nil"/>
        </w:pBdr>
        <w:spacing w:after="0" w:line="240" w:lineRule="auto"/>
        <w:rPr>
          <w:color w:val="000000"/>
          <w:sz w:val="20"/>
          <w:szCs w:val="20"/>
        </w:rPr>
      </w:pPr>
    </w:p>
  </w:footnote>
  <w:footnote w:id="5">
    <w:p w14:paraId="5C6DCEA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Таблиця підготовлена за даними:</w:t>
      </w:r>
    </w:p>
    <w:p w14:paraId="7B9CE408"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 xml:space="preserve">Кліматичний кадастр України [Електронний ресурс]. − К.: Державна Гідрометеорологічна служба, УкрНДГМІ, ЦГО, 2006. </w:t>
      </w:r>
    </w:p>
    <w:p w14:paraId="4CE501A3"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Горобець О.В. Евпак І.І. Тенденції зміни клімату у Житомирській області кліматичні зміни та їх наслідки на території Житомирської області, 2017</w:t>
      </w:r>
    </w:p>
  </w:footnote>
  <w:footnote w:id="6">
    <w:p w14:paraId="087CB870"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Рисунок створено за даними:</w:t>
      </w:r>
    </w:p>
    <w:p w14:paraId="33BC5B95"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 xml:space="preserve">Кліматичний кадастр України [Електронний ресурс]. − К.: Державна Гідрометеорологічна служба, УкрНДГМІ, ЦГО, 2006. </w:t>
      </w:r>
    </w:p>
    <w:p w14:paraId="5C123420"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Горобець О.В. Евпак І.І. Тенденції зміни клімату у Житомирській області. Кліматичні зміни та їх наслідки на території Житомирської області, 2017</w:t>
      </w:r>
    </w:p>
  </w:footnote>
  <w:footnote w:id="7">
    <w:p w14:paraId="41669707"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Рисунок створено за даними:</w:t>
      </w:r>
    </w:p>
    <w:p w14:paraId="17BCB47F"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Свінціцька Г.І. Хвилі тепла літнього сезону в північних областях України, 2018.</w:t>
      </w:r>
    </w:p>
  </w:footnote>
  <w:footnote w:id="8">
    <w:p w14:paraId="3D653485"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Опис проекцій клімату для північного регіону до 2100 зроблено за матеріалами: </w:t>
      </w:r>
    </w:p>
    <w:p w14:paraId="6E9C979F"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 xml:space="preserve">S. Snizhko et al. The projections of air temperature in the Northern region of Ukraine following the intermediate scenario (RCP 4.5) and the high-end scenario (RCP 8.5), 2020 </w:t>
      </w:r>
    </w:p>
  </w:footnote>
  <w:footnote w:id="9">
    <w:p w14:paraId="0871AFA4"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Радіаційний форсинг це - різниця між надходженням сонячної радіації на Землю та випромінюванням радіації Землею у космос. В кліматології, термін відображає природні та антропогенні зміни в радіаційному балансі Землі, і саме за величиною радіаційного форсингу визначаються репрезентативні траєкторії концентрацій парникових газів в атмосфері RCP2.6, RCP4.5, RCP6, та RCP8.5</w:t>
      </w:r>
    </w:p>
  </w:footnote>
  <w:footnote w:id="10">
    <w:p w14:paraId="0C6BEA3E"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Рис. 3–6 взято з публікації: </w:t>
      </w:r>
    </w:p>
    <w:p w14:paraId="230600D3" w14:textId="77777777" w:rsidR="00BD7402" w:rsidRDefault="00BD7402">
      <w:pPr>
        <w:pBdr>
          <w:top w:val="nil"/>
          <w:left w:val="nil"/>
          <w:bottom w:val="nil"/>
          <w:right w:val="nil"/>
          <w:between w:val="nil"/>
        </w:pBdr>
        <w:spacing w:after="0" w:line="240" w:lineRule="auto"/>
        <w:rPr>
          <w:color w:val="000000"/>
          <w:sz w:val="20"/>
          <w:szCs w:val="20"/>
        </w:rPr>
      </w:pPr>
      <w:r>
        <w:rPr>
          <w:color w:val="000000"/>
          <w:sz w:val="20"/>
          <w:szCs w:val="20"/>
        </w:rPr>
        <w:t xml:space="preserve">S. Snizhko et al. The projections of air temperature in the Northern region of Ukraine following the intermediate scenario (RCP 4.5) and the high-end scenario (RCP 8.5), 2020 </w:t>
      </w:r>
    </w:p>
  </w:footnote>
  <w:footnote w:id="11">
    <w:p w14:paraId="385A7040"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Референсний період – це інтервал часу в 30 років, який в середньому характеризує нинішні "нормальні" кліматичні умови на певній території.</w:t>
      </w:r>
    </w:p>
  </w:footnote>
  <w:footnote w:id="12">
    <w:p w14:paraId="009119AD" w14:textId="77777777" w:rsidR="00BD7402" w:rsidRDefault="00BD7402" w:rsidP="00B64824">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Діючий генеральний план міста Житомира</w:t>
      </w:r>
    </w:p>
  </w:footnote>
  <w:footnote w:id="13">
    <w:p w14:paraId="5992ADD4"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План Сталої мобільності Житомира, 2019 р.</w:t>
      </w:r>
    </w:p>
  </w:footnote>
  <w:footnote w:id="14">
    <w:p w14:paraId="6B238FC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За даними управління транспорту і зв’язку від 06.02.2020 р.</w:t>
      </w:r>
    </w:p>
  </w:footnote>
  <w:footnote w:id="15">
    <w:p w14:paraId="4E4EE070"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Осло (Норвегія) – 28%, Берлін (Німеччина) – 31%, Амстерда</w:t>
      </w:r>
      <w:r>
        <w:rPr>
          <w:sz w:val="20"/>
          <w:szCs w:val="20"/>
        </w:rPr>
        <w:t>м</w:t>
      </w:r>
      <w:r>
        <w:rPr>
          <w:color w:val="000000"/>
          <w:sz w:val="20"/>
          <w:szCs w:val="20"/>
        </w:rPr>
        <w:t xml:space="preserve"> (Нідерланди) – 31%, Париж (Франція) – 41%. Living. Moving. Breathing. Ranking of European Cities in Sustainable Transport, Wuppertal Institute for Climate, Environment, Energy, 2018</w:t>
      </w:r>
    </w:p>
  </w:footnote>
  <w:footnote w:id="16">
    <w:p w14:paraId="4305164F"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Звіт «Розрахунок викидів СО</w:t>
      </w:r>
      <w:r>
        <w:rPr>
          <w:rFonts w:ascii="Times New Roman" w:eastAsia="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від автомобільного транспорту» в рамках проєкту «Інтегрований розвиток міст в Україні ІІ», 2022, GIZ</w:t>
      </w:r>
    </w:p>
  </w:footnote>
  <w:footnote w:id="17">
    <w:p w14:paraId="3535A493"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Дослідження проводилось в 2018 р. Dornier Consulting International GmbH, на замовленням GIZ</w:t>
      </w:r>
    </w:p>
  </w:footnote>
  <w:footnote w:id="18">
    <w:p w14:paraId="65F7670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Звіт «Розрахунок викидів СО</w:t>
      </w:r>
      <w:r>
        <w:rPr>
          <w:rFonts w:ascii="Times New Roman" w:eastAsia="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від автомобільного транспорту» в рамках проєкту «Інтегрований розвиток міст в Україні ІІ», 2022, GIZ</w:t>
      </w:r>
    </w:p>
  </w:footnote>
  <w:footnote w:id="19">
    <w:p w14:paraId="5F3775C4"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Закон «Про деякі питання ввезення на митну територію України та реєстрації транспортних засобів». Редакція від 01.01.2019</w:t>
      </w:r>
    </w:p>
  </w:footnote>
  <w:footnote w:id="20">
    <w:p w14:paraId="6DADC953"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Відомості про транспортні засоби та їх власників. Портал відкритих даних </w:t>
      </w:r>
      <w:hyperlink r:id="rId3">
        <w:r>
          <w:rPr>
            <w:color w:val="0000FF"/>
            <w:sz w:val="20"/>
            <w:szCs w:val="20"/>
            <w:u w:val="single"/>
          </w:rPr>
          <w:t>https://data.gov.ua/dataset/06779371-308f-42d7-895e-5a39833375f0</w:t>
        </w:r>
      </w:hyperlink>
      <w:r>
        <w:rPr>
          <w:color w:val="000000"/>
          <w:sz w:val="20"/>
          <w:szCs w:val="20"/>
        </w:rPr>
        <w:t xml:space="preserve"> (реєстр доступний починаючи з 2013 року)</w:t>
      </w:r>
    </w:p>
  </w:footnote>
  <w:footnote w:id="21">
    <w:p w14:paraId="3F116F49"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За результатами дослідження мобільності на замовлення Німецького товариства міжнародного співробітництва (GIZ) ГмбХ, проекту «Інтегрований розвиток міст в Україні», 2018 р.</w:t>
      </w:r>
    </w:p>
  </w:footnote>
  <w:footnote w:id="22">
    <w:p w14:paraId="1AE7205C"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дослідження за 15  контрольними точками, 2018 рік.</w:t>
      </w:r>
    </w:p>
  </w:footnote>
  <w:footnote w:id="23">
    <w:p w14:paraId="2FD11EEC"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«Перехід України на відновлювану енергетику до 2050 року» / О. Дячук, М. Чепелєв, Р. Подолець, Г. Трипольська та ін.; за заг. ред. Ю. Огаренко та О. Алієвої // Пред-во Фонду ім. Г. Бьолля в Україні. – Київ: Вид-во ТОВ «АРТ КНИГА», 2017. – 88 с. – Режим доступу: https://ua.boell.org/sites/default/files/perehid_ukraini_na_vidnovlyuvanu_energetiku_do_2050_roku.pdf</w:t>
      </w:r>
    </w:p>
  </w:footnote>
  <w:footnote w:id="24">
    <w:p w14:paraId="049C11BD"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Zeng, Z., Ziegler, A.D., Searchinger, T. et al. A reversal in global terrestrial stilling and its implications for wind energy production. Nat. Clim. Chang. 9, 979–985 (2019). https://doi.org/10.1038/s41558-019-0622-6</w:t>
      </w:r>
    </w:p>
  </w:footnote>
  <w:footnote w:id="25">
    <w:p w14:paraId="7261368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Звіт з ОВД Приморської ВЕС-2, http://www.eia.menr.gov.ua/uploads/documents/2974/reports/a3f16a0282d4b88913615921ad447d55.pdf</w:t>
      </w:r>
    </w:p>
  </w:footnote>
  <w:footnote w:id="26">
    <w:p w14:paraId="1674F192"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4">
        <w:r>
          <w:rPr>
            <w:color w:val="0000FF"/>
            <w:sz w:val="20"/>
            <w:szCs w:val="20"/>
            <w:u w:val="single"/>
          </w:rPr>
          <w:t>https://hmarochos.kiev.ua/2021/03/10/yak-zahystyty-vrazlyvyh-spozhyvachiv-v-energetytsi-dosvid-yevropejskogo-soyuzu-ta-ukrayiny/</w:t>
        </w:r>
      </w:hyperlink>
      <w:r>
        <w:rPr>
          <w:color w:val="000000"/>
          <w:sz w:val="20"/>
          <w:szCs w:val="20"/>
        </w:rPr>
        <w:t xml:space="preserve"> - публікація Вероніки Луцької, інтернет-видання «Хмарочос» в рамках проєкту USAID «Проєкт Енергетичної Безпеки»</w:t>
      </w:r>
    </w:p>
  </w:footnote>
  <w:footnote w:id="27">
    <w:p w14:paraId="1F642783"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5">
        <w:r>
          <w:rPr>
            <w:color w:val="0000FF"/>
            <w:sz w:val="20"/>
            <w:szCs w:val="20"/>
            <w:u w:val="single"/>
          </w:rPr>
          <w:t>https://hmarochos.kiev.ua/2020/07/24/bilsh-nizh-polovyna-ukrayintsiv-zhertvuyut-inshymy-potrebamy-shhob-splatyty-rahunky-za-energiyu-doslidzhennya-usaid/</w:t>
        </w:r>
      </w:hyperlink>
      <w:r>
        <w:rPr>
          <w:color w:val="000000"/>
          <w:sz w:val="20"/>
          <w:szCs w:val="20"/>
        </w:rPr>
        <w:t xml:space="preserve"> - публікація за результатами дослідження USAID Проєкт Енергетичної Безпеки</w:t>
      </w:r>
    </w:p>
  </w:footnote>
  <w:footnote w:id="28">
    <w:p w14:paraId="604C8C47" w14:textId="77777777" w:rsidR="00BD7402" w:rsidRDefault="00BD7402">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highlight w:val="white"/>
        </w:rPr>
        <w:t xml:space="preserve">Концепція інтегрованого розвитку Житомира до 2030 року [Електронний ресурс] // затверджено рішенням 45-ої сесії Житомирської міської ради №1359 від 07.02.19. – 2019. – Режим доступу до ресурсу: </w:t>
      </w:r>
      <w:hyperlink r:id="rId6">
        <w:r>
          <w:rPr>
            <w:rFonts w:ascii="Times New Roman" w:eastAsia="Times New Roman" w:hAnsi="Times New Roman" w:cs="Times New Roman"/>
            <w:color w:val="0000FF"/>
            <w:sz w:val="20"/>
            <w:szCs w:val="20"/>
            <w:highlight w:val="white"/>
            <w:u w:val="single"/>
          </w:rPr>
          <w:t>https://2030.zhitomir.ua/upload/iblock/119/119a440c2f86137d7607bed04d947de4.pdf</w:t>
        </w:r>
      </w:hyperlink>
      <w:r>
        <w:rPr>
          <w:rFonts w:ascii="Times New Roman" w:eastAsia="Times New Roman" w:hAnsi="Times New Roman" w:cs="Times New Roman"/>
          <w:color w:val="000000"/>
          <w:sz w:val="20"/>
          <w:szCs w:val="20"/>
          <w:highlight w:val="white"/>
        </w:rPr>
        <w:t xml:space="preserve">. </w:t>
      </w:r>
    </w:p>
  </w:footnote>
  <w:footnote w:id="29">
    <w:p w14:paraId="73AE68C4" w14:textId="77777777" w:rsidR="00BD7402" w:rsidRDefault="00BD7402">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Комплексна програма охорони навколишнього природного середовища Житомирської міської об'єднаної територіальної громади на 2019 - 2021 роки [Електронний ресурс] // затверджено рішенням 47-ої сесії Житомирської міської ради №1405 від 23.04.19. – 2019. – Режим доступу до ресурсу: https://cutt.ly/HnCuD5d.</w:t>
      </w:r>
      <w:r>
        <w:rPr>
          <w:rFonts w:ascii="Times New Roman" w:eastAsia="Times New Roman" w:hAnsi="Times New Roman" w:cs="Times New Roman"/>
          <w:color w:val="0000FF"/>
          <w:sz w:val="20"/>
          <w:szCs w:val="20"/>
          <w:u w:val="single"/>
        </w:rPr>
        <w:t xml:space="preserve">  </w:t>
      </w:r>
    </w:p>
  </w:footnote>
  <w:footnote w:id="30">
    <w:p w14:paraId="04F61367"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Програма благоустрою та розвитку комунального господарства Житомирської міської об'єднаної територіальної громади на 2016-2022 роки [Електронний ресурс] // затверджено рішенням п'ятої сесії восьмого скликання Житомирської міської ради №94 від 25.03.21. – 2021. – Режим доступу до ресурсу: </w:t>
      </w:r>
      <w:hyperlink r:id="rId7">
        <w:r>
          <w:rPr>
            <w:rFonts w:ascii="Times New Roman" w:eastAsia="Times New Roman" w:hAnsi="Times New Roman" w:cs="Times New Roman"/>
            <w:color w:val="0000FF"/>
            <w:sz w:val="20"/>
            <w:szCs w:val="20"/>
            <w:highlight w:val="white"/>
            <w:u w:val="single"/>
          </w:rPr>
          <w:t>https://zt-rada.gov.ua/files/upload/sitefiles/doc1617286933.pdf</w:t>
        </w:r>
      </w:hyperlink>
      <w:r>
        <w:rPr>
          <w:rFonts w:ascii="Times New Roman" w:eastAsia="Times New Roman" w:hAnsi="Times New Roman" w:cs="Times New Roman"/>
          <w:color w:val="000000"/>
          <w:sz w:val="20"/>
          <w:szCs w:val="20"/>
          <w:highlight w:val="white"/>
        </w:rPr>
        <w:t xml:space="preserve">. </w:t>
      </w:r>
    </w:p>
  </w:footnote>
  <w:footnote w:id="31">
    <w:p w14:paraId="6F5314FB" w14:textId="77777777" w:rsidR="00BD7402" w:rsidRDefault="00BD7402">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highlight w:val="white"/>
        </w:rPr>
        <w:t xml:space="preserve">Концепція інтегрованого розвитку Житомира до 2030 року [Електронний ресурс] // затверджено рішенням 45-ої сесії Житомирської міської ради №1359 від 07.02.19. – 2019. – Режим доступу до ресурсу: </w:t>
      </w:r>
      <w:hyperlink r:id="rId8">
        <w:r>
          <w:rPr>
            <w:rFonts w:ascii="Times New Roman" w:eastAsia="Times New Roman" w:hAnsi="Times New Roman" w:cs="Times New Roman"/>
            <w:color w:val="0000FF"/>
            <w:sz w:val="20"/>
            <w:szCs w:val="20"/>
            <w:highlight w:val="white"/>
            <w:u w:val="single"/>
          </w:rPr>
          <w:t>https://2030.zhitomir.ua/upload/iblock/119/119a440c2f86137d7607bed04d947de4.pdf</w:t>
        </w:r>
      </w:hyperlink>
      <w:r>
        <w:rPr>
          <w:rFonts w:ascii="Times New Roman" w:eastAsia="Times New Roman" w:hAnsi="Times New Roman" w:cs="Times New Roman"/>
          <w:color w:val="000000"/>
          <w:sz w:val="20"/>
          <w:szCs w:val="20"/>
          <w:highlight w:val="white"/>
        </w:rPr>
        <w:t xml:space="preserve">. </w:t>
      </w:r>
    </w:p>
  </w:footnote>
  <w:footnote w:id="32">
    <w:p w14:paraId="6158D4B9" w14:textId="77777777" w:rsidR="00BD7402" w:rsidRDefault="00BD7402">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Програма благоустрою та розвитку комунального господарства Житомирської міської об'єднаної територіальної громади на 2016-2022 роки [Електронний ресурс] // затверджено рішенням п'ятої сесії восьмого скликання Житомирської міської ради №94 від 25.03.21. – 2021. – Режим доступу до ресурсу: </w:t>
      </w:r>
      <w:hyperlink r:id="rId9">
        <w:r>
          <w:rPr>
            <w:rFonts w:ascii="Times New Roman" w:eastAsia="Times New Roman" w:hAnsi="Times New Roman" w:cs="Times New Roman"/>
            <w:color w:val="0000FF"/>
            <w:sz w:val="20"/>
            <w:szCs w:val="20"/>
            <w:highlight w:val="white"/>
            <w:u w:val="single"/>
          </w:rPr>
          <w:t>https://zt-rada.gov.ua/files/upload/sitefiles/doc1617286933.pdf</w:t>
        </w:r>
      </w:hyperlink>
      <w:r>
        <w:rPr>
          <w:rFonts w:ascii="Times New Roman" w:eastAsia="Times New Roman" w:hAnsi="Times New Roman" w:cs="Times New Roman"/>
          <w:color w:val="000000"/>
          <w:sz w:val="20"/>
          <w:szCs w:val="20"/>
          <w:highlight w:val="white"/>
        </w:rPr>
        <w:t>.</w:t>
      </w:r>
    </w:p>
  </w:footnote>
  <w:footnote w:id="33">
    <w:p w14:paraId="27E59AA5" w14:textId="77777777" w:rsidR="00BD7402" w:rsidRDefault="00BD7402">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Ст. 12. </w:t>
      </w:r>
      <w:r>
        <w:rPr>
          <w:rFonts w:ascii="Times New Roman" w:eastAsia="Times New Roman" w:hAnsi="Times New Roman" w:cs="Times New Roman"/>
          <w:color w:val="000000"/>
          <w:sz w:val="20"/>
          <w:szCs w:val="20"/>
          <w:highlight w:val="white"/>
        </w:rPr>
        <w:t xml:space="preserve">Програма благоустрою та розвитку комунального господарства Житомирської міської об'єднаної територіальної громади на 2016-2022 роки [Електронний ресурс] // затверджено рішенням п'ятої сесії восьмого скликання Житомирської міської ради №94 від 25.03.21. – 2021. – Режим доступу до ресурсу: </w:t>
      </w:r>
      <w:hyperlink r:id="rId10">
        <w:r>
          <w:rPr>
            <w:rFonts w:ascii="Times New Roman" w:eastAsia="Times New Roman" w:hAnsi="Times New Roman" w:cs="Times New Roman"/>
            <w:color w:val="0000FF"/>
            <w:sz w:val="20"/>
            <w:szCs w:val="20"/>
            <w:highlight w:val="white"/>
            <w:u w:val="single"/>
          </w:rPr>
          <w:t>https://zt-rada.gov.ua/files/upload/sitefiles/doc1617286933.pdf</w:t>
        </w:r>
      </w:hyperlink>
      <w:r>
        <w:rPr>
          <w:rFonts w:ascii="Times New Roman" w:eastAsia="Times New Roman" w:hAnsi="Times New Roman" w:cs="Times New Roman"/>
          <w:color w:val="000000"/>
          <w:sz w:val="20"/>
          <w:szCs w:val="20"/>
          <w:highlight w:val="white"/>
        </w:rPr>
        <w:t>.</w:t>
      </w:r>
    </w:p>
  </w:footnote>
  <w:footnote w:id="34">
    <w:p w14:paraId="2E6A72D3"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Ст. 38. </w:t>
      </w:r>
      <w:r>
        <w:rPr>
          <w:rFonts w:ascii="Times New Roman" w:eastAsia="Times New Roman" w:hAnsi="Times New Roman" w:cs="Times New Roman"/>
          <w:color w:val="000000"/>
          <w:sz w:val="20"/>
          <w:szCs w:val="20"/>
          <w:highlight w:val="white"/>
        </w:rPr>
        <w:t xml:space="preserve">Міська цільова програма "Муніципальний енергетичний план Житомирської міської територіальної громади" на 2021 - 2024 роки [Електронний ресурс] // затверджено рішенням другої сесії восьмого скликання Житомирської міської рад и №53 від 24.12.20. – 2020. – Режим доступу до ресурсу: </w:t>
      </w:r>
      <w:hyperlink r:id="rId11">
        <w:r>
          <w:rPr>
            <w:rFonts w:ascii="Times New Roman" w:eastAsia="Times New Roman" w:hAnsi="Times New Roman" w:cs="Times New Roman"/>
            <w:color w:val="0000FF"/>
            <w:sz w:val="20"/>
            <w:szCs w:val="20"/>
            <w:highlight w:val="white"/>
            <w:u w:val="single"/>
          </w:rPr>
          <w:t>https://zt-rada.gov.ua/files/upload/sitefiles/doc1609857321.pdf</w:t>
        </w:r>
      </w:hyperlink>
      <w:r>
        <w:rPr>
          <w:rFonts w:ascii="Times New Roman" w:eastAsia="Times New Roman" w:hAnsi="Times New Roman" w:cs="Times New Roman"/>
          <w:color w:val="000000"/>
          <w:sz w:val="20"/>
          <w:szCs w:val="20"/>
          <w:highlight w:val="white"/>
        </w:rPr>
        <w:t xml:space="preserve">. </w:t>
      </w:r>
    </w:p>
  </w:footnote>
  <w:footnote w:id="35">
    <w:p w14:paraId="44C3DC0C"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1"/>
          <w:szCs w:val="21"/>
          <w:highlight w:val="white"/>
        </w:rPr>
        <w:t>Практичний кейс. Заповнюється муніципалітетами/громадами [Електронний ресурс] // ПРОЕКТ ЄС «УГОДА МЕРІВ – СХІД». – 2019. – Режим доступу до ресурсу: https://menr.gov.ua/news/34871.html?fbclid=IwAR2m4cwMecP5B5O7fUmspnYJHPhhETh5C4Tf0tiLL9PFh6BYYXCsjBam1h0</w:t>
      </w:r>
    </w:p>
  </w:footnote>
  <w:footnote w:id="36">
    <w:p w14:paraId="28DD9892"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rFonts w:ascii="Times New Roman" w:eastAsia="Times New Roman" w:hAnsi="Times New Roman" w:cs="Times New Roman"/>
          <w:color w:val="000000"/>
          <w:sz w:val="21"/>
          <w:szCs w:val="21"/>
          <w:highlight w:val="white"/>
        </w:rPr>
        <w:t xml:space="preserve"> Керівництво [Електронний ресурс] // «УГОДА МЕРІВ – СХІД». – 2018. – Режим доступу до ресурсу: </w:t>
      </w:r>
      <w:r>
        <w:rPr>
          <w:color w:val="000000"/>
          <w:sz w:val="20"/>
          <w:szCs w:val="20"/>
        </w:rPr>
        <w:t xml:space="preserve"> </w:t>
      </w:r>
      <w:hyperlink r:id="rId12">
        <w:r>
          <w:rPr>
            <w:rFonts w:ascii="Times New Roman" w:eastAsia="Times New Roman" w:hAnsi="Times New Roman" w:cs="Times New Roman"/>
            <w:color w:val="000000"/>
            <w:sz w:val="21"/>
            <w:szCs w:val="21"/>
            <w:highlight w:val="white"/>
          </w:rPr>
          <w:t>https://com-east.eu/ru/tekhnicheskie-i-metodologicheskie-materialy/item/14753-rukovodstvo-kak-razrabotat-plan-dejstvij-po-ustojchivomu-energeticheskomu-razvitiyu-i-klimatu-v-stranah-vostochnogo-partnerstva/</w:t>
        </w:r>
      </w:hyperlink>
      <w:r>
        <w:rPr>
          <w:rFonts w:ascii="Times New Roman" w:eastAsia="Times New Roman" w:hAnsi="Times New Roman" w:cs="Times New Roman"/>
          <w:color w:val="000000"/>
          <w:sz w:val="21"/>
          <w:szCs w:val="21"/>
          <w:highlight w:val="white"/>
        </w:rPr>
        <w:t xml:space="preserve"> </w:t>
      </w:r>
    </w:p>
  </w:footnote>
  <w:footnote w:id="37">
    <w:p w14:paraId="5832D535"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Наведено в </w:t>
      </w:r>
      <w:r w:rsidRPr="00E130ED">
        <w:rPr>
          <w:color w:val="000000"/>
          <w:sz w:val="20"/>
          <w:szCs w:val="20"/>
        </w:rPr>
        <w:t>Додатку 3.</w:t>
      </w:r>
    </w:p>
  </w:footnote>
  <w:footnote w:id="38">
    <w:p w14:paraId="312A26A0"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Рішення Житомирської міської ради №99 від 25.03.22  Про внесення змін та доповнень до Програми житлового господарства та поводження з відходами на території Житомирської міської ОТГ на 2021-2025 роки: </w:t>
      </w:r>
      <w:hyperlink r:id="rId13">
        <w:r>
          <w:rPr>
            <w:color w:val="0000FF"/>
            <w:sz w:val="20"/>
            <w:szCs w:val="20"/>
            <w:u w:val="single"/>
          </w:rPr>
          <w:t>https://zt-rada.gov.ua/files/upload/sitefiles/doc1617288607.pdf</w:t>
        </w:r>
      </w:hyperlink>
      <w:r>
        <w:rPr>
          <w:color w:val="000000"/>
          <w:sz w:val="20"/>
          <w:szCs w:val="20"/>
        </w:rPr>
        <w:t xml:space="preserve"> </w:t>
      </w:r>
    </w:p>
  </w:footnote>
  <w:footnote w:id="39">
    <w:p w14:paraId="39188FD5"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4">
        <w:r>
          <w:rPr>
            <w:color w:val="0000FF"/>
            <w:sz w:val="20"/>
            <w:szCs w:val="20"/>
            <w:u w:val="single"/>
          </w:rPr>
          <w:t>https://zt-rada.gov.ua/?pages=2899</w:t>
        </w:r>
      </w:hyperlink>
      <w:r>
        <w:rPr>
          <w:color w:val="000000"/>
          <w:sz w:val="20"/>
          <w:szCs w:val="20"/>
        </w:rPr>
        <w:t xml:space="preserve"> </w:t>
      </w:r>
    </w:p>
  </w:footnote>
  <w:footnote w:id="40">
    <w:p w14:paraId="7E52B1B2"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5">
        <w:r>
          <w:rPr>
            <w:color w:val="0000FF"/>
            <w:sz w:val="20"/>
            <w:szCs w:val="20"/>
            <w:u w:val="single"/>
          </w:rPr>
          <w:t>https://greenbean.one/resources/medias/35.pdf</w:t>
        </w:r>
      </w:hyperlink>
      <w:r>
        <w:rPr>
          <w:color w:val="000000"/>
          <w:sz w:val="20"/>
          <w:szCs w:val="20"/>
        </w:rPr>
        <w:t xml:space="preserve"> </w:t>
      </w:r>
    </w:p>
  </w:footnote>
  <w:footnote w:id="41">
    <w:p w14:paraId="4577F944"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Про погодження інвестиційної програми ТОВ «МС Соціальний проект» та встановлення тарифів на послуги з поводження з побутовими відходами (перероблення) [Електронний ресурс] / 2021. – Режим доступу до ресурсу: </w:t>
      </w:r>
      <w:hyperlink r:id="rId16">
        <w:r>
          <w:rPr>
            <w:color w:val="0000FF"/>
            <w:sz w:val="20"/>
            <w:szCs w:val="20"/>
            <w:u w:val="single"/>
          </w:rPr>
          <w:t>http://surl.li/eqdrl</w:t>
        </w:r>
      </w:hyperlink>
      <w:r>
        <w:rPr>
          <w:color w:val="000000"/>
          <w:sz w:val="20"/>
          <w:szCs w:val="20"/>
        </w:rPr>
        <w:t>.</w:t>
      </w:r>
    </w:p>
  </w:footnote>
  <w:footnote w:id="42">
    <w:p w14:paraId="26A28C6F"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21"/>
          <w:szCs w:val="21"/>
          <w:highlight w:val="white"/>
        </w:rPr>
        <w:t>Житомирянам доведеться платити більше за вивіз побутового сміття. [Електронний ресурс]// Суспільне. Новини. – 2022. – Режим доступу до ресурсу: https://suspilne.media/199296-zitomiranam-dovedetsa-platiti-bilse-za-viviz-pobutovogo-smitta-poasnuemo-comu-i-na-skilki/.</w:t>
      </w:r>
    </w:p>
  </w:footnote>
  <w:footnote w:id="43">
    <w:p w14:paraId="44F232ED"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7">
        <w:r>
          <w:rPr>
            <w:color w:val="0000FF"/>
            <w:sz w:val="20"/>
            <w:szCs w:val="20"/>
            <w:u w:val="single"/>
          </w:rPr>
          <w:t>https://niss.gov.ua/sites/default/files/2020-10/dop-climate-final-5_sait.pdf</w:t>
        </w:r>
      </w:hyperlink>
      <w:r>
        <w:rPr>
          <w:color w:val="000000"/>
          <w:sz w:val="20"/>
          <w:szCs w:val="20"/>
        </w:rPr>
        <w:t xml:space="preserve"> Зміна клімату: наслідки та заходи з адаптації. Аналітична доповідь 2020 Національний інститут стратегічних досліджень.</w:t>
      </w:r>
    </w:p>
  </w:footnote>
  <w:footnote w:id="44">
    <w:p w14:paraId="1A987535"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8">
        <w:r>
          <w:rPr>
            <w:color w:val="0000FF"/>
            <w:sz w:val="20"/>
            <w:szCs w:val="20"/>
            <w:u w:val="single"/>
          </w:rPr>
          <w:t>https://vodokanal.zt.ua/other/rating-avtomoiok</w:t>
        </w:r>
      </w:hyperlink>
      <w:r>
        <w:rPr>
          <w:color w:val="000000"/>
          <w:sz w:val="20"/>
          <w:szCs w:val="20"/>
        </w:rPr>
        <w:t xml:space="preserve"> сайт КП “Житомирводоканал”</w:t>
      </w:r>
    </w:p>
  </w:footnote>
  <w:footnote w:id="45">
    <w:p w14:paraId="65D53430"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Затверджений рішенням міської комісії з питань техногенно-екологічної безпеки і надзвичайних ситуацій від 10 лютого 2022 року, протокол №4 </w:t>
      </w:r>
    </w:p>
  </w:footnote>
  <w:footnote w:id="46">
    <w:p w14:paraId="3F400FA5"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Зміна клімату: наслідки та заходи адаптації: аналіт. доповідь / [С.П. Іванюта, О. О. Коломієць, О. А. Малиновська, Л. М. Якушенко]; за ред. С. П. Іванюти. –К. : НІСД, 2020. – 110 с.</w:t>
      </w:r>
    </w:p>
  </w:footnote>
  <w:footnote w:id="47">
    <w:p w14:paraId="17A51099"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ст. 42., Основні положення Генерального плану м. Житомир [Електронний ресурс] /2019. – Режим доступу до ресурсу: https://zt-rada.gov.ua/?pages=6283.</w:t>
      </w:r>
    </w:p>
  </w:footnote>
  <w:footnote w:id="48">
    <w:p w14:paraId="327A8763"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Зміна клімату: наслідки та заходи з адаптації. Аналітична доповідь. Національний інститут стратегічних досліджень. [Електронний ресурс]/2020. – Режим доступу до ресурсу: https://niss.gov.ua/sites/default/files/2020-10/dop-climate-final-5_sait.pdf</w:t>
      </w:r>
    </w:p>
  </w:footnote>
  <w:footnote w:id="49">
    <w:p w14:paraId="21A8B796"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9">
        <w:r>
          <w:rPr>
            <w:color w:val="0000FF"/>
            <w:sz w:val="20"/>
            <w:szCs w:val="20"/>
            <w:u w:val="single"/>
          </w:rPr>
          <w:t>https://niss.gov.ua/sites/default/files/2020-10/dop-climate-final-5_sait.pdf</w:t>
        </w:r>
      </w:hyperlink>
      <w:r>
        <w:rPr>
          <w:color w:val="000000"/>
          <w:sz w:val="20"/>
          <w:szCs w:val="20"/>
        </w:rPr>
        <w:t xml:space="preserve"> Зміна клімату: наслідки та заходи з адаптації. Аналітична доповідь 2020 Національний інститут стратегічних досліджень.</w:t>
      </w:r>
    </w:p>
  </w:footnote>
  <w:footnote w:id="50">
    <w:p w14:paraId="6097A811"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hyperlink r:id="rId20">
        <w:r>
          <w:rPr>
            <w:color w:val="0000FF"/>
            <w:sz w:val="20"/>
            <w:szCs w:val="20"/>
            <w:u w:val="single"/>
          </w:rPr>
          <w:t>https://enefcities.org.ua/upload/files/covenant%20of%20mayors/Guidebook_How%20to%20develop%20SECAP_2018_en.pdf</w:t>
        </w:r>
      </w:hyperlink>
      <w:r>
        <w:rPr>
          <w:color w:val="000000"/>
          <w:sz w:val="20"/>
          <w:szCs w:val="20"/>
        </w:rPr>
        <w:t xml:space="preserve"> </w:t>
      </w:r>
    </w:p>
  </w:footnote>
  <w:footnote w:id="51">
    <w:p w14:paraId="35178552"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21">
        <w:r>
          <w:rPr>
            <w:color w:val="0000FF"/>
            <w:sz w:val="20"/>
            <w:szCs w:val="20"/>
            <w:u w:val="single"/>
          </w:rPr>
          <w:t>https://menr.gov.ua/news/34871.html?fbclid=IwAR2m4cwMecP5B5O7fUmspnYJHPhhETh5C4Tf0tiLL9PFh6BYYXCsjBam1h0</w:t>
        </w:r>
      </w:hyperlink>
      <w:r>
        <w:rPr>
          <w:color w:val="000000"/>
          <w:sz w:val="20"/>
          <w:szCs w:val="20"/>
        </w:rPr>
        <w:t xml:space="preserve"> </w:t>
      </w:r>
    </w:p>
  </w:footnote>
  <w:footnote w:id="52">
    <w:p w14:paraId="626258E7" w14:textId="77777777" w:rsidR="00BD7402" w:rsidRDefault="00BD7402">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21"/>
          <w:szCs w:val="21"/>
          <w:highlight w:val="white"/>
        </w:rPr>
        <w:t>Парниковий ефект і зміна клімату // Український журнал дистанційного зондування Землі. – 2015. – №7. – С. 94.</w:t>
      </w:r>
      <w:r>
        <w:rP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8F1C7"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FE678"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BC8B9"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D87D9"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0039F"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4BA9C" w14:textId="77777777" w:rsidR="00BD7402" w:rsidRDefault="00BD7402">
    <w:pPr>
      <w:pBdr>
        <w:top w:val="nil"/>
        <w:left w:val="nil"/>
        <w:bottom w:val="nil"/>
        <w:right w:val="nil"/>
        <w:between w:val="nil"/>
      </w:pBdr>
      <w:tabs>
        <w:tab w:val="center" w:pos="4986"/>
        <w:tab w:val="right" w:pos="9973"/>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50CB"/>
    <w:multiLevelType w:val="multilevel"/>
    <w:tmpl w:val="7D1C3604"/>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509680F"/>
    <w:multiLevelType w:val="multilevel"/>
    <w:tmpl w:val="A89ACC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C73032"/>
    <w:multiLevelType w:val="multilevel"/>
    <w:tmpl w:val="6E0087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7BB3BB5"/>
    <w:multiLevelType w:val="multilevel"/>
    <w:tmpl w:val="B8925F2E"/>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4" w15:restartNumberingAfterBreak="0">
    <w:nsid w:val="09326F6A"/>
    <w:multiLevelType w:val="multilevel"/>
    <w:tmpl w:val="FCC25A5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09CE5FAD"/>
    <w:multiLevelType w:val="multilevel"/>
    <w:tmpl w:val="78F831E6"/>
    <w:lvl w:ilvl="0">
      <w:start w:val="1"/>
      <w:numFmt w:val="bullet"/>
      <w:lvlText w:val="●"/>
      <w:lvlJc w:val="left"/>
      <w:pPr>
        <w:ind w:left="1789" w:hanging="360"/>
      </w:pPr>
      <w:rPr>
        <w:rFonts w:ascii="Noto Sans Symbols" w:eastAsia="Noto Sans Symbols" w:hAnsi="Noto Sans Symbols" w:cs="Noto Sans Symbols"/>
      </w:rPr>
    </w:lvl>
    <w:lvl w:ilvl="1">
      <w:start w:val="1"/>
      <w:numFmt w:val="bullet"/>
      <w:lvlText w:val="o"/>
      <w:lvlJc w:val="left"/>
      <w:pPr>
        <w:ind w:left="2509" w:hanging="360"/>
      </w:pPr>
      <w:rPr>
        <w:rFonts w:ascii="Courier New" w:eastAsia="Courier New" w:hAnsi="Courier New" w:cs="Courier New"/>
      </w:rPr>
    </w:lvl>
    <w:lvl w:ilvl="2">
      <w:start w:val="1"/>
      <w:numFmt w:val="bullet"/>
      <w:lvlText w:val="▪"/>
      <w:lvlJc w:val="left"/>
      <w:pPr>
        <w:ind w:left="3229" w:hanging="360"/>
      </w:pPr>
      <w:rPr>
        <w:rFonts w:ascii="Noto Sans Symbols" w:eastAsia="Noto Sans Symbols" w:hAnsi="Noto Sans Symbols" w:cs="Noto Sans Symbols"/>
      </w:rPr>
    </w:lvl>
    <w:lvl w:ilvl="3">
      <w:start w:val="1"/>
      <w:numFmt w:val="bullet"/>
      <w:lvlText w:val="●"/>
      <w:lvlJc w:val="left"/>
      <w:pPr>
        <w:ind w:left="3949" w:hanging="360"/>
      </w:pPr>
      <w:rPr>
        <w:rFonts w:ascii="Noto Sans Symbols" w:eastAsia="Noto Sans Symbols" w:hAnsi="Noto Sans Symbols" w:cs="Noto Sans Symbols"/>
      </w:rPr>
    </w:lvl>
    <w:lvl w:ilvl="4">
      <w:start w:val="1"/>
      <w:numFmt w:val="bullet"/>
      <w:lvlText w:val="o"/>
      <w:lvlJc w:val="left"/>
      <w:pPr>
        <w:ind w:left="4669" w:hanging="360"/>
      </w:pPr>
      <w:rPr>
        <w:rFonts w:ascii="Courier New" w:eastAsia="Courier New" w:hAnsi="Courier New" w:cs="Courier New"/>
      </w:rPr>
    </w:lvl>
    <w:lvl w:ilvl="5">
      <w:start w:val="1"/>
      <w:numFmt w:val="bullet"/>
      <w:lvlText w:val="▪"/>
      <w:lvlJc w:val="left"/>
      <w:pPr>
        <w:ind w:left="5389" w:hanging="360"/>
      </w:pPr>
      <w:rPr>
        <w:rFonts w:ascii="Noto Sans Symbols" w:eastAsia="Noto Sans Symbols" w:hAnsi="Noto Sans Symbols" w:cs="Noto Sans Symbols"/>
      </w:rPr>
    </w:lvl>
    <w:lvl w:ilvl="6">
      <w:start w:val="1"/>
      <w:numFmt w:val="bullet"/>
      <w:lvlText w:val="●"/>
      <w:lvlJc w:val="left"/>
      <w:pPr>
        <w:ind w:left="6109" w:hanging="360"/>
      </w:pPr>
      <w:rPr>
        <w:rFonts w:ascii="Noto Sans Symbols" w:eastAsia="Noto Sans Symbols" w:hAnsi="Noto Sans Symbols" w:cs="Noto Sans Symbols"/>
      </w:rPr>
    </w:lvl>
    <w:lvl w:ilvl="7">
      <w:start w:val="1"/>
      <w:numFmt w:val="bullet"/>
      <w:lvlText w:val="o"/>
      <w:lvlJc w:val="left"/>
      <w:pPr>
        <w:ind w:left="6829" w:hanging="360"/>
      </w:pPr>
      <w:rPr>
        <w:rFonts w:ascii="Courier New" w:eastAsia="Courier New" w:hAnsi="Courier New" w:cs="Courier New"/>
      </w:rPr>
    </w:lvl>
    <w:lvl w:ilvl="8">
      <w:start w:val="1"/>
      <w:numFmt w:val="bullet"/>
      <w:lvlText w:val="▪"/>
      <w:lvlJc w:val="left"/>
      <w:pPr>
        <w:ind w:left="7549" w:hanging="360"/>
      </w:pPr>
      <w:rPr>
        <w:rFonts w:ascii="Noto Sans Symbols" w:eastAsia="Noto Sans Symbols" w:hAnsi="Noto Sans Symbols" w:cs="Noto Sans Symbols"/>
      </w:rPr>
    </w:lvl>
  </w:abstractNum>
  <w:abstractNum w:abstractNumId="6" w15:restartNumberingAfterBreak="0">
    <w:nsid w:val="09F81A07"/>
    <w:multiLevelType w:val="multilevel"/>
    <w:tmpl w:val="519AFC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AB91663"/>
    <w:multiLevelType w:val="multilevel"/>
    <w:tmpl w:val="0AD4A076"/>
    <w:lvl w:ilvl="0">
      <w:start w:val="6"/>
      <w:numFmt w:val="decimal"/>
      <w:lvlText w:val="%1."/>
      <w:lvlJc w:val="left"/>
      <w:pPr>
        <w:ind w:left="540" w:hanging="540"/>
      </w:pPr>
      <w:rPr>
        <w:rFonts w:hint="default"/>
      </w:rPr>
    </w:lvl>
    <w:lvl w:ilvl="1">
      <w:start w:val="3"/>
      <w:numFmt w:val="decimal"/>
      <w:lvlText w:val="%1.%2."/>
      <w:lvlJc w:val="left"/>
      <w:pPr>
        <w:ind w:left="600" w:hanging="54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8" w15:restartNumberingAfterBreak="0">
    <w:nsid w:val="0B782F7C"/>
    <w:multiLevelType w:val="multilevel"/>
    <w:tmpl w:val="AE36ED7A"/>
    <w:lvl w:ilvl="0">
      <w:start w:val="1"/>
      <w:numFmt w:val="bullet"/>
      <w:lvlText w:val="−"/>
      <w:lvlJc w:val="left"/>
      <w:pPr>
        <w:ind w:left="2509" w:hanging="360"/>
      </w:pPr>
      <w:rPr>
        <w:rFonts w:ascii="Noto Sans Symbols" w:eastAsia="Noto Sans Symbols" w:hAnsi="Noto Sans Symbols" w:cs="Noto Sans Symbols"/>
      </w:rPr>
    </w:lvl>
    <w:lvl w:ilvl="1">
      <w:start w:val="1"/>
      <w:numFmt w:val="bullet"/>
      <w:lvlText w:val="o"/>
      <w:lvlJc w:val="left"/>
      <w:pPr>
        <w:ind w:left="3229" w:hanging="360"/>
      </w:pPr>
      <w:rPr>
        <w:rFonts w:ascii="Courier New" w:eastAsia="Courier New" w:hAnsi="Courier New" w:cs="Courier New"/>
      </w:rPr>
    </w:lvl>
    <w:lvl w:ilvl="2">
      <w:start w:val="1"/>
      <w:numFmt w:val="bullet"/>
      <w:lvlText w:val="▪"/>
      <w:lvlJc w:val="left"/>
      <w:pPr>
        <w:ind w:left="3949" w:hanging="360"/>
      </w:pPr>
      <w:rPr>
        <w:rFonts w:ascii="Noto Sans Symbols" w:eastAsia="Noto Sans Symbols" w:hAnsi="Noto Sans Symbols" w:cs="Noto Sans Symbols"/>
      </w:rPr>
    </w:lvl>
    <w:lvl w:ilvl="3">
      <w:start w:val="1"/>
      <w:numFmt w:val="bullet"/>
      <w:lvlText w:val="●"/>
      <w:lvlJc w:val="left"/>
      <w:pPr>
        <w:ind w:left="4669" w:hanging="360"/>
      </w:pPr>
      <w:rPr>
        <w:rFonts w:ascii="Noto Sans Symbols" w:eastAsia="Noto Sans Symbols" w:hAnsi="Noto Sans Symbols" w:cs="Noto Sans Symbols"/>
      </w:rPr>
    </w:lvl>
    <w:lvl w:ilvl="4">
      <w:start w:val="1"/>
      <w:numFmt w:val="bullet"/>
      <w:lvlText w:val="o"/>
      <w:lvlJc w:val="left"/>
      <w:pPr>
        <w:ind w:left="5389" w:hanging="360"/>
      </w:pPr>
      <w:rPr>
        <w:rFonts w:ascii="Courier New" w:eastAsia="Courier New" w:hAnsi="Courier New" w:cs="Courier New"/>
      </w:rPr>
    </w:lvl>
    <w:lvl w:ilvl="5">
      <w:start w:val="1"/>
      <w:numFmt w:val="bullet"/>
      <w:lvlText w:val="▪"/>
      <w:lvlJc w:val="left"/>
      <w:pPr>
        <w:ind w:left="6109" w:hanging="360"/>
      </w:pPr>
      <w:rPr>
        <w:rFonts w:ascii="Noto Sans Symbols" w:eastAsia="Noto Sans Symbols" w:hAnsi="Noto Sans Symbols" w:cs="Noto Sans Symbols"/>
      </w:rPr>
    </w:lvl>
    <w:lvl w:ilvl="6">
      <w:start w:val="1"/>
      <w:numFmt w:val="bullet"/>
      <w:lvlText w:val="●"/>
      <w:lvlJc w:val="left"/>
      <w:pPr>
        <w:ind w:left="6829" w:hanging="360"/>
      </w:pPr>
      <w:rPr>
        <w:rFonts w:ascii="Noto Sans Symbols" w:eastAsia="Noto Sans Symbols" w:hAnsi="Noto Sans Symbols" w:cs="Noto Sans Symbols"/>
      </w:rPr>
    </w:lvl>
    <w:lvl w:ilvl="7">
      <w:start w:val="1"/>
      <w:numFmt w:val="bullet"/>
      <w:lvlText w:val="o"/>
      <w:lvlJc w:val="left"/>
      <w:pPr>
        <w:ind w:left="7549" w:hanging="360"/>
      </w:pPr>
      <w:rPr>
        <w:rFonts w:ascii="Courier New" w:eastAsia="Courier New" w:hAnsi="Courier New" w:cs="Courier New"/>
      </w:rPr>
    </w:lvl>
    <w:lvl w:ilvl="8">
      <w:start w:val="1"/>
      <w:numFmt w:val="bullet"/>
      <w:lvlText w:val="▪"/>
      <w:lvlJc w:val="left"/>
      <w:pPr>
        <w:ind w:left="8269" w:hanging="360"/>
      </w:pPr>
      <w:rPr>
        <w:rFonts w:ascii="Noto Sans Symbols" w:eastAsia="Noto Sans Symbols" w:hAnsi="Noto Sans Symbols" w:cs="Noto Sans Symbols"/>
      </w:rPr>
    </w:lvl>
  </w:abstractNum>
  <w:abstractNum w:abstractNumId="9" w15:restartNumberingAfterBreak="0">
    <w:nsid w:val="0B963BC4"/>
    <w:multiLevelType w:val="multilevel"/>
    <w:tmpl w:val="25BE4820"/>
    <w:lvl w:ilvl="0">
      <w:start w:val="1"/>
      <w:numFmt w:val="bullet"/>
      <w:lvlText w:val="−"/>
      <w:lvlJc w:val="left"/>
      <w:pPr>
        <w:ind w:left="927" w:hanging="360"/>
      </w:pPr>
      <w:rPr>
        <w:rFonts w:ascii="Noto Sans Symbols" w:eastAsia="Noto Sans Symbols" w:hAnsi="Noto Sans Symbols" w:cs="Noto Sans Symbols"/>
        <w:sz w:val="28"/>
        <w:szCs w:val="28"/>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0" w15:restartNumberingAfterBreak="0">
    <w:nsid w:val="0BD475E3"/>
    <w:multiLevelType w:val="multilevel"/>
    <w:tmpl w:val="AB52FB7E"/>
    <w:lvl w:ilvl="0">
      <w:start w:val="1"/>
      <w:numFmt w:val="bullet"/>
      <w:lvlText w:val="−"/>
      <w:lvlJc w:val="left"/>
      <w:pPr>
        <w:ind w:left="420" w:hanging="420"/>
      </w:pPr>
      <w:rPr>
        <w:rFonts w:ascii="Noto Sans Symbols" w:eastAsia="Noto Sans Symbols" w:hAnsi="Noto Sans Symbols" w:cs="Noto Sans Symbols"/>
      </w:rPr>
    </w:lvl>
    <w:lvl w:ilvl="1">
      <w:start w:val="1"/>
      <w:numFmt w:val="decimal"/>
      <w:lvlText w:val="8.%2."/>
      <w:lvlJc w:val="left"/>
      <w:pPr>
        <w:ind w:left="780" w:hanging="720"/>
      </w:pPr>
    </w:lvl>
    <w:lvl w:ilvl="2">
      <w:start w:val="1"/>
      <w:numFmt w:val="decimal"/>
      <w:lvlText w:val="−.%2.%3."/>
      <w:lvlJc w:val="left"/>
      <w:pPr>
        <w:ind w:left="840" w:hanging="720"/>
      </w:pPr>
    </w:lvl>
    <w:lvl w:ilvl="3">
      <w:start w:val="1"/>
      <w:numFmt w:val="decimal"/>
      <w:lvlText w:val="−.%2.%3.%4."/>
      <w:lvlJc w:val="left"/>
      <w:pPr>
        <w:ind w:left="1260" w:hanging="1080"/>
      </w:pPr>
    </w:lvl>
    <w:lvl w:ilvl="4">
      <w:start w:val="1"/>
      <w:numFmt w:val="decimal"/>
      <w:lvlText w:val="−.%2.%3.%4.%5."/>
      <w:lvlJc w:val="left"/>
      <w:pPr>
        <w:ind w:left="1680" w:hanging="1440"/>
      </w:pPr>
    </w:lvl>
    <w:lvl w:ilvl="5">
      <w:start w:val="1"/>
      <w:numFmt w:val="decimal"/>
      <w:lvlText w:val="−.%2.%3.%4.%5.%6."/>
      <w:lvlJc w:val="left"/>
      <w:pPr>
        <w:ind w:left="1740" w:hanging="1440"/>
      </w:pPr>
    </w:lvl>
    <w:lvl w:ilvl="6">
      <w:start w:val="1"/>
      <w:numFmt w:val="decimal"/>
      <w:lvlText w:val="−.%2.%3.%4.%5.%6.%7."/>
      <w:lvlJc w:val="left"/>
      <w:pPr>
        <w:ind w:left="2160" w:hanging="1800"/>
      </w:pPr>
    </w:lvl>
    <w:lvl w:ilvl="7">
      <w:start w:val="1"/>
      <w:numFmt w:val="decimal"/>
      <w:lvlText w:val="−.%2.%3.%4.%5.%6.%7.%8."/>
      <w:lvlJc w:val="left"/>
      <w:pPr>
        <w:ind w:left="2220" w:hanging="1800"/>
      </w:pPr>
    </w:lvl>
    <w:lvl w:ilvl="8">
      <w:start w:val="1"/>
      <w:numFmt w:val="decimal"/>
      <w:lvlText w:val="−.%2.%3.%4.%5.%6.%7.%8.%9."/>
      <w:lvlJc w:val="left"/>
      <w:pPr>
        <w:ind w:left="2640" w:hanging="2160"/>
      </w:pPr>
    </w:lvl>
  </w:abstractNum>
  <w:abstractNum w:abstractNumId="11" w15:restartNumberingAfterBreak="0">
    <w:nsid w:val="11AC30ED"/>
    <w:multiLevelType w:val="multilevel"/>
    <w:tmpl w:val="696A77EE"/>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FC63F3"/>
    <w:multiLevelType w:val="multilevel"/>
    <w:tmpl w:val="646CE94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3" w15:restartNumberingAfterBreak="0">
    <w:nsid w:val="14095448"/>
    <w:multiLevelType w:val="multilevel"/>
    <w:tmpl w:val="06B83162"/>
    <w:lvl w:ilvl="0">
      <w:start w:val="2"/>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40D580E"/>
    <w:multiLevelType w:val="multilevel"/>
    <w:tmpl w:val="9A588D12"/>
    <w:lvl w:ilvl="0">
      <w:start w:val="2"/>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5" w15:restartNumberingAfterBreak="0">
    <w:nsid w:val="14263A36"/>
    <w:multiLevelType w:val="hybridMultilevel"/>
    <w:tmpl w:val="E3A4C3F2"/>
    <w:lvl w:ilvl="0" w:tplc="8BBAFC26">
      <w:numFmt w:val="bullet"/>
      <w:lvlText w:val=""/>
      <w:lvlJc w:val="left"/>
      <w:pPr>
        <w:ind w:left="720" w:hanging="360"/>
      </w:pPr>
      <w:rPr>
        <w:rFonts w:ascii="Symbol" w:eastAsia="Arial"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54070DD"/>
    <w:multiLevelType w:val="multilevel"/>
    <w:tmpl w:val="3DE83F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9AC091D"/>
    <w:multiLevelType w:val="multilevel"/>
    <w:tmpl w:val="BE38170A"/>
    <w:lvl w:ilvl="0">
      <w:start w:val="1"/>
      <w:numFmt w:val="decimal"/>
      <w:lvlText w:val="%1."/>
      <w:lvlJc w:val="left"/>
      <w:pPr>
        <w:ind w:left="420" w:hanging="420"/>
      </w:pPr>
    </w:lvl>
    <w:lvl w:ilvl="1">
      <w:start w:val="1"/>
      <w:numFmt w:val="decimal"/>
      <w:lvlText w:val="3.%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18" w15:restartNumberingAfterBreak="0">
    <w:nsid w:val="1D8415D5"/>
    <w:multiLevelType w:val="multilevel"/>
    <w:tmpl w:val="6076126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E0D0813"/>
    <w:multiLevelType w:val="multilevel"/>
    <w:tmpl w:val="B7C69E26"/>
    <w:lvl w:ilvl="0">
      <w:start w:val="4"/>
      <w:numFmt w:val="decimal"/>
      <w:lvlText w:val="6.%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1F682027"/>
    <w:multiLevelType w:val="multilevel"/>
    <w:tmpl w:val="721284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2FD6A20"/>
    <w:multiLevelType w:val="multilevel"/>
    <w:tmpl w:val="27C881F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2" w15:restartNumberingAfterBreak="0">
    <w:nsid w:val="23DC7403"/>
    <w:multiLevelType w:val="multilevel"/>
    <w:tmpl w:val="BB0A0498"/>
    <w:lvl w:ilvl="0">
      <w:start w:val="15"/>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4B20591"/>
    <w:multiLevelType w:val="multilevel"/>
    <w:tmpl w:val="79288E94"/>
    <w:lvl w:ilvl="0">
      <w:start w:val="1"/>
      <w:numFmt w:val="decimal"/>
      <w:lvlText w:val="%1."/>
      <w:lvlJc w:val="left"/>
      <w:pPr>
        <w:ind w:left="420" w:hanging="420"/>
      </w:pPr>
    </w:lvl>
    <w:lvl w:ilvl="1">
      <w:start w:val="1"/>
      <w:numFmt w:val="decimal"/>
      <w:lvlText w:val="2.%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24" w15:restartNumberingAfterBreak="0">
    <w:nsid w:val="26925C17"/>
    <w:multiLevelType w:val="multilevel"/>
    <w:tmpl w:val="4C48D302"/>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3"/>
      <w:numFmt w:val="bullet"/>
      <w:lvlText w:val="-"/>
      <w:lvlJc w:val="left"/>
      <w:pPr>
        <w:ind w:left="3229" w:hanging="360"/>
      </w:pPr>
      <w:rPr>
        <w:rFonts w:ascii="Calibri" w:eastAsia="Calibri" w:hAnsi="Calibri" w:cs="Calibri"/>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25" w15:restartNumberingAfterBreak="0">
    <w:nsid w:val="27B33D97"/>
    <w:multiLevelType w:val="multilevel"/>
    <w:tmpl w:val="1D1AF9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2B6D2666"/>
    <w:multiLevelType w:val="multilevel"/>
    <w:tmpl w:val="8480B3DE"/>
    <w:lvl w:ilvl="0">
      <w:start w:val="1"/>
      <w:numFmt w:val="decimal"/>
      <w:lvlText w:val="%1."/>
      <w:lvlJc w:val="left"/>
      <w:pPr>
        <w:ind w:left="420" w:hanging="420"/>
      </w:pPr>
    </w:lvl>
    <w:lvl w:ilvl="1">
      <w:start w:val="1"/>
      <w:numFmt w:val="decimal"/>
      <w:lvlText w:val="7.%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27" w15:restartNumberingAfterBreak="0">
    <w:nsid w:val="2DCC1951"/>
    <w:multiLevelType w:val="multilevel"/>
    <w:tmpl w:val="00F2AE5C"/>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E6C1021"/>
    <w:multiLevelType w:val="hybridMultilevel"/>
    <w:tmpl w:val="F87E8218"/>
    <w:lvl w:ilvl="0" w:tplc="4EC2E4C6">
      <w:start w:val="1"/>
      <w:numFmt w:val="bullet"/>
      <w:lvlText w:val=""/>
      <w:lvlJc w:val="left"/>
      <w:pPr>
        <w:tabs>
          <w:tab w:val="num" w:pos="720"/>
        </w:tabs>
        <w:ind w:left="720" w:hanging="360"/>
      </w:pPr>
      <w:rPr>
        <w:rFonts w:ascii="Symbol" w:hAnsi="Symbol" w:hint="default"/>
      </w:rPr>
    </w:lvl>
    <w:lvl w:ilvl="1" w:tplc="366C527C">
      <w:numFmt w:val="none"/>
      <w:lvlText w:val=""/>
      <w:lvlJc w:val="left"/>
      <w:pPr>
        <w:tabs>
          <w:tab w:val="num" w:pos="360"/>
        </w:tabs>
      </w:pPr>
    </w:lvl>
    <w:lvl w:ilvl="2" w:tplc="AE2083DC" w:tentative="1">
      <w:start w:val="1"/>
      <w:numFmt w:val="bullet"/>
      <w:lvlText w:val=""/>
      <w:lvlJc w:val="left"/>
      <w:pPr>
        <w:tabs>
          <w:tab w:val="num" w:pos="2160"/>
        </w:tabs>
        <w:ind w:left="2160" w:hanging="360"/>
      </w:pPr>
      <w:rPr>
        <w:rFonts w:ascii="Symbol" w:hAnsi="Symbol" w:hint="default"/>
      </w:rPr>
    </w:lvl>
    <w:lvl w:ilvl="3" w:tplc="ECC4CF74" w:tentative="1">
      <w:start w:val="1"/>
      <w:numFmt w:val="bullet"/>
      <w:lvlText w:val=""/>
      <w:lvlJc w:val="left"/>
      <w:pPr>
        <w:tabs>
          <w:tab w:val="num" w:pos="2880"/>
        </w:tabs>
        <w:ind w:left="2880" w:hanging="360"/>
      </w:pPr>
      <w:rPr>
        <w:rFonts w:ascii="Symbol" w:hAnsi="Symbol" w:hint="default"/>
      </w:rPr>
    </w:lvl>
    <w:lvl w:ilvl="4" w:tplc="18DE6A06" w:tentative="1">
      <w:start w:val="1"/>
      <w:numFmt w:val="bullet"/>
      <w:lvlText w:val=""/>
      <w:lvlJc w:val="left"/>
      <w:pPr>
        <w:tabs>
          <w:tab w:val="num" w:pos="3600"/>
        </w:tabs>
        <w:ind w:left="3600" w:hanging="360"/>
      </w:pPr>
      <w:rPr>
        <w:rFonts w:ascii="Symbol" w:hAnsi="Symbol" w:hint="default"/>
      </w:rPr>
    </w:lvl>
    <w:lvl w:ilvl="5" w:tplc="E1C84FAE" w:tentative="1">
      <w:start w:val="1"/>
      <w:numFmt w:val="bullet"/>
      <w:lvlText w:val=""/>
      <w:lvlJc w:val="left"/>
      <w:pPr>
        <w:tabs>
          <w:tab w:val="num" w:pos="4320"/>
        </w:tabs>
        <w:ind w:left="4320" w:hanging="360"/>
      </w:pPr>
      <w:rPr>
        <w:rFonts w:ascii="Symbol" w:hAnsi="Symbol" w:hint="default"/>
      </w:rPr>
    </w:lvl>
    <w:lvl w:ilvl="6" w:tplc="23DC1470" w:tentative="1">
      <w:start w:val="1"/>
      <w:numFmt w:val="bullet"/>
      <w:lvlText w:val=""/>
      <w:lvlJc w:val="left"/>
      <w:pPr>
        <w:tabs>
          <w:tab w:val="num" w:pos="5040"/>
        </w:tabs>
        <w:ind w:left="5040" w:hanging="360"/>
      </w:pPr>
      <w:rPr>
        <w:rFonts w:ascii="Symbol" w:hAnsi="Symbol" w:hint="default"/>
      </w:rPr>
    </w:lvl>
    <w:lvl w:ilvl="7" w:tplc="93F221F6" w:tentative="1">
      <w:start w:val="1"/>
      <w:numFmt w:val="bullet"/>
      <w:lvlText w:val=""/>
      <w:lvlJc w:val="left"/>
      <w:pPr>
        <w:tabs>
          <w:tab w:val="num" w:pos="5760"/>
        </w:tabs>
        <w:ind w:left="5760" w:hanging="360"/>
      </w:pPr>
      <w:rPr>
        <w:rFonts w:ascii="Symbol" w:hAnsi="Symbol" w:hint="default"/>
      </w:rPr>
    </w:lvl>
    <w:lvl w:ilvl="8" w:tplc="4AF6401C"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2F0C1E55"/>
    <w:multiLevelType w:val="multilevel"/>
    <w:tmpl w:val="A6CED772"/>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30" w15:restartNumberingAfterBreak="0">
    <w:nsid w:val="33684F6C"/>
    <w:multiLevelType w:val="multilevel"/>
    <w:tmpl w:val="2BA479C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1" w15:restartNumberingAfterBreak="0">
    <w:nsid w:val="357E5125"/>
    <w:multiLevelType w:val="multilevel"/>
    <w:tmpl w:val="8E0A9A1C"/>
    <w:lvl w:ilvl="0">
      <w:start w:val="1"/>
      <w:numFmt w:val="decimal"/>
      <w:lvlText w:val="%1."/>
      <w:lvlJc w:val="left"/>
      <w:pPr>
        <w:ind w:left="420" w:hanging="420"/>
      </w:pPr>
    </w:lvl>
    <w:lvl w:ilvl="1">
      <w:start w:val="1"/>
      <w:numFmt w:val="decimal"/>
      <w:lvlText w:val="4.%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32" w15:restartNumberingAfterBreak="0">
    <w:nsid w:val="35830E43"/>
    <w:multiLevelType w:val="multilevel"/>
    <w:tmpl w:val="C0AE79BA"/>
    <w:lvl w:ilvl="0">
      <w:start w:val="1"/>
      <w:numFmt w:val="decimal"/>
      <w:lvlText w:val="3.2.5.%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6CD130F"/>
    <w:multiLevelType w:val="multilevel"/>
    <w:tmpl w:val="A580AF1E"/>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34" w15:restartNumberingAfterBreak="0">
    <w:nsid w:val="38543B0C"/>
    <w:multiLevelType w:val="multilevel"/>
    <w:tmpl w:val="D66454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B4E504B"/>
    <w:multiLevelType w:val="multilevel"/>
    <w:tmpl w:val="49DAB344"/>
    <w:lvl w:ilvl="0">
      <w:start w:val="1"/>
      <w:numFmt w:val="decimal"/>
      <w:lvlText w:val="%1."/>
      <w:lvlJc w:val="left"/>
      <w:pPr>
        <w:ind w:left="420" w:hanging="420"/>
      </w:pPr>
    </w:lvl>
    <w:lvl w:ilvl="1">
      <w:start w:val="1"/>
      <w:numFmt w:val="decimal"/>
      <w:lvlText w:val="6.%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36" w15:restartNumberingAfterBreak="0">
    <w:nsid w:val="3E6440E9"/>
    <w:multiLevelType w:val="multilevel"/>
    <w:tmpl w:val="B7EA020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7" w15:restartNumberingAfterBreak="0">
    <w:nsid w:val="3E700C1F"/>
    <w:multiLevelType w:val="multilevel"/>
    <w:tmpl w:val="45E02D2A"/>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38" w15:restartNumberingAfterBreak="0">
    <w:nsid w:val="424C0F75"/>
    <w:multiLevelType w:val="multilevel"/>
    <w:tmpl w:val="6E46EB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2CE18C7"/>
    <w:multiLevelType w:val="multilevel"/>
    <w:tmpl w:val="706EAC04"/>
    <w:lvl w:ilvl="0">
      <w:start w:val="1"/>
      <w:numFmt w:val="decimal"/>
      <w:lvlText w:val="%1."/>
      <w:lvlJc w:val="left"/>
      <w:pPr>
        <w:ind w:left="1288" w:hanging="359"/>
      </w:p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40" w15:restartNumberingAfterBreak="0">
    <w:nsid w:val="441C3044"/>
    <w:multiLevelType w:val="multilevel"/>
    <w:tmpl w:val="C5922A3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47B07E14"/>
    <w:multiLevelType w:val="multilevel"/>
    <w:tmpl w:val="4D88AD64"/>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489B3726"/>
    <w:multiLevelType w:val="multilevel"/>
    <w:tmpl w:val="DE76E84A"/>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4AEA274D"/>
    <w:multiLevelType w:val="multilevel"/>
    <w:tmpl w:val="FB8E06A4"/>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C675320"/>
    <w:multiLevelType w:val="multilevel"/>
    <w:tmpl w:val="669CE5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DBF68AF"/>
    <w:multiLevelType w:val="multilevel"/>
    <w:tmpl w:val="87564F9E"/>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46" w15:restartNumberingAfterBreak="0">
    <w:nsid w:val="516258A9"/>
    <w:multiLevelType w:val="multilevel"/>
    <w:tmpl w:val="3DB48B7A"/>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51B9687C"/>
    <w:multiLevelType w:val="multilevel"/>
    <w:tmpl w:val="3BEAF3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52F00C4F"/>
    <w:multiLevelType w:val="multilevel"/>
    <w:tmpl w:val="E61C5CC4"/>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9" w15:restartNumberingAfterBreak="0">
    <w:nsid w:val="5322789F"/>
    <w:multiLevelType w:val="multilevel"/>
    <w:tmpl w:val="95508E84"/>
    <w:lvl w:ilvl="0">
      <w:start w:val="1"/>
      <w:numFmt w:val="decimal"/>
      <w:lvlText w:val="%1."/>
      <w:lvlJc w:val="left"/>
      <w:pPr>
        <w:ind w:left="420" w:hanging="420"/>
      </w:pPr>
    </w:lvl>
    <w:lvl w:ilvl="1">
      <w:start w:val="5"/>
      <w:numFmt w:val="decimal"/>
      <w:lvlText w:val="1.%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50" w15:restartNumberingAfterBreak="0">
    <w:nsid w:val="536E7B02"/>
    <w:multiLevelType w:val="multilevel"/>
    <w:tmpl w:val="9E6C1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56DB4DDF"/>
    <w:multiLevelType w:val="multilevel"/>
    <w:tmpl w:val="5EC2B208"/>
    <w:lvl w:ilvl="0">
      <w:start w:val="1"/>
      <w:numFmt w:val="decimal"/>
      <w:lvlText w:val="%1."/>
      <w:lvlJc w:val="left"/>
      <w:pPr>
        <w:ind w:left="420" w:hanging="420"/>
      </w:pPr>
    </w:lvl>
    <w:lvl w:ilvl="1">
      <w:start w:val="1"/>
      <w:numFmt w:val="decimal"/>
      <w:lvlText w:val="5.%2."/>
      <w:lvlJc w:val="left"/>
      <w:pPr>
        <w:ind w:left="780" w:hanging="720"/>
      </w:pPr>
    </w:lvl>
    <w:lvl w:ilvl="2">
      <w:start w:val="1"/>
      <w:numFmt w:val="decimal"/>
      <w:lvlText w:val="6.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52" w15:restartNumberingAfterBreak="0">
    <w:nsid w:val="578B3D62"/>
    <w:multiLevelType w:val="multilevel"/>
    <w:tmpl w:val="2FA66D18"/>
    <w:lvl w:ilvl="0">
      <w:start w:val="1"/>
      <w:numFmt w:val="decimal"/>
      <w:lvlText w:val="%1."/>
      <w:lvlJc w:val="left"/>
      <w:pPr>
        <w:ind w:left="420" w:hanging="420"/>
      </w:pPr>
    </w:lvl>
    <w:lvl w:ilvl="1">
      <w:start w:val="2"/>
      <w:numFmt w:val="decimal"/>
      <w:lvlText w:val="1.%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53" w15:restartNumberingAfterBreak="0">
    <w:nsid w:val="5A357C4D"/>
    <w:multiLevelType w:val="multilevel"/>
    <w:tmpl w:val="D8386D2E"/>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54" w15:restartNumberingAfterBreak="0">
    <w:nsid w:val="5B2E3B1E"/>
    <w:multiLevelType w:val="multilevel"/>
    <w:tmpl w:val="4288ABB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BA3509A"/>
    <w:multiLevelType w:val="multilevel"/>
    <w:tmpl w:val="EAA665D4"/>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6" w15:restartNumberingAfterBreak="0">
    <w:nsid w:val="61106924"/>
    <w:multiLevelType w:val="multilevel"/>
    <w:tmpl w:val="A8EAA9B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7" w15:restartNumberingAfterBreak="0">
    <w:nsid w:val="611D5DE4"/>
    <w:multiLevelType w:val="multilevel"/>
    <w:tmpl w:val="602C0F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61B403CC"/>
    <w:multiLevelType w:val="multilevel"/>
    <w:tmpl w:val="AEEE5E92"/>
    <w:lvl w:ilvl="0">
      <w:start w:val="1"/>
      <w:numFmt w:val="decimal"/>
      <w:lvlText w:val="%1."/>
      <w:lvlJc w:val="left"/>
      <w:pPr>
        <w:ind w:left="420" w:hanging="420"/>
      </w:pPr>
    </w:lvl>
    <w:lvl w:ilvl="1">
      <w:start w:val="1"/>
      <w:numFmt w:val="decimal"/>
      <w:lvlText w:val="5.%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59" w15:restartNumberingAfterBreak="0">
    <w:nsid w:val="61F11C36"/>
    <w:multiLevelType w:val="multilevel"/>
    <w:tmpl w:val="029C691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0" w15:restartNumberingAfterBreak="0">
    <w:nsid w:val="63184E9B"/>
    <w:multiLevelType w:val="multilevel"/>
    <w:tmpl w:val="A7A028D8"/>
    <w:lvl w:ilvl="0">
      <w:start w:val="2"/>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61" w15:restartNumberingAfterBreak="0">
    <w:nsid w:val="64D76A9D"/>
    <w:multiLevelType w:val="multilevel"/>
    <w:tmpl w:val="B270EC9E"/>
    <w:lvl w:ilvl="0">
      <w:start w:val="1"/>
      <w:numFmt w:val="bullet"/>
      <w:lvlText w:val="●"/>
      <w:lvlJc w:val="left"/>
      <w:pPr>
        <w:ind w:left="420" w:hanging="420"/>
      </w:pPr>
      <w:rPr>
        <w:rFonts w:ascii="Noto Sans Symbols" w:eastAsia="Noto Sans Symbols" w:hAnsi="Noto Sans Symbols" w:cs="Noto Sans Symbols"/>
      </w:rPr>
    </w:lvl>
    <w:lvl w:ilvl="1">
      <w:start w:val="1"/>
      <w:numFmt w:val="decimal"/>
      <w:lvlText w:val="2.%2."/>
      <w:lvlJc w:val="left"/>
      <w:pPr>
        <w:ind w:left="780" w:hanging="720"/>
      </w:pPr>
    </w:lvl>
    <w:lvl w:ilvl="2">
      <w:start w:val="1"/>
      <w:numFmt w:val="decimal"/>
      <w:lvlText w:val="●.%2.%3."/>
      <w:lvlJc w:val="left"/>
      <w:pPr>
        <w:ind w:left="840" w:hanging="720"/>
      </w:pPr>
    </w:lvl>
    <w:lvl w:ilvl="3">
      <w:start w:val="1"/>
      <w:numFmt w:val="decimal"/>
      <w:lvlText w:val="●.%2.%3.%4."/>
      <w:lvlJc w:val="left"/>
      <w:pPr>
        <w:ind w:left="1260" w:hanging="1080"/>
      </w:pPr>
    </w:lvl>
    <w:lvl w:ilvl="4">
      <w:start w:val="1"/>
      <w:numFmt w:val="decimal"/>
      <w:lvlText w:val="●.%2.%3.%4.%5."/>
      <w:lvlJc w:val="left"/>
      <w:pPr>
        <w:ind w:left="1680" w:hanging="1440"/>
      </w:pPr>
    </w:lvl>
    <w:lvl w:ilvl="5">
      <w:start w:val="1"/>
      <w:numFmt w:val="decimal"/>
      <w:lvlText w:val="●.%2.%3.%4.%5.%6."/>
      <w:lvlJc w:val="left"/>
      <w:pPr>
        <w:ind w:left="1740" w:hanging="1440"/>
      </w:pPr>
    </w:lvl>
    <w:lvl w:ilvl="6">
      <w:start w:val="1"/>
      <w:numFmt w:val="decimal"/>
      <w:lvlText w:val="●.%2.%3.%4.%5.%6.%7."/>
      <w:lvlJc w:val="left"/>
      <w:pPr>
        <w:ind w:left="2160" w:hanging="1800"/>
      </w:pPr>
    </w:lvl>
    <w:lvl w:ilvl="7">
      <w:start w:val="1"/>
      <w:numFmt w:val="decimal"/>
      <w:lvlText w:val="●.%2.%3.%4.%5.%6.%7.%8."/>
      <w:lvlJc w:val="left"/>
      <w:pPr>
        <w:ind w:left="2220" w:hanging="1800"/>
      </w:pPr>
    </w:lvl>
    <w:lvl w:ilvl="8">
      <w:start w:val="1"/>
      <w:numFmt w:val="decimal"/>
      <w:lvlText w:val="●.%2.%3.%4.%5.%6.%7.%8.%9."/>
      <w:lvlJc w:val="left"/>
      <w:pPr>
        <w:ind w:left="2640" w:hanging="2160"/>
      </w:pPr>
    </w:lvl>
  </w:abstractNum>
  <w:abstractNum w:abstractNumId="62" w15:restartNumberingAfterBreak="0">
    <w:nsid w:val="65C21D22"/>
    <w:multiLevelType w:val="multilevel"/>
    <w:tmpl w:val="911E9E8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3" w15:restartNumberingAfterBreak="0">
    <w:nsid w:val="66C27D09"/>
    <w:multiLevelType w:val="multilevel"/>
    <w:tmpl w:val="21F417E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4" w15:restartNumberingAfterBreak="0">
    <w:nsid w:val="67336BEA"/>
    <w:multiLevelType w:val="multilevel"/>
    <w:tmpl w:val="9BBCFC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681A789A"/>
    <w:multiLevelType w:val="multilevel"/>
    <w:tmpl w:val="FE62C176"/>
    <w:lvl w:ilvl="0">
      <w:start w:val="2"/>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66" w15:restartNumberingAfterBreak="0">
    <w:nsid w:val="6AB56BCA"/>
    <w:multiLevelType w:val="multilevel"/>
    <w:tmpl w:val="CB40E27C"/>
    <w:lvl w:ilvl="0">
      <w:start w:val="1"/>
      <w:numFmt w:val="decimal"/>
      <w:lvlText w:val="%1."/>
      <w:lvlJc w:val="left"/>
      <w:pPr>
        <w:ind w:left="420" w:hanging="420"/>
      </w:pPr>
    </w:lvl>
    <w:lvl w:ilvl="1">
      <w:start w:val="1"/>
      <w:numFmt w:val="decimal"/>
      <w:lvlText w:val="3.1.%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67" w15:restartNumberingAfterBreak="0">
    <w:nsid w:val="6B573865"/>
    <w:multiLevelType w:val="multilevel"/>
    <w:tmpl w:val="962ED6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CD507C6"/>
    <w:multiLevelType w:val="multilevel"/>
    <w:tmpl w:val="DCEE3CC6"/>
    <w:lvl w:ilvl="0">
      <w:start w:val="1"/>
      <w:numFmt w:val="decimal"/>
      <w:lvlText w:val="%1."/>
      <w:lvlJc w:val="left"/>
      <w:pPr>
        <w:ind w:left="420" w:hanging="420"/>
      </w:pPr>
    </w:lvl>
    <w:lvl w:ilvl="1">
      <w:start w:val="1"/>
      <w:numFmt w:val="decimal"/>
      <w:lvlText w:val="8.%2."/>
      <w:lvlJc w:val="left"/>
      <w:pPr>
        <w:ind w:left="780" w:hanging="720"/>
      </w:pPr>
    </w:lvl>
    <w:lvl w:ilvl="2">
      <w:start w:val="1"/>
      <w:numFmt w:val="decimal"/>
      <w:lvlText w:val="%1.%2.%3."/>
      <w:lvlJc w:val="left"/>
      <w:pPr>
        <w:ind w:left="840" w:hanging="720"/>
      </w:pPr>
    </w:lvl>
    <w:lvl w:ilvl="3">
      <w:start w:val="1"/>
      <w:numFmt w:val="decimal"/>
      <w:lvlText w:val="%1.%2.%3.%4."/>
      <w:lvlJc w:val="left"/>
      <w:pPr>
        <w:ind w:left="1260" w:hanging="1080"/>
      </w:pPr>
    </w:lvl>
    <w:lvl w:ilvl="4">
      <w:start w:val="1"/>
      <w:numFmt w:val="decimal"/>
      <w:lvlText w:val="%1.%2.%3.%4.%5."/>
      <w:lvlJc w:val="left"/>
      <w:pPr>
        <w:ind w:left="1680" w:hanging="1440"/>
      </w:pPr>
    </w:lvl>
    <w:lvl w:ilvl="5">
      <w:start w:val="1"/>
      <w:numFmt w:val="decimal"/>
      <w:lvlText w:val="%1.%2.%3.%4.%5.%6."/>
      <w:lvlJc w:val="left"/>
      <w:pPr>
        <w:ind w:left="1740" w:hanging="1440"/>
      </w:pPr>
    </w:lvl>
    <w:lvl w:ilvl="6">
      <w:start w:val="1"/>
      <w:numFmt w:val="decimal"/>
      <w:lvlText w:val="%1.%2.%3.%4.%5.%6.%7."/>
      <w:lvlJc w:val="left"/>
      <w:pPr>
        <w:ind w:left="2160" w:hanging="1800"/>
      </w:pPr>
    </w:lvl>
    <w:lvl w:ilvl="7">
      <w:start w:val="1"/>
      <w:numFmt w:val="decimal"/>
      <w:lvlText w:val="%1.%2.%3.%4.%5.%6.%7.%8."/>
      <w:lvlJc w:val="left"/>
      <w:pPr>
        <w:ind w:left="2220" w:hanging="1800"/>
      </w:pPr>
    </w:lvl>
    <w:lvl w:ilvl="8">
      <w:start w:val="1"/>
      <w:numFmt w:val="decimal"/>
      <w:lvlText w:val="%1.%2.%3.%4.%5.%6.%7.%8.%9."/>
      <w:lvlJc w:val="left"/>
      <w:pPr>
        <w:ind w:left="2640" w:hanging="2160"/>
      </w:pPr>
    </w:lvl>
  </w:abstractNum>
  <w:abstractNum w:abstractNumId="69" w15:restartNumberingAfterBreak="0">
    <w:nsid w:val="6E297149"/>
    <w:multiLevelType w:val="multilevel"/>
    <w:tmpl w:val="C0F06C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F027BAD"/>
    <w:multiLevelType w:val="multilevel"/>
    <w:tmpl w:val="8F121C08"/>
    <w:lvl w:ilvl="0">
      <w:start w:val="3"/>
      <w:numFmt w:val="decimal"/>
      <w:lvlText w:val="%1."/>
      <w:lvlJc w:val="left"/>
      <w:pPr>
        <w:ind w:left="420" w:hanging="420"/>
      </w:pPr>
      <w:rPr>
        <w:rFonts w:hint="default"/>
      </w:rPr>
    </w:lvl>
    <w:lvl w:ilvl="1">
      <w:start w:val="3"/>
      <w:numFmt w:val="decimal"/>
      <w:lvlText w:val="6.%2."/>
      <w:lvlJc w:val="left"/>
      <w:pPr>
        <w:ind w:left="780" w:hanging="7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680" w:hanging="144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216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640" w:hanging="2160"/>
      </w:pPr>
      <w:rPr>
        <w:rFonts w:hint="default"/>
      </w:rPr>
    </w:lvl>
  </w:abstractNum>
  <w:abstractNum w:abstractNumId="71" w15:restartNumberingAfterBreak="0">
    <w:nsid w:val="6F350C8A"/>
    <w:multiLevelType w:val="multilevel"/>
    <w:tmpl w:val="6FDA9D5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2" w15:restartNumberingAfterBreak="0">
    <w:nsid w:val="6F9A2B35"/>
    <w:multiLevelType w:val="multilevel"/>
    <w:tmpl w:val="BB68353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2934658"/>
    <w:multiLevelType w:val="multilevel"/>
    <w:tmpl w:val="9DC4F4E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74" w15:restartNumberingAfterBreak="0">
    <w:nsid w:val="755340BB"/>
    <w:multiLevelType w:val="multilevel"/>
    <w:tmpl w:val="2208E8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76171F69"/>
    <w:multiLevelType w:val="multilevel"/>
    <w:tmpl w:val="6018D1A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6" w15:restartNumberingAfterBreak="0">
    <w:nsid w:val="782E6085"/>
    <w:multiLevelType w:val="multilevel"/>
    <w:tmpl w:val="1138F3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79E46AD8"/>
    <w:multiLevelType w:val="multilevel"/>
    <w:tmpl w:val="509E0E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7D6320B6"/>
    <w:multiLevelType w:val="multilevel"/>
    <w:tmpl w:val="35CA1420"/>
    <w:lvl w:ilvl="0">
      <w:start w:val="1"/>
      <w:numFmt w:val="decimal"/>
      <w:lvlText w:val="3.2.%1."/>
      <w:lvlJc w:val="left"/>
      <w:pPr>
        <w:ind w:left="4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35255663">
    <w:abstractNumId w:val="74"/>
  </w:num>
  <w:num w:numId="2" w16cid:durableId="343090724">
    <w:abstractNumId w:val="67"/>
  </w:num>
  <w:num w:numId="3" w16cid:durableId="880441671">
    <w:abstractNumId w:val="59"/>
  </w:num>
  <w:num w:numId="4" w16cid:durableId="14620655">
    <w:abstractNumId w:val="34"/>
  </w:num>
  <w:num w:numId="5" w16cid:durableId="1324554551">
    <w:abstractNumId w:val="36"/>
  </w:num>
  <w:num w:numId="6" w16cid:durableId="1906792740">
    <w:abstractNumId w:val="12"/>
  </w:num>
  <w:num w:numId="7" w16cid:durableId="1861623895">
    <w:abstractNumId w:val="46"/>
  </w:num>
  <w:num w:numId="8" w16cid:durableId="1474638229">
    <w:abstractNumId w:val="22"/>
  </w:num>
  <w:num w:numId="9" w16cid:durableId="70012393">
    <w:abstractNumId w:val="47"/>
  </w:num>
  <w:num w:numId="10" w16cid:durableId="82534861">
    <w:abstractNumId w:val="4"/>
  </w:num>
  <w:num w:numId="11" w16cid:durableId="1037924509">
    <w:abstractNumId w:val="0"/>
  </w:num>
  <w:num w:numId="12" w16cid:durableId="182788982">
    <w:abstractNumId w:val="55"/>
  </w:num>
  <w:num w:numId="13" w16cid:durableId="292561756">
    <w:abstractNumId w:val="6"/>
  </w:num>
  <w:num w:numId="14" w16cid:durableId="2062362340">
    <w:abstractNumId w:val="3"/>
  </w:num>
  <w:num w:numId="15" w16cid:durableId="775637736">
    <w:abstractNumId w:val="73"/>
  </w:num>
  <w:num w:numId="16" w16cid:durableId="1673097210">
    <w:abstractNumId w:val="60"/>
  </w:num>
  <w:num w:numId="17" w16cid:durableId="1929926164">
    <w:abstractNumId w:val="23"/>
  </w:num>
  <w:num w:numId="18" w16cid:durableId="797917800">
    <w:abstractNumId w:val="17"/>
  </w:num>
  <w:num w:numId="19" w16cid:durableId="1894582803">
    <w:abstractNumId w:val="13"/>
  </w:num>
  <w:num w:numId="20" w16cid:durableId="72513611">
    <w:abstractNumId w:val="65"/>
  </w:num>
  <w:num w:numId="21" w16cid:durableId="833373340">
    <w:abstractNumId w:val="29"/>
  </w:num>
  <w:num w:numId="22" w16cid:durableId="2035301483">
    <w:abstractNumId w:val="66"/>
  </w:num>
  <w:num w:numId="23" w16cid:durableId="848524076">
    <w:abstractNumId w:val="31"/>
  </w:num>
  <w:num w:numId="24" w16cid:durableId="951327486">
    <w:abstractNumId w:val="58"/>
  </w:num>
  <w:num w:numId="25" w16cid:durableId="122116520">
    <w:abstractNumId w:val="35"/>
  </w:num>
  <w:num w:numId="26" w16cid:durableId="455375565">
    <w:abstractNumId w:val="51"/>
  </w:num>
  <w:num w:numId="27" w16cid:durableId="1436633197">
    <w:abstractNumId w:val="26"/>
  </w:num>
  <w:num w:numId="28" w16cid:durableId="1607612621">
    <w:abstractNumId w:val="68"/>
  </w:num>
  <w:num w:numId="29" w16cid:durableId="1157768500">
    <w:abstractNumId w:val="71"/>
  </w:num>
  <w:num w:numId="30" w16cid:durableId="37820654">
    <w:abstractNumId w:val="69"/>
  </w:num>
  <w:num w:numId="31" w16cid:durableId="36860072">
    <w:abstractNumId w:val="50"/>
  </w:num>
  <w:num w:numId="32" w16cid:durableId="2054886074">
    <w:abstractNumId w:val="18"/>
  </w:num>
  <w:num w:numId="33" w16cid:durableId="1567182513">
    <w:abstractNumId w:val="25"/>
  </w:num>
  <w:num w:numId="34" w16cid:durableId="1176964777">
    <w:abstractNumId w:val="41"/>
  </w:num>
  <w:num w:numId="35" w16cid:durableId="873932202">
    <w:abstractNumId w:val="21"/>
  </w:num>
  <w:num w:numId="36" w16cid:durableId="746345149">
    <w:abstractNumId w:val="57"/>
  </w:num>
  <w:num w:numId="37" w16cid:durableId="117070286">
    <w:abstractNumId w:val="45"/>
  </w:num>
  <w:num w:numId="38" w16cid:durableId="906962986">
    <w:abstractNumId w:val="62"/>
  </w:num>
  <w:num w:numId="39" w16cid:durableId="1847281425">
    <w:abstractNumId w:val="76"/>
  </w:num>
  <w:num w:numId="40" w16cid:durableId="1629583977">
    <w:abstractNumId w:val="44"/>
  </w:num>
  <w:num w:numId="41" w16cid:durableId="1770808190">
    <w:abstractNumId w:val="75"/>
  </w:num>
  <w:num w:numId="42" w16cid:durableId="1994748715">
    <w:abstractNumId w:val="20"/>
  </w:num>
  <w:num w:numId="43" w16cid:durableId="1936132363">
    <w:abstractNumId w:val="64"/>
  </w:num>
  <w:num w:numId="44" w16cid:durableId="1456097624">
    <w:abstractNumId w:val="1"/>
  </w:num>
  <w:num w:numId="45" w16cid:durableId="1267615105">
    <w:abstractNumId w:val="52"/>
  </w:num>
  <w:num w:numId="46" w16cid:durableId="2123729">
    <w:abstractNumId w:val="53"/>
  </w:num>
  <w:num w:numId="47" w16cid:durableId="1240019960">
    <w:abstractNumId w:val="8"/>
  </w:num>
  <w:num w:numId="48" w16cid:durableId="1821538704">
    <w:abstractNumId w:val="72"/>
  </w:num>
  <w:num w:numId="49" w16cid:durableId="356273535">
    <w:abstractNumId w:val="5"/>
  </w:num>
  <w:num w:numId="50" w16cid:durableId="1056586581">
    <w:abstractNumId w:val="61"/>
  </w:num>
  <w:num w:numId="51" w16cid:durableId="699400683">
    <w:abstractNumId w:val="77"/>
  </w:num>
  <w:num w:numId="52" w16cid:durableId="430780422">
    <w:abstractNumId w:val="33"/>
  </w:num>
  <w:num w:numId="53" w16cid:durableId="1366440416">
    <w:abstractNumId w:val="49"/>
  </w:num>
  <w:num w:numId="54" w16cid:durableId="456802901">
    <w:abstractNumId w:val="78"/>
  </w:num>
  <w:num w:numId="55" w16cid:durableId="1959142762">
    <w:abstractNumId w:val="32"/>
  </w:num>
  <w:num w:numId="56" w16cid:durableId="1428228139">
    <w:abstractNumId w:val="19"/>
  </w:num>
  <w:num w:numId="57" w16cid:durableId="1827162659">
    <w:abstractNumId w:val="38"/>
  </w:num>
  <w:num w:numId="58" w16cid:durableId="12391055">
    <w:abstractNumId w:val="56"/>
  </w:num>
  <w:num w:numId="59" w16cid:durableId="1317147358">
    <w:abstractNumId w:val="9"/>
  </w:num>
  <w:num w:numId="60" w16cid:durableId="41290122">
    <w:abstractNumId w:val="37"/>
  </w:num>
  <w:num w:numId="61" w16cid:durableId="573777079">
    <w:abstractNumId w:val="16"/>
  </w:num>
  <w:num w:numId="62" w16cid:durableId="38674321">
    <w:abstractNumId w:val="63"/>
  </w:num>
  <w:num w:numId="63" w16cid:durableId="1439325129">
    <w:abstractNumId w:val="10"/>
  </w:num>
  <w:num w:numId="64" w16cid:durableId="514657680">
    <w:abstractNumId w:val="48"/>
  </w:num>
  <w:num w:numId="65" w16cid:durableId="1335916621">
    <w:abstractNumId w:val="27"/>
  </w:num>
  <w:num w:numId="66" w16cid:durableId="1158573225">
    <w:abstractNumId w:val="42"/>
  </w:num>
  <w:num w:numId="67" w16cid:durableId="1408847152">
    <w:abstractNumId w:val="11"/>
  </w:num>
  <w:num w:numId="68" w16cid:durableId="1917082615">
    <w:abstractNumId w:val="30"/>
  </w:num>
  <w:num w:numId="69" w16cid:durableId="1046173490">
    <w:abstractNumId w:val="24"/>
  </w:num>
  <w:num w:numId="70" w16cid:durableId="458572129">
    <w:abstractNumId w:val="43"/>
  </w:num>
  <w:num w:numId="71" w16cid:durableId="924001156">
    <w:abstractNumId w:val="14"/>
  </w:num>
  <w:num w:numId="72" w16cid:durableId="1742865576">
    <w:abstractNumId w:val="39"/>
  </w:num>
  <w:num w:numId="73" w16cid:durableId="989990173">
    <w:abstractNumId w:val="40"/>
  </w:num>
  <w:num w:numId="74" w16cid:durableId="2028288355">
    <w:abstractNumId w:val="54"/>
  </w:num>
  <w:num w:numId="75" w16cid:durableId="1450736478">
    <w:abstractNumId w:val="2"/>
  </w:num>
  <w:num w:numId="76" w16cid:durableId="707023528">
    <w:abstractNumId w:val="15"/>
  </w:num>
  <w:num w:numId="77" w16cid:durableId="644234719">
    <w:abstractNumId w:val="28"/>
  </w:num>
  <w:num w:numId="78" w16cid:durableId="1931424819">
    <w:abstractNumId w:val="70"/>
  </w:num>
  <w:num w:numId="79" w16cid:durableId="1816608645">
    <w:abstractNumId w:val="7"/>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2386"/>
    <w:rsid w:val="00023A93"/>
    <w:rsid w:val="00024608"/>
    <w:rsid w:val="000323DA"/>
    <w:rsid w:val="000433F3"/>
    <w:rsid w:val="00052E5A"/>
    <w:rsid w:val="000543D3"/>
    <w:rsid w:val="00070D50"/>
    <w:rsid w:val="000911D3"/>
    <w:rsid w:val="00097D9A"/>
    <w:rsid w:val="000C4612"/>
    <w:rsid w:val="000D1C9E"/>
    <w:rsid w:val="000E7862"/>
    <w:rsid w:val="00112ABC"/>
    <w:rsid w:val="0011760F"/>
    <w:rsid w:val="00120C46"/>
    <w:rsid w:val="00121E9D"/>
    <w:rsid w:val="001231CB"/>
    <w:rsid w:val="001266F0"/>
    <w:rsid w:val="00135887"/>
    <w:rsid w:val="001371E5"/>
    <w:rsid w:val="0014045D"/>
    <w:rsid w:val="00141469"/>
    <w:rsid w:val="0014790E"/>
    <w:rsid w:val="00151C83"/>
    <w:rsid w:val="001528F6"/>
    <w:rsid w:val="00154D47"/>
    <w:rsid w:val="00156A8D"/>
    <w:rsid w:val="00161A2D"/>
    <w:rsid w:val="001630E4"/>
    <w:rsid w:val="0016459D"/>
    <w:rsid w:val="00167D6B"/>
    <w:rsid w:val="0018584E"/>
    <w:rsid w:val="001B5789"/>
    <w:rsid w:val="001B7378"/>
    <w:rsid w:val="001C2A45"/>
    <w:rsid w:val="001C6B1B"/>
    <w:rsid w:val="001D4C9D"/>
    <w:rsid w:val="001E4D0B"/>
    <w:rsid w:val="001F16DA"/>
    <w:rsid w:val="0020014E"/>
    <w:rsid w:val="00200406"/>
    <w:rsid w:val="00205688"/>
    <w:rsid w:val="00220DA0"/>
    <w:rsid w:val="00225D86"/>
    <w:rsid w:val="002263E8"/>
    <w:rsid w:val="00227606"/>
    <w:rsid w:val="00227D36"/>
    <w:rsid w:val="002316C3"/>
    <w:rsid w:val="00241265"/>
    <w:rsid w:val="002458E2"/>
    <w:rsid w:val="00261909"/>
    <w:rsid w:val="00265A01"/>
    <w:rsid w:val="0026626A"/>
    <w:rsid w:val="00275A90"/>
    <w:rsid w:val="002802C8"/>
    <w:rsid w:val="00284EAF"/>
    <w:rsid w:val="002A2A12"/>
    <w:rsid w:val="002A5011"/>
    <w:rsid w:val="002A5430"/>
    <w:rsid w:val="002B5C06"/>
    <w:rsid w:val="002D3B63"/>
    <w:rsid w:val="002E6A71"/>
    <w:rsid w:val="002F6ECB"/>
    <w:rsid w:val="003001B6"/>
    <w:rsid w:val="00300E16"/>
    <w:rsid w:val="00301E69"/>
    <w:rsid w:val="00303053"/>
    <w:rsid w:val="0030473C"/>
    <w:rsid w:val="0030603B"/>
    <w:rsid w:val="00310392"/>
    <w:rsid w:val="00314A5E"/>
    <w:rsid w:val="00316AE5"/>
    <w:rsid w:val="0033187F"/>
    <w:rsid w:val="0034572D"/>
    <w:rsid w:val="00360AB8"/>
    <w:rsid w:val="00360EF1"/>
    <w:rsid w:val="003A1C84"/>
    <w:rsid w:val="003B5ED6"/>
    <w:rsid w:val="003C0AFB"/>
    <w:rsid w:val="003C382E"/>
    <w:rsid w:val="003C51CB"/>
    <w:rsid w:val="003F18CA"/>
    <w:rsid w:val="003F47F9"/>
    <w:rsid w:val="003F6E30"/>
    <w:rsid w:val="00406C9F"/>
    <w:rsid w:val="00421EC5"/>
    <w:rsid w:val="004341E7"/>
    <w:rsid w:val="004406CF"/>
    <w:rsid w:val="0045015C"/>
    <w:rsid w:val="00451B9D"/>
    <w:rsid w:val="00455443"/>
    <w:rsid w:val="00455F02"/>
    <w:rsid w:val="00467830"/>
    <w:rsid w:val="00492FFF"/>
    <w:rsid w:val="004E1636"/>
    <w:rsid w:val="004F418D"/>
    <w:rsid w:val="00501E2D"/>
    <w:rsid w:val="005047CB"/>
    <w:rsid w:val="0051794F"/>
    <w:rsid w:val="005238E7"/>
    <w:rsid w:val="00525B7A"/>
    <w:rsid w:val="00532668"/>
    <w:rsid w:val="00554CD6"/>
    <w:rsid w:val="0055767F"/>
    <w:rsid w:val="00563EC7"/>
    <w:rsid w:val="00572AA0"/>
    <w:rsid w:val="00574FC9"/>
    <w:rsid w:val="00593031"/>
    <w:rsid w:val="00597CAF"/>
    <w:rsid w:val="00603E3B"/>
    <w:rsid w:val="00632C55"/>
    <w:rsid w:val="0063311D"/>
    <w:rsid w:val="00634275"/>
    <w:rsid w:val="006466AE"/>
    <w:rsid w:val="00652690"/>
    <w:rsid w:val="00664338"/>
    <w:rsid w:val="0066602E"/>
    <w:rsid w:val="006758A5"/>
    <w:rsid w:val="00677211"/>
    <w:rsid w:val="00684375"/>
    <w:rsid w:val="006A5A95"/>
    <w:rsid w:val="006B2C11"/>
    <w:rsid w:val="006B3CEF"/>
    <w:rsid w:val="006B45F3"/>
    <w:rsid w:val="006C2C5E"/>
    <w:rsid w:val="006D11B1"/>
    <w:rsid w:val="006D4922"/>
    <w:rsid w:val="006E0D22"/>
    <w:rsid w:val="006E12D3"/>
    <w:rsid w:val="006E1E2B"/>
    <w:rsid w:val="006F0E62"/>
    <w:rsid w:val="007112F0"/>
    <w:rsid w:val="0073122D"/>
    <w:rsid w:val="00751C35"/>
    <w:rsid w:val="00755D8D"/>
    <w:rsid w:val="007561B9"/>
    <w:rsid w:val="00761C3E"/>
    <w:rsid w:val="00771275"/>
    <w:rsid w:val="0077465E"/>
    <w:rsid w:val="00776C4B"/>
    <w:rsid w:val="00780E57"/>
    <w:rsid w:val="0078791F"/>
    <w:rsid w:val="007B1C91"/>
    <w:rsid w:val="007B2871"/>
    <w:rsid w:val="007C0825"/>
    <w:rsid w:val="007C0AF7"/>
    <w:rsid w:val="007C7AE3"/>
    <w:rsid w:val="007C7DEC"/>
    <w:rsid w:val="007D45CD"/>
    <w:rsid w:val="007F2B4D"/>
    <w:rsid w:val="007F4BA8"/>
    <w:rsid w:val="00802C80"/>
    <w:rsid w:val="00811C9D"/>
    <w:rsid w:val="00825BAF"/>
    <w:rsid w:val="00843515"/>
    <w:rsid w:val="00846850"/>
    <w:rsid w:val="008606C0"/>
    <w:rsid w:val="00864398"/>
    <w:rsid w:val="00867419"/>
    <w:rsid w:val="008827BB"/>
    <w:rsid w:val="00891E00"/>
    <w:rsid w:val="008A20F3"/>
    <w:rsid w:val="008A4033"/>
    <w:rsid w:val="008A45AC"/>
    <w:rsid w:val="008C1685"/>
    <w:rsid w:val="008C5684"/>
    <w:rsid w:val="008E35E0"/>
    <w:rsid w:val="008E3FE8"/>
    <w:rsid w:val="008F6FCF"/>
    <w:rsid w:val="00942683"/>
    <w:rsid w:val="00944A10"/>
    <w:rsid w:val="00962621"/>
    <w:rsid w:val="00967580"/>
    <w:rsid w:val="009735A1"/>
    <w:rsid w:val="009818BD"/>
    <w:rsid w:val="00987269"/>
    <w:rsid w:val="009911BD"/>
    <w:rsid w:val="009945D7"/>
    <w:rsid w:val="009A2A51"/>
    <w:rsid w:val="009B719A"/>
    <w:rsid w:val="009C35DE"/>
    <w:rsid w:val="009D5DE5"/>
    <w:rsid w:val="009E7BB8"/>
    <w:rsid w:val="00A11685"/>
    <w:rsid w:val="00A11786"/>
    <w:rsid w:val="00A15D39"/>
    <w:rsid w:val="00A219F7"/>
    <w:rsid w:val="00A21E5C"/>
    <w:rsid w:val="00A4467F"/>
    <w:rsid w:val="00A642FA"/>
    <w:rsid w:val="00A8060F"/>
    <w:rsid w:val="00A877CB"/>
    <w:rsid w:val="00A93F5E"/>
    <w:rsid w:val="00AA69C3"/>
    <w:rsid w:val="00AB091B"/>
    <w:rsid w:val="00AB3BE8"/>
    <w:rsid w:val="00AB6D26"/>
    <w:rsid w:val="00AC3F5E"/>
    <w:rsid w:val="00AD2F26"/>
    <w:rsid w:val="00AE10A4"/>
    <w:rsid w:val="00AE33D7"/>
    <w:rsid w:val="00AF2195"/>
    <w:rsid w:val="00AF672F"/>
    <w:rsid w:val="00AF6DBD"/>
    <w:rsid w:val="00B074F3"/>
    <w:rsid w:val="00B33757"/>
    <w:rsid w:val="00B4069B"/>
    <w:rsid w:val="00B55434"/>
    <w:rsid w:val="00B62D04"/>
    <w:rsid w:val="00B64824"/>
    <w:rsid w:val="00B7553A"/>
    <w:rsid w:val="00B83CFC"/>
    <w:rsid w:val="00B91121"/>
    <w:rsid w:val="00B9377C"/>
    <w:rsid w:val="00B9616D"/>
    <w:rsid w:val="00BA7593"/>
    <w:rsid w:val="00BB7F7E"/>
    <w:rsid w:val="00BC277C"/>
    <w:rsid w:val="00BC3956"/>
    <w:rsid w:val="00BD7402"/>
    <w:rsid w:val="00BF0CCD"/>
    <w:rsid w:val="00BF12BA"/>
    <w:rsid w:val="00BF5DA2"/>
    <w:rsid w:val="00C0544D"/>
    <w:rsid w:val="00C22217"/>
    <w:rsid w:val="00C23D62"/>
    <w:rsid w:val="00C335EA"/>
    <w:rsid w:val="00C34337"/>
    <w:rsid w:val="00C356BB"/>
    <w:rsid w:val="00C37678"/>
    <w:rsid w:val="00C41BFF"/>
    <w:rsid w:val="00C55809"/>
    <w:rsid w:val="00C606DC"/>
    <w:rsid w:val="00C70B97"/>
    <w:rsid w:val="00C8122B"/>
    <w:rsid w:val="00C81E5C"/>
    <w:rsid w:val="00C82386"/>
    <w:rsid w:val="00C94B12"/>
    <w:rsid w:val="00CA5979"/>
    <w:rsid w:val="00CA6138"/>
    <w:rsid w:val="00CB3A1E"/>
    <w:rsid w:val="00CC3658"/>
    <w:rsid w:val="00CC7FE4"/>
    <w:rsid w:val="00CD051C"/>
    <w:rsid w:val="00CD55A3"/>
    <w:rsid w:val="00CE13D9"/>
    <w:rsid w:val="00CE4330"/>
    <w:rsid w:val="00CF59FF"/>
    <w:rsid w:val="00D0032C"/>
    <w:rsid w:val="00D00C82"/>
    <w:rsid w:val="00D01DA4"/>
    <w:rsid w:val="00D07318"/>
    <w:rsid w:val="00D10306"/>
    <w:rsid w:val="00D10670"/>
    <w:rsid w:val="00D1501A"/>
    <w:rsid w:val="00D22207"/>
    <w:rsid w:val="00D44B07"/>
    <w:rsid w:val="00D45D35"/>
    <w:rsid w:val="00D60E4C"/>
    <w:rsid w:val="00D619CA"/>
    <w:rsid w:val="00D72CDF"/>
    <w:rsid w:val="00DB5D30"/>
    <w:rsid w:val="00DB649B"/>
    <w:rsid w:val="00DD30B2"/>
    <w:rsid w:val="00DD4B77"/>
    <w:rsid w:val="00DF01CD"/>
    <w:rsid w:val="00E02BBC"/>
    <w:rsid w:val="00E130ED"/>
    <w:rsid w:val="00E165E1"/>
    <w:rsid w:val="00E208ED"/>
    <w:rsid w:val="00E27287"/>
    <w:rsid w:val="00E32992"/>
    <w:rsid w:val="00E34ACB"/>
    <w:rsid w:val="00E43437"/>
    <w:rsid w:val="00E556BE"/>
    <w:rsid w:val="00E66F64"/>
    <w:rsid w:val="00E95177"/>
    <w:rsid w:val="00E957FC"/>
    <w:rsid w:val="00ED490E"/>
    <w:rsid w:val="00EE5296"/>
    <w:rsid w:val="00EF2FDA"/>
    <w:rsid w:val="00F109A9"/>
    <w:rsid w:val="00F120E2"/>
    <w:rsid w:val="00F170D8"/>
    <w:rsid w:val="00F436BD"/>
    <w:rsid w:val="00F461B1"/>
    <w:rsid w:val="00F475A1"/>
    <w:rsid w:val="00F50E39"/>
    <w:rsid w:val="00F5209C"/>
    <w:rsid w:val="00F8112D"/>
    <w:rsid w:val="00F9476C"/>
    <w:rsid w:val="00F96848"/>
    <w:rsid w:val="00FB2E23"/>
    <w:rsid w:val="00FD4698"/>
    <w:rsid w:val="00FE0C17"/>
    <w:rsid w:val="00FF3462"/>
    <w:rsid w:val="00FF37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9830299"/>
  <w15:docId w15:val="{D062B09F-462F-42B7-B6B5-F02B37138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k-UA"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611F"/>
  </w:style>
  <w:style w:type="paragraph" w:styleId="1">
    <w:name w:val="heading 1"/>
    <w:basedOn w:val="a"/>
    <w:next w:val="a"/>
    <w:link w:val="10"/>
    <w:qFormat/>
    <w:rsid w:val="002861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374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370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080EDD"/>
    <w:pPr>
      <w:keepNext/>
      <w:keepLines/>
      <w:spacing w:before="240" w:after="40"/>
      <w:outlineLvl w:val="3"/>
    </w:pPr>
    <w:rPr>
      <w:b/>
      <w:sz w:val="24"/>
      <w:szCs w:val="24"/>
      <w:lang w:eastAsia="uk-UA"/>
    </w:rPr>
  </w:style>
  <w:style w:type="paragraph" w:styleId="5">
    <w:name w:val="heading 5"/>
    <w:basedOn w:val="a"/>
    <w:next w:val="a"/>
    <w:link w:val="50"/>
    <w:uiPriority w:val="9"/>
    <w:semiHidden/>
    <w:unhideWhenUsed/>
    <w:qFormat/>
    <w:rsid w:val="00080EDD"/>
    <w:pPr>
      <w:keepNext/>
      <w:keepLines/>
      <w:spacing w:before="220" w:after="40"/>
      <w:outlineLvl w:val="4"/>
    </w:pPr>
    <w:rPr>
      <w:b/>
      <w:lang w:eastAsia="uk-UA"/>
    </w:rPr>
  </w:style>
  <w:style w:type="paragraph" w:styleId="6">
    <w:name w:val="heading 6"/>
    <w:basedOn w:val="a"/>
    <w:next w:val="a"/>
    <w:link w:val="60"/>
    <w:uiPriority w:val="9"/>
    <w:semiHidden/>
    <w:unhideWhenUsed/>
    <w:qFormat/>
    <w:rsid w:val="00080EDD"/>
    <w:pPr>
      <w:keepNext/>
      <w:keepLines/>
      <w:spacing w:before="200" w:after="40"/>
      <w:outlineLvl w:val="5"/>
    </w:pPr>
    <w:rPr>
      <w:b/>
      <w:sz w:val="20"/>
      <w:szCs w:val="20"/>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link w:val="a4"/>
    <w:uiPriority w:val="10"/>
    <w:qFormat/>
    <w:rsid w:val="00737448"/>
    <w:pPr>
      <w:widowControl w:val="0"/>
      <w:shd w:val="clear" w:color="auto" w:fill="E6E7E8"/>
      <w:autoSpaceDE w:val="0"/>
      <w:autoSpaceDN w:val="0"/>
      <w:adjustRightInd w:val="0"/>
      <w:snapToGrid w:val="0"/>
      <w:spacing w:before="360" w:after="120" w:line="240" w:lineRule="auto"/>
    </w:pPr>
    <w:rPr>
      <w:rFonts w:cs="Arial"/>
      <w:b/>
      <w:bCs/>
      <w:color w:val="002060"/>
      <w:sz w:val="28"/>
      <w:szCs w:val="28"/>
      <w:lang w:eastAsia="en-GB"/>
    </w:rPr>
  </w:style>
  <w:style w:type="character" w:customStyle="1" w:styleId="10">
    <w:name w:val="Заголовок 1 Знак"/>
    <w:basedOn w:val="a0"/>
    <w:link w:val="1"/>
    <w:rsid w:val="0028611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737448"/>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37052"/>
    <w:rPr>
      <w:rFonts w:asciiTheme="majorHAnsi" w:eastAsiaTheme="majorEastAsia" w:hAnsiTheme="majorHAnsi" w:cstheme="majorBidi"/>
      <w:b/>
      <w:bCs/>
      <w:color w:val="4F81BD" w:themeColor="accent1"/>
    </w:rPr>
  </w:style>
  <w:style w:type="paragraph" w:styleId="a5">
    <w:name w:val="List Paragraph"/>
    <w:aliases w:val="body 2,List Paragraph1,List Paragraph11,Dot pt,F5 List Paragraph,List Paragraph Char Char Char,Indicator Text,Colorful List - Accent 11,Numbered Para 1,Bullet 1,Bullet Points,MAIN CONTENT,List Paragraph12,List Paragraph2,123 List Paragraph"/>
    <w:basedOn w:val="a"/>
    <w:link w:val="a6"/>
    <w:uiPriority w:val="34"/>
    <w:qFormat/>
    <w:rsid w:val="0028611F"/>
    <w:pPr>
      <w:ind w:left="720"/>
      <w:contextualSpacing/>
    </w:pPr>
  </w:style>
  <w:style w:type="paragraph" w:styleId="a7">
    <w:name w:val="footer"/>
    <w:basedOn w:val="a"/>
    <w:link w:val="a8"/>
    <w:uiPriority w:val="99"/>
    <w:unhideWhenUsed/>
    <w:rsid w:val="0028611F"/>
    <w:pPr>
      <w:tabs>
        <w:tab w:val="center" w:pos="4677"/>
        <w:tab w:val="right" w:pos="9355"/>
      </w:tabs>
      <w:spacing w:after="0" w:line="240" w:lineRule="auto"/>
    </w:pPr>
  </w:style>
  <w:style w:type="character" w:customStyle="1" w:styleId="a8">
    <w:name w:val="Нижній колонтитул Знак"/>
    <w:basedOn w:val="a0"/>
    <w:link w:val="a7"/>
    <w:uiPriority w:val="99"/>
    <w:rsid w:val="0028611F"/>
  </w:style>
  <w:style w:type="paragraph" w:styleId="a9">
    <w:name w:val="Balloon Text"/>
    <w:basedOn w:val="a"/>
    <w:link w:val="aa"/>
    <w:uiPriority w:val="99"/>
    <w:semiHidden/>
    <w:unhideWhenUsed/>
    <w:rsid w:val="0028611F"/>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28611F"/>
    <w:rPr>
      <w:rFonts w:ascii="Tahoma" w:hAnsi="Tahoma" w:cs="Tahoma"/>
      <w:sz w:val="16"/>
      <w:szCs w:val="16"/>
    </w:rPr>
  </w:style>
  <w:style w:type="character" w:styleId="ab">
    <w:name w:val="Emphasis"/>
    <w:basedOn w:val="a0"/>
    <w:uiPriority w:val="20"/>
    <w:qFormat/>
    <w:rsid w:val="00D7314B"/>
    <w:rPr>
      <w:i/>
      <w:iCs/>
    </w:rPr>
  </w:style>
  <w:style w:type="character" w:styleId="ac">
    <w:name w:val="Strong"/>
    <w:basedOn w:val="a0"/>
    <w:uiPriority w:val="22"/>
    <w:qFormat/>
    <w:rsid w:val="0045473E"/>
    <w:rPr>
      <w:b/>
      <w:bCs/>
    </w:rPr>
  </w:style>
  <w:style w:type="character" w:styleId="ad">
    <w:name w:val="Hyperlink"/>
    <w:basedOn w:val="a0"/>
    <w:uiPriority w:val="99"/>
    <w:unhideWhenUsed/>
    <w:rsid w:val="00837052"/>
    <w:rPr>
      <w:color w:val="0000FF"/>
      <w:u w:val="single"/>
    </w:rPr>
  </w:style>
  <w:style w:type="character" w:customStyle="1" w:styleId="tlid-translation">
    <w:name w:val="tlid-translation"/>
    <w:basedOn w:val="a0"/>
    <w:rsid w:val="00A372F2"/>
  </w:style>
  <w:style w:type="paragraph" w:styleId="ae">
    <w:name w:val="footnote text"/>
    <w:aliases w:val="Reference,-E Fußnotentext,-E Fußnotentext1,-E Fußnotentext2,-E Fußnotentext3,Fußnotentext Ursprung,footnote text,Fußnotentextf,Fußnotentextr,stile 1,Footnote,Footnote1,Footnote2,Footnote3,Footnote4,Footnote5,Footnote6,Footnote7,o,Fußnote"/>
    <w:basedOn w:val="a"/>
    <w:link w:val="af"/>
    <w:uiPriority w:val="99"/>
    <w:unhideWhenUsed/>
    <w:qFormat/>
    <w:rsid w:val="00567F1B"/>
    <w:pPr>
      <w:spacing w:after="0" w:line="240" w:lineRule="auto"/>
    </w:pPr>
    <w:rPr>
      <w:sz w:val="20"/>
      <w:szCs w:val="20"/>
    </w:rPr>
  </w:style>
  <w:style w:type="character" w:customStyle="1" w:styleId="af">
    <w:name w:val="Текст виноски Знак"/>
    <w:aliases w:val="Reference Знак,-E Fußnotentext Знак,-E Fußnotentext1 Знак,-E Fußnotentext2 Знак,-E Fußnotentext3 Знак,Fußnotentext Ursprung Знак,footnote text Знак,Fußnotentextf Знак,Fußnotentextr Знак,stile 1 Знак,Footnote Знак,Footnote1 Знак,o Знак"/>
    <w:basedOn w:val="a0"/>
    <w:link w:val="ae"/>
    <w:uiPriority w:val="99"/>
    <w:rsid w:val="00567F1B"/>
    <w:rPr>
      <w:sz w:val="20"/>
      <w:szCs w:val="20"/>
      <w:lang w:val="uk-UA"/>
    </w:rPr>
  </w:style>
  <w:style w:type="character" w:styleId="af0">
    <w:name w:val="footnote reference"/>
    <w:aliases w:val="-E Fußnotenzeichen,Footnote symbol,Voetnootverwijzing,Fußnotenzeichen2,Times 10 Point, Exposant 3 Point,Exposant 3 Point,Odwołanie przypisu,Footnote Reference Number,Footnote Reference Superscript,SUPERS,Ref,de nota al pie,BVI fnr"/>
    <w:basedOn w:val="a0"/>
    <w:uiPriority w:val="99"/>
    <w:unhideWhenUsed/>
    <w:rsid w:val="00567F1B"/>
    <w:rPr>
      <w:vertAlign w:val="superscript"/>
    </w:rPr>
  </w:style>
  <w:style w:type="paragraph" w:customStyle="1" w:styleId="af1">
    <w:name w:val="Таблиця"/>
    <w:basedOn w:val="a"/>
    <w:next w:val="a"/>
    <w:qFormat/>
    <w:rsid w:val="00CC256F"/>
    <w:pPr>
      <w:spacing w:after="0" w:line="240" w:lineRule="auto"/>
      <w:contextualSpacing/>
      <w:jc w:val="center"/>
    </w:pPr>
    <w:rPr>
      <w:rFonts w:ascii="Times New Roman" w:hAnsi="Times New Roman" w:cs="Times New Roman"/>
      <w:i/>
      <w:color w:val="984806" w:themeColor="accent6" w:themeShade="80"/>
      <w:sz w:val="28"/>
    </w:rPr>
  </w:style>
  <w:style w:type="character" w:customStyle="1" w:styleId="jlqj4b">
    <w:name w:val="jlqj4b"/>
    <w:basedOn w:val="a0"/>
    <w:rsid w:val="005D4C85"/>
  </w:style>
  <w:style w:type="paragraph" w:styleId="af2">
    <w:name w:val="Body Text"/>
    <w:basedOn w:val="a"/>
    <w:link w:val="af3"/>
    <w:unhideWhenUsed/>
    <w:qFormat/>
    <w:rsid w:val="00711FB7"/>
    <w:pPr>
      <w:autoSpaceDE w:val="0"/>
      <w:autoSpaceDN w:val="0"/>
      <w:adjustRightInd w:val="0"/>
      <w:spacing w:after="120" w:line="240" w:lineRule="auto"/>
      <w:jc w:val="both"/>
    </w:pPr>
    <w:rPr>
      <w:noProof/>
      <w:color w:val="002060"/>
      <w:lang w:val="en-GB" w:eastAsia="en-GB"/>
    </w:rPr>
  </w:style>
  <w:style w:type="character" w:customStyle="1" w:styleId="af3">
    <w:name w:val="Основний текст Знак"/>
    <w:basedOn w:val="a0"/>
    <w:link w:val="af2"/>
    <w:rsid w:val="00711FB7"/>
    <w:rPr>
      <w:rFonts w:ascii="Calibri" w:eastAsia="Calibri" w:hAnsi="Calibri" w:cs="Calibri"/>
      <w:noProof/>
      <w:color w:val="002060"/>
      <w:lang w:val="en-GB" w:eastAsia="en-GB"/>
    </w:rPr>
  </w:style>
  <w:style w:type="paragraph" w:styleId="af4">
    <w:name w:val="caption"/>
    <w:aliases w:val="Caption Char Char Char,Caption Char Char Char Char Char Char,Caption1,Caption Char Char Char1 Char,Caption Char Char Char1 Char Char Char,Caption2,Caption Char1,Caption Char Char Char1,Table Title,Caption Char Char Char Char Char"/>
    <w:basedOn w:val="a"/>
    <w:next w:val="a"/>
    <w:link w:val="af5"/>
    <w:uiPriority w:val="35"/>
    <w:unhideWhenUsed/>
    <w:qFormat/>
    <w:rsid w:val="00711FB7"/>
    <w:pPr>
      <w:autoSpaceDE w:val="0"/>
      <w:autoSpaceDN w:val="0"/>
      <w:adjustRightInd w:val="0"/>
      <w:spacing w:after="120" w:line="240" w:lineRule="auto"/>
      <w:jc w:val="both"/>
    </w:pPr>
    <w:rPr>
      <w:b/>
      <w:bCs/>
      <w:color w:val="002060"/>
      <w:szCs w:val="18"/>
      <w:lang w:val="de-DE" w:eastAsia="en-GB"/>
    </w:rPr>
  </w:style>
  <w:style w:type="character" w:customStyle="1" w:styleId="af5">
    <w:name w:val="Назва об'єкта Знак"/>
    <w:aliases w:val="Caption Char Char Char Знак,Caption Char Char Char Char Char Char Знак,Caption1 Знак,Caption Char Char Char1 Char Знак,Caption Char Char Char1 Char Char Char Знак,Caption2 Знак,Caption Char1 Знак,Caption Char Char Char1 Знак"/>
    <w:link w:val="af4"/>
    <w:uiPriority w:val="35"/>
    <w:rsid w:val="00711FB7"/>
    <w:rPr>
      <w:rFonts w:ascii="Calibri" w:eastAsia="Calibri" w:hAnsi="Calibri" w:cs="Calibri"/>
      <w:b/>
      <w:bCs/>
      <w:color w:val="002060"/>
      <w:szCs w:val="18"/>
      <w:lang w:val="de-DE" w:eastAsia="en-GB"/>
    </w:rPr>
  </w:style>
  <w:style w:type="table" w:styleId="af6">
    <w:name w:val="Table Grid"/>
    <w:basedOn w:val="a1"/>
    <w:uiPriority w:val="39"/>
    <w:rsid w:val="00497E9A"/>
    <w:pPr>
      <w:spacing w:after="0" w:line="240" w:lineRule="auto"/>
    </w:pPr>
    <w:rPr>
      <w:rFonts w:cstheme="minorHAnsi"/>
      <w:color w:val="00206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semiHidden/>
    <w:unhideWhenUsed/>
    <w:rsid w:val="00737448"/>
    <w:pPr>
      <w:spacing w:after="120"/>
      <w:ind w:left="283"/>
    </w:pPr>
    <w:rPr>
      <w:sz w:val="16"/>
      <w:szCs w:val="16"/>
    </w:rPr>
  </w:style>
  <w:style w:type="character" w:customStyle="1" w:styleId="32">
    <w:name w:val="Основний текст з відступом 3 Знак"/>
    <w:basedOn w:val="a0"/>
    <w:link w:val="31"/>
    <w:semiHidden/>
    <w:rsid w:val="00737448"/>
    <w:rPr>
      <w:sz w:val="16"/>
      <w:szCs w:val="16"/>
    </w:rPr>
  </w:style>
  <w:style w:type="character" w:customStyle="1" w:styleId="a4">
    <w:name w:val="Назва Знак"/>
    <w:basedOn w:val="a0"/>
    <w:link w:val="a3"/>
    <w:uiPriority w:val="10"/>
    <w:rsid w:val="00737448"/>
    <w:rPr>
      <w:rFonts w:ascii="Calibri" w:eastAsia="Calibri" w:hAnsi="Calibri" w:cs="Arial"/>
      <w:b/>
      <w:bCs/>
      <w:color w:val="002060"/>
      <w:sz w:val="28"/>
      <w:szCs w:val="28"/>
      <w:shd w:val="clear" w:color="auto" w:fill="E6E7E8"/>
      <w:lang w:val="uk-UA" w:eastAsia="en-GB"/>
    </w:rPr>
  </w:style>
  <w:style w:type="paragraph" w:customStyle="1" w:styleId="Smalltitle">
    <w:name w:val="Small title"/>
    <w:basedOn w:val="a3"/>
    <w:link w:val="SmalltitleChar"/>
    <w:rsid w:val="00737448"/>
    <w:pPr>
      <w:shd w:val="clear" w:color="auto" w:fill="D1D3D4"/>
      <w:spacing w:before="120"/>
    </w:pPr>
    <w:rPr>
      <w:sz w:val="24"/>
      <w:lang w:val="en-US"/>
    </w:rPr>
  </w:style>
  <w:style w:type="character" w:customStyle="1" w:styleId="SmalltitleChar">
    <w:name w:val="Small title Char"/>
    <w:link w:val="Smalltitle"/>
    <w:rsid w:val="00737448"/>
    <w:rPr>
      <w:rFonts w:ascii="Calibri" w:eastAsia="Calibri" w:hAnsi="Calibri" w:cs="Arial"/>
      <w:b/>
      <w:bCs/>
      <w:color w:val="002060"/>
      <w:sz w:val="24"/>
      <w:szCs w:val="28"/>
      <w:shd w:val="clear" w:color="auto" w:fill="D1D3D4"/>
      <w:lang w:val="en-US" w:eastAsia="en-GB"/>
    </w:rPr>
  </w:style>
  <w:style w:type="character" w:styleId="af7">
    <w:name w:val="annotation reference"/>
    <w:uiPriority w:val="99"/>
    <w:rsid w:val="00737448"/>
    <w:rPr>
      <w:sz w:val="16"/>
      <w:szCs w:val="16"/>
    </w:rPr>
  </w:style>
  <w:style w:type="paragraph" w:styleId="af8">
    <w:name w:val="annotation text"/>
    <w:basedOn w:val="a"/>
    <w:link w:val="af9"/>
    <w:uiPriority w:val="99"/>
    <w:rsid w:val="00737448"/>
    <w:pPr>
      <w:widowControl w:val="0"/>
      <w:autoSpaceDE w:val="0"/>
      <w:autoSpaceDN w:val="0"/>
      <w:adjustRightInd w:val="0"/>
      <w:spacing w:before="240" w:after="240" w:line="360" w:lineRule="auto"/>
      <w:jc w:val="both"/>
      <w:textAlignment w:val="baseline"/>
    </w:pPr>
    <w:rPr>
      <w:rFonts w:ascii="Arial" w:eastAsia="Times New Roman" w:hAnsi="Arial" w:cs="Times New Roman"/>
      <w:szCs w:val="20"/>
      <w:lang w:val="es-ES" w:eastAsia="es-ES"/>
    </w:rPr>
  </w:style>
  <w:style w:type="character" w:customStyle="1" w:styleId="af9">
    <w:name w:val="Текст примітки Знак"/>
    <w:basedOn w:val="a0"/>
    <w:link w:val="af8"/>
    <w:uiPriority w:val="99"/>
    <w:rsid w:val="00737448"/>
    <w:rPr>
      <w:rFonts w:ascii="Arial" w:eastAsia="Times New Roman" w:hAnsi="Arial" w:cs="Times New Roman"/>
      <w:szCs w:val="20"/>
      <w:lang w:val="es-ES" w:eastAsia="es-ES"/>
    </w:rPr>
  </w:style>
  <w:style w:type="paragraph" w:customStyle="1" w:styleId="PuTpriopity">
    <w:name w:val="PuT priopity"/>
    <w:basedOn w:val="a3"/>
    <w:rsid w:val="00737448"/>
    <w:pPr>
      <w:shd w:val="clear" w:color="auto" w:fill="BBA4CF"/>
      <w:spacing w:before="120"/>
    </w:pPr>
    <w:rPr>
      <w:sz w:val="24"/>
      <w:lang w:val="en-US"/>
    </w:rPr>
  </w:style>
  <w:style w:type="paragraph" w:styleId="afa">
    <w:name w:val="annotation subject"/>
    <w:basedOn w:val="af8"/>
    <w:next w:val="af8"/>
    <w:link w:val="afb"/>
    <w:uiPriority w:val="99"/>
    <w:semiHidden/>
    <w:unhideWhenUsed/>
    <w:rsid w:val="00737448"/>
    <w:pPr>
      <w:widowControl/>
      <w:autoSpaceDE/>
      <w:autoSpaceDN/>
      <w:adjustRightInd/>
      <w:spacing w:before="0" w:after="160" w:line="240" w:lineRule="auto"/>
      <w:jc w:val="left"/>
      <w:textAlignment w:val="auto"/>
    </w:pPr>
    <w:rPr>
      <w:rFonts w:asciiTheme="minorHAnsi" w:eastAsiaTheme="minorHAnsi" w:hAnsiTheme="minorHAnsi" w:cstheme="minorHAnsi"/>
      <w:b/>
      <w:bCs/>
      <w:color w:val="002060"/>
      <w:sz w:val="20"/>
      <w:lang w:val="en-US" w:eastAsia="en-US"/>
    </w:rPr>
  </w:style>
  <w:style w:type="character" w:customStyle="1" w:styleId="afb">
    <w:name w:val="Тема примітки Знак"/>
    <w:basedOn w:val="af9"/>
    <w:link w:val="afa"/>
    <w:uiPriority w:val="99"/>
    <w:semiHidden/>
    <w:rsid w:val="00737448"/>
    <w:rPr>
      <w:rFonts w:ascii="Arial" w:eastAsia="Times New Roman" w:hAnsi="Arial" w:cstheme="minorHAnsi"/>
      <w:b/>
      <w:bCs/>
      <w:color w:val="002060"/>
      <w:sz w:val="20"/>
      <w:szCs w:val="20"/>
      <w:lang w:val="en-US" w:eastAsia="es-ES"/>
    </w:rPr>
  </w:style>
  <w:style w:type="paragraph" w:styleId="afc">
    <w:name w:val="Normal (Web)"/>
    <w:basedOn w:val="a"/>
    <w:uiPriority w:val="99"/>
    <w:unhideWhenUsed/>
    <w:rsid w:val="007374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center">
    <w:name w:val="text-center"/>
    <w:basedOn w:val="a"/>
    <w:rsid w:val="007374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73744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1111">
    <w:name w:val="11111"/>
    <w:rsid w:val="00737448"/>
    <w:rPr>
      <w:rFonts w:ascii="Times New Roman" w:hAnsi="Times New Roman"/>
      <w:b/>
      <w:kern w:val="0"/>
      <w:sz w:val="28"/>
      <w:szCs w:val="28"/>
    </w:rPr>
  </w:style>
  <w:style w:type="paragraph" w:styleId="afd">
    <w:name w:val="header"/>
    <w:basedOn w:val="a"/>
    <w:link w:val="afe"/>
    <w:uiPriority w:val="99"/>
    <w:unhideWhenUsed/>
    <w:rsid w:val="00737448"/>
    <w:pPr>
      <w:tabs>
        <w:tab w:val="center" w:pos="4986"/>
        <w:tab w:val="right" w:pos="9973"/>
      </w:tabs>
      <w:spacing w:after="0" w:line="240" w:lineRule="auto"/>
    </w:pPr>
  </w:style>
  <w:style w:type="character" w:customStyle="1" w:styleId="afe">
    <w:name w:val="Верхній колонтитул Знак"/>
    <w:basedOn w:val="a0"/>
    <w:link w:val="afd"/>
    <w:uiPriority w:val="99"/>
    <w:rsid w:val="00737448"/>
  </w:style>
  <w:style w:type="paragraph" w:customStyle="1" w:styleId="Normal11ptjustified">
    <w:name w:val="Normal 11pt justified"/>
    <w:basedOn w:val="a"/>
    <w:uiPriority w:val="99"/>
    <w:rsid w:val="00236BCE"/>
    <w:pPr>
      <w:tabs>
        <w:tab w:val="left" w:pos="504"/>
      </w:tabs>
      <w:spacing w:after="0" w:line="240" w:lineRule="auto"/>
      <w:jc w:val="both"/>
    </w:pPr>
    <w:rPr>
      <w:rFonts w:ascii="Times New Roman" w:eastAsia="Times New Roman" w:hAnsi="Times New Roman" w:cs="Times New Roman"/>
      <w:lang w:val="en-GB"/>
    </w:rPr>
  </w:style>
  <w:style w:type="paragraph" w:customStyle="1" w:styleId="11">
    <w:name w:val="Абзац списка1"/>
    <w:basedOn w:val="a"/>
    <w:uiPriority w:val="99"/>
    <w:rsid w:val="00E03AE3"/>
    <w:pPr>
      <w:ind w:left="720"/>
    </w:pPr>
    <w:rPr>
      <w:rFonts w:eastAsia="Times New Roman" w:cs="Times New Roman"/>
    </w:rPr>
  </w:style>
  <w:style w:type="character" w:customStyle="1" w:styleId="st">
    <w:name w:val="st"/>
    <w:basedOn w:val="a0"/>
    <w:rsid w:val="00E03AE3"/>
  </w:style>
  <w:style w:type="character" w:customStyle="1" w:styleId="xfm97486888">
    <w:name w:val="xfm_97486888"/>
    <w:basedOn w:val="a0"/>
    <w:rsid w:val="00E03AE3"/>
  </w:style>
  <w:style w:type="paragraph" w:customStyle="1" w:styleId="aff">
    <w:name w:val="Заголовок Чорний"/>
    <w:basedOn w:val="1"/>
    <w:link w:val="aff0"/>
    <w:qFormat/>
    <w:rsid w:val="00BE787C"/>
    <w:rPr>
      <w:rFonts w:ascii="Times New Roman" w:hAnsi="Times New Roman" w:cs="Times New Roman"/>
      <w:color w:val="auto"/>
    </w:rPr>
  </w:style>
  <w:style w:type="character" w:customStyle="1" w:styleId="aff0">
    <w:name w:val="Заголовок Чорний Знак"/>
    <w:basedOn w:val="10"/>
    <w:link w:val="aff"/>
    <w:rsid w:val="00BE787C"/>
    <w:rPr>
      <w:rFonts w:ascii="Times New Roman" w:eastAsiaTheme="majorEastAsia" w:hAnsi="Times New Roman" w:cs="Times New Roman"/>
      <w:b/>
      <w:bCs/>
      <w:color w:val="365F91" w:themeColor="accent1" w:themeShade="BF"/>
      <w:sz w:val="28"/>
      <w:szCs w:val="28"/>
      <w:lang w:val="uk-UA"/>
    </w:rPr>
  </w:style>
  <w:style w:type="character" w:styleId="aff1">
    <w:name w:val="Book Title"/>
    <w:basedOn w:val="a0"/>
    <w:uiPriority w:val="33"/>
    <w:qFormat/>
    <w:rsid w:val="00BE787C"/>
    <w:rPr>
      <w:b/>
      <w:bCs/>
      <w:smallCaps/>
      <w:spacing w:val="5"/>
    </w:rPr>
  </w:style>
  <w:style w:type="paragraph" w:styleId="aff2">
    <w:name w:val="TOC Heading"/>
    <w:basedOn w:val="1"/>
    <w:next w:val="a"/>
    <w:uiPriority w:val="39"/>
    <w:semiHidden/>
    <w:unhideWhenUsed/>
    <w:qFormat/>
    <w:rsid w:val="00BE787C"/>
    <w:pPr>
      <w:outlineLvl w:val="9"/>
    </w:pPr>
  </w:style>
  <w:style w:type="paragraph" w:styleId="12">
    <w:name w:val="toc 1"/>
    <w:basedOn w:val="a"/>
    <w:next w:val="a"/>
    <w:autoRedefine/>
    <w:uiPriority w:val="39"/>
    <w:unhideWhenUsed/>
    <w:qFormat/>
    <w:rsid w:val="00BE787C"/>
    <w:pPr>
      <w:spacing w:after="100"/>
    </w:pPr>
  </w:style>
  <w:style w:type="paragraph" w:styleId="21">
    <w:name w:val="toc 2"/>
    <w:basedOn w:val="a"/>
    <w:next w:val="a"/>
    <w:autoRedefine/>
    <w:uiPriority w:val="39"/>
    <w:unhideWhenUsed/>
    <w:qFormat/>
    <w:rsid w:val="00BE787C"/>
    <w:pPr>
      <w:spacing w:after="100"/>
      <w:ind w:left="220"/>
    </w:pPr>
  </w:style>
  <w:style w:type="paragraph" w:styleId="33">
    <w:name w:val="toc 3"/>
    <w:basedOn w:val="a"/>
    <w:next w:val="a"/>
    <w:autoRedefine/>
    <w:uiPriority w:val="39"/>
    <w:semiHidden/>
    <w:unhideWhenUsed/>
    <w:qFormat/>
    <w:rsid w:val="00BE787C"/>
    <w:pPr>
      <w:spacing w:after="100"/>
      <w:ind w:left="440"/>
    </w:pPr>
    <w:rPr>
      <w:rFonts w:eastAsiaTheme="minorEastAsia"/>
    </w:rPr>
  </w:style>
  <w:style w:type="paragraph" w:customStyle="1" w:styleId="22">
    <w:name w:val="Заголовок 2 Чорний"/>
    <w:basedOn w:val="2"/>
    <w:link w:val="23"/>
    <w:qFormat/>
    <w:rsid w:val="0047291B"/>
    <w:rPr>
      <w:color w:val="auto"/>
      <w:sz w:val="24"/>
    </w:rPr>
  </w:style>
  <w:style w:type="character" w:customStyle="1" w:styleId="23">
    <w:name w:val="Заголовок 2 Чорний Знак"/>
    <w:basedOn w:val="20"/>
    <w:link w:val="22"/>
    <w:rsid w:val="0047291B"/>
    <w:rPr>
      <w:rFonts w:asciiTheme="majorHAnsi" w:eastAsiaTheme="majorEastAsia" w:hAnsiTheme="majorHAnsi" w:cstheme="majorBidi"/>
      <w:b/>
      <w:bCs/>
      <w:color w:val="4F81BD" w:themeColor="accent1"/>
      <w:sz w:val="24"/>
      <w:szCs w:val="26"/>
      <w:lang w:val="uk-UA"/>
    </w:rPr>
  </w:style>
  <w:style w:type="paragraph" w:customStyle="1" w:styleId="tj">
    <w:name w:val="tj"/>
    <w:basedOn w:val="a"/>
    <w:rsid w:val="002E5C1E"/>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Pa28">
    <w:name w:val="Pa28"/>
    <w:basedOn w:val="Default"/>
    <w:next w:val="Default"/>
    <w:uiPriority w:val="99"/>
    <w:rsid w:val="00284778"/>
    <w:pPr>
      <w:spacing w:line="221" w:lineRule="atLeast"/>
    </w:pPr>
    <w:rPr>
      <w:rFonts w:ascii="Roboto Medium" w:hAnsi="Roboto Medium" w:cstheme="minorBidi"/>
      <w:color w:val="auto"/>
      <w:lang w:val="en-US"/>
    </w:rPr>
  </w:style>
  <w:style w:type="character" w:customStyle="1" w:styleId="A90">
    <w:name w:val="A9"/>
    <w:uiPriority w:val="99"/>
    <w:rsid w:val="00284778"/>
    <w:rPr>
      <w:rFonts w:cs="Roboto Light"/>
      <w:color w:val="211D1E"/>
      <w:sz w:val="22"/>
      <w:szCs w:val="22"/>
    </w:rPr>
  </w:style>
  <w:style w:type="paragraph" w:customStyle="1" w:styleId="aff3">
    <w:name w:val="Содержимое списка"/>
    <w:basedOn w:val="a"/>
    <w:qFormat/>
    <w:rsid w:val="00671FE1"/>
    <w:pPr>
      <w:suppressAutoHyphens/>
      <w:overflowPunct w:val="0"/>
      <w:spacing w:after="0" w:line="240" w:lineRule="auto"/>
      <w:ind w:left="567"/>
    </w:pPr>
    <w:rPr>
      <w:rFonts w:ascii="Liberation Serif" w:eastAsia="NSimSun" w:hAnsi="Liberation Serif" w:cs="Arial"/>
      <w:kern w:val="2"/>
      <w:sz w:val="24"/>
      <w:szCs w:val="24"/>
      <w:lang w:val="en-US" w:eastAsia="zh-CN" w:bidi="hi-IN"/>
    </w:rPr>
  </w:style>
  <w:style w:type="paragraph" w:customStyle="1" w:styleId="rvps2">
    <w:name w:val="rvps2"/>
    <w:basedOn w:val="a"/>
    <w:uiPriority w:val="99"/>
    <w:rsid w:val="00671FE1"/>
    <w:pPr>
      <w:spacing w:beforeAutospacing="1" w:after="0" w:afterAutospacing="1" w:line="240" w:lineRule="auto"/>
    </w:pPr>
    <w:rPr>
      <w:rFonts w:ascii="Times New Roman" w:eastAsia="Times New Roman" w:hAnsi="Times New Roman" w:cs="Times New Roman"/>
      <w:sz w:val="24"/>
      <w:szCs w:val="24"/>
      <w:lang w:eastAsia="uk-UA"/>
    </w:rPr>
  </w:style>
  <w:style w:type="paragraph" w:styleId="aff4">
    <w:name w:val="No Spacing"/>
    <w:uiPriority w:val="1"/>
    <w:qFormat/>
    <w:rsid w:val="00EC034A"/>
    <w:pPr>
      <w:suppressAutoHyphens/>
      <w:spacing w:after="0" w:line="240" w:lineRule="auto"/>
    </w:pPr>
    <w:rPr>
      <w:rFonts w:ascii="Times New Roman" w:eastAsia="Times New Roman" w:hAnsi="Times New Roman" w:cs="Times New Roman"/>
      <w:sz w:val="24"/>
      <w:szCs w:val="24"/>
      <w:lang w:eastAsia="zh-CN"/>
    </w:rPr>
  </w:style>
  <w:style w:type="character" w:customStyle="1" w:styleId="a6">
    <w:name w:val="Абзац списку Знак"/>
    <w:aliases w:val="body 2 Знак,List Paragraph1 Знак,List Paragraph11 Знак,Dot pt Знак,F5 List Paragraph Знак,List Paragraph Char Char Char Знак,Indicator Text Знак,Colorful List - Accent 11 Знак,Numbered Para 1 Знак,Bullet 1 Знак,Bullet Points Знак"/>
    <w:link w:val="a5"/>
    <w:uiPriority w:val="34"/>
    <w:qFormat/>
    <w:rsid w:val="00771AE1"/>
  </w:style>
  <w:style w:type="character" w:customStyle="1" w:styleId="40">
    <w:name w:val="Заголовок 4 Знак"/>
    <w:basedOn w:val="a0"/>
    <w:link w:val="4"/>
    <w:uiPriority w:val="9"/>
    <w:semiHidden/>
    <w:rsid w:val="00080EDD"/>
    <w:rPr>
      <w:rFonts w:ascii="Calibri" w:eastAsia="Calibri" w:hAnsi="Calibri" w:cs="Calibri"/>
      <w:b/>
      <w:sz w:val="24"/>
      <w:szCs w:val="24"/>
      <w:lang w:val="uk-UA" w:eastAsia="uk-UA"/>
    </w:rPr>
  </w:style>
  <w:style w:type="character" w:customStyle="1" w:styleId="50">
    <w:name w:val="Заголовок 5 Знак"/>
    <w:basedOn w:val="a0"/>
    <w:link w:val="5"/>
    <w:uiPriority w:val="9"/>
    <w:semiHidden/>
    <w:rsid w:val="00080EDD"/>
    <w:rPr>
      <w:rFonts w:ascii="Calibri" w:eastAsia="Calibri" w:hAnsi="Calibri" w:cs="Calibri"/>
      <w:b/>
      <w:lang w:val="uk-UA" w:eastAsia="uk-UA"/>
    </w:rPr>
  </w:style>
  <w:style w:type="character" w:customStyle="1" w:styleId="60">
    <w:name w:val="Заголовок 6 Знак"/>
    <w:basedOn w:val="a0"/>
    <w:link w:val="6"/>
    <w:uiPriority w:val="9"/>
    <w:semiHidden/>
    <w:rsid w:val="00080EDD"/>
    <w:rPr>
      <w:rFonts w:ascii="Calibri" w:eastAsia="Calibri" w:hAnsi="Calibri" w:cs="Calibri"/>
      <w:b/>
      <w:sz w:val="20"/>
      <w:szCs w:val="20"/>
      <w:lang w:val="uk-UA" w:eastAsia="uk-UA"/>
    </w:rPr>
  </w:style>
  <w:style w:type="table" w:customStyle="1" w:styleId="NormalTable0">
    <w:name w:val="Normal Table0"/>
    <w:rsid w:val="00080EDD"/>
    <w:rPr>
      <w:lang w:eastAsia="uk-UA"/>
    </w:rPr>
    <w:tblPr>
      <w:tblCellMar>
        <w:top w:w="0" w:type="dxa"/>
        <w:left w:w="0" w:type="dxa"/>
        <w:bottom w:w="0" w:type="dxa"/>
        <w:right w:w="0" w:type="dxa"/>
      </w:tblCellMar>
    </w:tblPr>
  </w:style>
  <w:style w:type="paragraph" w:styleId="aff5">
    <w:name w:val="Revision"/>
    <w:hidden/>
    <w:uiPriority w:val="99"/>
    <w:semiHidden/>
    <w:rsid w:val="00080EDD"/>
    <w:pPr>
      <w:spacing w:after="0" w:line="240" w:lineRule="auto"/>
    </w:pPr>
    <w:rPr>
      <w:lang w:eastAsia="uk-UA"/>
    </w:rPr>
  </w:style>
  <w:style w:type="character" w:styleId="aff6">
    <w:name w:val="FollowedHyperlink"/>
    <w:basedOn w:val="a0"/>
    <w:uiPriority w:val="99"/>
    <w:semiHidden/>
    <w:unhideWhenUsed/>
    <w:rsid w:val="00080EDD"/>
    <w:rPr>
      <w:color w:val="800080" w:themeColor="followedHyperlink"/>
      <w:u w:val="single"/>
    </w:rPr>
  </w:style>
  <w:style w:type="paragraph" w:styleId="aff7">
    <w:name w:val="Subtitle"/>
    <w:basedOn w:val="a"/>
    <w:next w:val="a"/>
    <w:link w:val="aff8"/>
    <w:pPr>
      <w:keepNext/>
      <w:keepLines/>
      <w:spacing w:before="360" w:after="80"/>
    </w:pPr>
    <w:rPr>
      <w:rFonts w:ascii="Georgia" w:eastAsia="Georgia" w:hAnsi="Georgia" w:cs="Georgia"/>
      <w:i/>
      <w:color w:val="666666"/>
      <w:sz w:val="48"/>
      <w:szCs w:val="48"/>
    </w:rPr>
  </w:style>
  <w:style w:type="character" w:customStyle="1" w:styleId="aff8">
    <w:name w:val="Підзаголовок Знак"/>
    <w:basedOn w:val="a0"/>
    <w:link w:val="aff7"/>
    <w:uiPriority w:val="11"/>
    <w:rsid w:val="00080EDD"/>
    <w:rPr>
      <w:rFonts w:ascii="Georgia" w:eastAsia="Georgia" w:hAnsi="Georgia" w:cs="Georgia"/>
      <w:i/>
      <w:color w:val="666666"/>
      <w:sz w:val="48"/>
      <w:szCs w:val="48"/>
      <w:lang w:val="uk-UA" w:eastAsia="uk-UA"/>
    </w:rPr>
  </w:style>
  <w:style w:type="table" w:styleId="41">
    <w:name w:val="Plain Table 4"/>
    <w:basedOn w:val="a1"/>
    <w:uiPriority w:val="44"/>
    <w:rsid w:val="00080EDD"/>
    <w:pPr>
      <w:spacing w:after="0" w:line="240" w:lineRule="auto"/>
    </w:pPr>
    <w:rPr>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a0"/>
    <w:rsid w:val="00080EDD"/>
  </w:style>
  <w:style w:type="character" w:customStyle="1" w:styleId="eop">
    <w:name w:val="eop"/>
    <w:basedOn w:val="a0"/>
    <w:rsid w:val="00080EDD"/>
  </w:style>
  <w:style w:type="table" w:styleId="aff9">
    <w:name w:val="Grid Table Light"/>
    <w:basedOn w:val="a1"/>
    <w:uiPriority w:val="40"/>
    <w:rsid w:val="00080EDD"/>
    <w:pPr>
      <w:spacing w:after="0" w:line="240" w:lineRule="auto"/>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a"/>
    <w:rsid w:val="00080EDD"/>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13">
    <w:name w:val="Незакрита згадка1"/>
    <w:basedOn w:val="a0"/>
    <w:uiPriority w:val="99"/>
    <w:semiHidden/>
    <w:unhideWhenUsed/>
    <w:rsid w:val="00080EDD"/>
    <w:rPr>
      <w:color w:val="605E5C"/>
      <w:shd w:val="clear" w:color="auto" w:fill="E1DFDD"/>
    </w:rPr>
  </w:style>
  <w:style w:type="paragraph" w:customStyle="1" w:styleId="western">
    <w:name w:val="western"/>
    <w:basedOn w:val="a"/>
    <w:rsid w:val="00863D54"/>
    <w:pPr>
      <w:spacing w:before="100" w:beforeAutospacing="1" w:after="100" w:afterAutospacing="1" w:line="240" w:lineRule="auto"/>
    </w:pPr>
    <w:rPr>
      <w:rFonts w:ascii="Times New Roman" w:eastAsia="Times New Roman" w:hAnsi="Times New Roman" w:cs="Times New Roman"/>
      <w:sz w:val="24"/>
      <w:szCs w:val="24"/>
      <w:lang w:val="ru-RU"/>
    </w:rPr>
  </w:style>
  <w:style w:type="table" w:customStyle="1" w:styleId="affa">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b">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c">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d">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e">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28" w:type="dxa"/>
        <w:right w:w="28"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51" w:type="dxa"/>
        <w:right w:w="51"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2">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3">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Pr>
  </w:style>
  <w:style w:type="table" w:customStyle="1" w:styleId="affffff6">
    <w:basedOn w:val="TableNormal"/>
    <w:tblPr>
      <w:tblStyleRowBandSize w:val="1"/>
      <w:tblStyleColBandSize w:val="1"/>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left w:w="115" w:type="dxa"/>
        <w:right w:w="115"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left w:w="115" w:type="dxa"/>
        <w:right w:w="115"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left w:w="115" w:type="dxa"/>
        <w:right w:w="115"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left w:w="115" w:type="dxa"/>
        <w:right w:w="115" w:type="dxa"/>
      </w:tblCellMar>
    </w:tblPr>
  </w:style>
  <w:style w:type="table" w:customStyle="1" w:styleId="affffffff0">
    <w:basedOn w:val="TableNormal"/>
    <w:tblPr>
      <w:tblStyleRowBandSize w:val="1"/>
      <w:tblStyleColBandSize w:val="1"/>
      <w:tblCellMar>
        <w:left w:w="115" w:type="dxa"/>
        <w:right w:w="115" w:type="dxa"/>
      </w:tblCellMar>
    </w:tblPr>
  </w:style>
  <w:style w:type="table" w:customStyle="1" w:styleId="affffffff1">
    <w:basedOn w:val="TableNormal"/>
    <w:tblPr>
      <w:tblStyleRowBandSize w:val="1"/>
      <w:tblStyleColBandSize w:val="1"/>
      <w:tblCellMar>
        <w:left w:w="115" w:type="dxa"/>
        <w:right w:w="115" w:type="dxa"/>
      </w:tblCellMar>
    </w:tblPr>
  </w:style>
  <w:style w:type="table" w:customStyle="1" w:styleId="affffffff2">
    <w:basedOn w:val="TableNormal"/>
    <w:tblPr>
      <w:tblStyleRowBandSize w:val="1"/>
      <w:tblStyleColBandSize w:val="1"/>
      <w:tblCellMar>
        <w:left w:w="115" w:type="dxa"/>
        <w:right w:w="115" w:type="dxa"/>
      </w:tblCellMar>
    </w:tblPr>
  </w:style>
  <w:style w:type="table" w:customStyle="1" w:styleId="affffffff3">
    <w:basedOn w:val="TableNormal"/>
    <w:tblPr>
      <w:tblStyleRowBandSize w:val="1"/>
      <w:tblStyleColBandSize w:val="1"/>
      <w:tblCellMar>
        <w:left w:w="115" w:type="dxa"/>
        <w:right w:w="115" w:type="dxa"/>
      </w:tblCellMar>
    </w:tblPr>
  </w:style>
  <w:style w:type="table" w:customStyle="1" w:styleId="affffffff4">
    <w:basedOn w:val="TableNormal"/>
    <w:tblPr>
      <w:tblStyleRowBandSize w:val="1"/>
      <w:tblStyleColBandSize w:val="1"/>
      <w:tblCellMar>
        <w:left w:w="115" w:type="dxa"/>
        <w:right w:w="115" w:type="dxa"/>
      </w:tblCellMar>
    </w:tblPr>
  </w:style>
  <w:style w:type="table" w:customStyle="1" w:styleId="affffffff5">
    <w:basedOn w:val="TableNormal"/>
    <w:tblPr>
      <w:tblStyleRowBandSize w:val="1"/>
      <w:tblStyleColBandSize w:val="1"/>
      <w:tblCellMar>
        <w:left w:w="115" w:type="dxa"/>
        <w:right w:w="115" w:type="dxa"/>
      </w:tblCellMar>
    </w:tblPr>
  </w:style>
  <w:style w:type="table" w:customStyle="1" w:styleId="affffffff6">
    <w:basedOn w:val="TableNormal"/>
    <w:tblPr>
      <w:tblStyleRowBandSize w:val="1"/>
      <w:tblStyleColBandSize w:val="1"/>
      <w:tblCellMar>
        <w:left w:w="115" w:type="dxa"/>
        <w:right w:w="115" w:type="dxa"/>
      </w:tblCellMar>
    </w:tblPr>
  </w:style>
  <w:style w:type="table" w:customStyle="1" w:styleId="affffffff7">
    <w:basedOn w:val="TableNormal"/>
    <w:tblPr>
      <w:tblStyleRowBandSize w:val="1"/>
      <w:tblStyleColBandSize w:val="1"/>
      <w:tblCellMar>
        <w:left w:w="115" w:type="dxa"/>
        <w:right w:w="115" w:type="dxa"/>
      </w:tblCellMar>
    </w:tblPr>
  </w:style>
  <w:style w:type="table" w:customStyle="1" w:styleId="affffffff8">
    <w:basedOn w:val="TableNormal"/>
    <w:tblPr>
      <w:tblStyleRowBandSize w:val="1"/>
      <w:tblStyleColBandSize w:val="1"/>
      <w:tblCellMar>
        <w:left w:w="115" w:type="dxa"/>
        <w:right w:w="115" w:type="dxa"/>
      </w:tblCellMar>
    </w:tblPr>
  </w:style>
  <w:style w:type="table" w:customStyle="1" w:styleId="affffffff9">
    <w:basedOn w:val="TableNormal"/>
    <w:tblPr>
      <w:tblStyleRowBandSize w:val="1"/>
      <w:tblStyleColBandSize w:val="1"/>
      <w:tblCellMar>
        <w:left w:w="115" w:type="dxa"/>
        <w:right w:w="115" w:type="dxa"/>
      </w:tblCellMar>
    </w:tblPr>
  </w:style>
  <w:style w:type="table" w:customStyle="1" w:styleId="affffffffa">
    <w:basedOn w:val="TableNormal"/>
    <w:tblPr>
      <w:tblStyleRowBandSize w:val="1"/>
      <w:tblStyleColBandSize w:val="1"/>
      <w:tblCellMar>
        <w:left w:w="115" w:type="dxa"/>
        <w:right w:w="115" w:type="dxa"/>
      </w:tblCellMar>
    </w:tblPr>
  </w:style>
  <w:style w:type="table" w:customStyle="1" w:styleId="affffffffb">
    <w:basedOn w:val="TableNormal"/>
    <w:tblPr>
      <w:tblStyleRowBandSize w:val="1"/>
      <w:tblStyleColBandSize w:val="1"/>
      <w:tblCellMar>
        <w:left w:w="115" w:type="dxa"/>
        <w:right w:w="115" w:type="dxa"/>
      </w:tblCellMar>
    </w:tblPr>
  </w:style>
  <w:style w:type="table" w:customStyle="1" w:styleId="affffffffc">
    <w:basedOn w:val="TableNormal"/>
    <w:tblPr>
      <w:tblStyleRowBandSize w:val="1"/>
      <w:tblStyleColBandSize w:val="1"/>
      <w:tblCellMar>
        <w:left w:w="115" w:type="dxa"/>
        <w:right w:w="115" w:type="dxa"/>
      </w:tblCellMar>
    </w:tblPr>
  </w:style>
  <w:style w:type="table" w:customStyle="1" w:styleId="affffffffd">
    <w:basedOn w:val="TableNormal"/>
    <w:tblPr>
      <w:tblStyleRowBandSize w:val="1"/>
      <w:tblStyleColBandSize w:val="1"/>
      <w:tblCellMar>
        <w:left w:w="115" w:type="dxa"/>
        <w:right w:w="115" w:type="dxa"/>
      </w:tblCellMar>
    </w:tblPr>
  </w:style>
  <w:style w:type="table" w:customStyle="1" w:styleId="affffffffe">
    <w:basedOn w:val="TableNormal"/>
    <w:tblPr>
      <w:tblStyleRowBandSize w:val="1"/>
      <w:tblStyleColBandSize w:val="1"/>
      <w:tblCellMar>
        <w:left w:w="115" w:type="dxa"/>
        <w:right w:w="115" w:type="dxa"/>
      </w:tblCellMar>
    </w:tblPr>
  </w:style>
  <w:style w:type="table" w:customStyle="1" w:styleId="afffffffff">
    <w:basedOn w:val="TableNormal"/>
    <w:tblPr>
      <w:tblStyleRowBandSize w:val="1"/>
      <w:tblStyleColBandSize w:val="1"/>
      <w:tblCellMar>
        <w:left w:w="115" w:type="dxa"/>
        <w:right w:w="115" w:type="dxa"/>
      </w:tblCellMar>
    </w:tblPr>
  </w:style>
  <w:style w:type="table" w:customStyle="1" w:styleId="afffffffff0">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1">
    <w:basedOn w:val="TableNormal"/>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2">
    <w:basedOn w:val="TableNormal"/>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4">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5">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6">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7">
    <w:basedOn w:val="TableNormal"/>
    <w:tblPr>
      <w:tblStyleRowBandSize w:val="1"/>
      <w:tblStyleColBandSize w:val="1"/>
    </w:tblPr>
  </w:style>
  <w:style w:type="table" w:customStyle="1" w:styleId="afffffffff8">
    <w:basedOn w:val="TableNormal"/>
    <w:tblPr>
      <w:tblStyleRowBandSize w:val="1"/>
      <w:tblStyleColBandSize w:val="1"/>
    </w:tblPr>
  </w:style>
  <w:style w:type="table" w:customStyle="1" w:styleId="afffffffff9">
    <w:basedOn w:val="TableNormal"/>
    <w:pPr>
      <w:spacing w:after="0" w:line="240" w:lineRule="auto"/>
    </w:pPr>
    <w:tblPr>
      <w:tblStyleRowBandSize w:val="1"/>
      <w:tblStyleColBandSize w:val="1"/>
      <w:tblCellMar>
        <w:left w:w="108" w:type="dxa"/>
        <w:right w:w="108" w:type="dxa"/>
      </w:tblCellMar>
    </w:tblPr>
  </w:style>
  <w:style w:type="table" w:customStyle="1" w:styleId="afffffffffa">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b">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c">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d">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e">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f">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f0">
    <w:basedOn w:val="TableNormal"/>
    <w:pPr>
      <w:spacing w:after="0" w:line="240" w:lineRule="auto"/>
    </w:pPr>
    <w:rPr>
      <w:color w:val="002060"/>
    </w:rPr>
    <w:tblPr>
      <w:tblStyleRowBandSize w:val="1"/>
      <w:tblStyleColBandSize w:val="1"/>
      <w:tblCellMar>
        <w:left w:w="108" w:type="dxa"/>
        <w:right w:w="108" w:type="dxa"/>
      </w:tblCellMar>
    </w:tblPr>
  </w:style>
  <w:style w:type="table" w:customStyle="1" w:styleId="affffffffff1">
    <w:basedOn w:val="TableNormal"/>
    <w:tblPr>
      <w:tblStyleRowBandSize w:val="1"/>
      <w:tblStyleColBandSize w:val="1"/>
      <w:tblCellMar>
        <w:left w:w="115" w:type="dxa"/>
        <w:right w:w="115" w:type="dxa"/>
      </w:tblCellMar>
    </w:tblPr>
  </w:style>
  <w:style w:type="table" w:customStyle="1" w:styleId="affffffffff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054271">
      <w:bodyDiv w:val="1"/>
      <w:marLeft w:val="0"/>
      <w:marRight w:val="0"/>
      <w:marTop w:val="0"/>
      <w:marBottom w:val="0"/>
      <w:divBdr>
        <w:top w:val="none" w:sz="0" w:space="0" w:color="auto"/>
        <w:left w:val="none" w:sz="0" w:space="0" w:color="auto"/>
        <w:bottom w:val="none" w:sz="0" w:space="0" w:color="auto"/>
        <w:right w:val="none" w:sz="0" w:space="0" w:color="auto"/>
      </w:divBdr>
    </w:div>
    <w:div w:id="260114755">
      <w:bodyDiv w:val="1"/>
      <w:marLeft w:val="0"/>
      <w:marRight w:val="0"/>
      <w:marTop w:val="0"/>
      <w:marBottom w:val="0"/>
      <w:divBdr>
        <w:top w:val="none" w:sz="0" w:space="0" w:color="auto"/>
        <w:left w:val="none" w:sz="0" w:space="0" w:color="auto"/>
        <w:bottom w:val="none" w:sz="0" w:space="0" w:color="auto"/>
        <w:right w:val="none" w:sz="0" w:space="0" w:color="auto"/>
      </w:divBdr>
    </w:div>
    <w:div w:id="336159811">
      <w:bodyDiv w:val="1"/>
      <w:marLeft w:val="0"/>
      <w:marRight w:val="0"/>
      <w:marTop w:val="0"/>
      <w:marBottom w:val="0"/>
      <w:divBdr>
        <w:top w:val="none" w:sz="0" w:space="0" w:color="auto"/>
        <w:left w:val="none" w:sz="0" w:space="0" w:color="auto"/>
        <w:bottom w:val="none" w:sz="0" w:space="0" w:color="auto"/>
        <w:right w:val="none" w:sz="0" w:space="0" w:color="auto"/>
      </w:divBdr>
    </w:div>
    <w:div w:id="474108238">
      <w:bodyDiv w:val="1"/>
      <w:marLeft w:val="0"/>
      <w:marRight w:val="0"/>
      <w:marTop w:val="0"/>
      <w:marBottom w:val="0"/>
      <w:divBdr>
        <w:top w:val="none" w:sz="0" w:space="0" w:color="auto"/>
        <w:left w:val="none" w:sz="0" w:space="0" w:color="auto"/>
        <w:bottom w:val="none" w:sz="0" w:space="0" w:color="auto"/>
        <w:right w:val="none" w:sz="0" w:space="0" w:color="auto"/>
      </w:divBdr>
    </w:div>
    <w:div w:id="562909413">
      <w:bodyDiv w:val="1"/>
      <w:marLeft w:val="0"/>
      <w:marRight w:val="0"/>
      <w:marTop w:val="0"/>
      <w:marBottom w:val="0"/>
      <w:divBdr>
        <w:top w:val="none" w:sz="0" w:space="0" w:color="auto"/>
        <w:left w:val="none" w:sz="0" w:space="0" w:color="auto"/>
        <w:bottom w:val="none" w:sz="0" w:space="0" w:color="auto"/>
        <w:right w:val="none" w:sz="0" w:space="0" w:color="auto"/>
      </w:divBdr>
    </w:div>
    <w:div w:id="675573271">
      <w:bodyDiv w:val="1"/>
      <w:marLeft w:val="0"/>
      <w:marRight w:val="0"/>
      <w:marTop w:val="0"/>
      <w:marBottom w:val="0"/>
      <w:divBdr>
        <w:top w:val="none" w:sz="0" w:space="0" w:color="auto"/>
        <w:left w:val="none" w:sz="0" w:space="0" w:color="auto"/>
        <w:bottom w:val="none" w:sz="0" w:space="0" w:color="auto"/>
        <w:right w:val="none" w:sz="0" w:space="0" w:color="auto"/>
      </w:divBdr>
    </w:div>
    <w:div w:id="730814291">
      <w:bodyDiv w:val="1"/>
      <w:marLeft w:val="0"/>
      <w:marRight w:val="0"/>
      <w:marTop w:val="0"/>
      <w:marBottom w:val="0"/>
      <w:divBdr>
        <w:top w:val="none" w:sz="0" w:space="0" w:color="auto"/>
        <w:left w:val="none" w:sz="0" w:space="0" w:color="auto"/>
        <w:bottom w:val="none" w:sz="0" w:space="0" w:color="auto"/>
        <w:right w:val="none" w:sz="0" w:space="0" w:color="auto"/>
      </w:divBdr>
    </w:div>
    <w:div w:id="999117457">
      <w:bodyDiv w:val="1"/>
      <w:marLeft w:val="0"/>
      <w:marRight w:val="0"/>
      <w:marTop w:val="0"/>
      <w:marBottom w:val="0"/>
      <w:divBdr>
        <w:top w:val="none" w:sz="0" w:space="0" w:color="auto"/>
        <w:left w:val="none" w:sz="0" w:space="0" w:color="auto"/>
        <w:bottom w:val="none" w:sz="0" w:space="0" w:color="auto"/>
        <w:right w:val="none" w:sz="0" w:space="0" w:color="auto"/>
      </w:divBdr>
    </w:div>
    <w:div w:id="1197738065">
      <w:bodyDiv w:val="1"/>
      <w:marLeft w:val="0"/>
      <w:marRight w:val="0"/>
      <w:marTop w:val="0"/>
      <w:marBottom w:val="0"/>
      <w:divBdr>
        <w:top w:val="none" w:sz="0" w:space="0" w:color="auto"/>
        <w:left w:val="none" w:sz="0" w:space="0" w:color="auto"/>
        <w:bottom w:val="none" w:sz="0" w:space="0" w:color="auto"/>
        <w:right w:val="none" w:sz="0" w:space="0" w:color="auto"/>
      </w:divBdr>
    </w:div>
    <w:div w:id="1294143298">
      <w:bodyDiv w:val="1"/>
      <w:marLeft w:val="0"/>
      <w:marRight w:val="0"/>
      <w:marTop w:val="0"/>
      <w:marBottom w:val="0"/>
      <w:divBdr>
        <w:top w:val="none" w:sz="0" w:space="0" w:color="auto"/>
        <w:left w:val="none" w:sz="0" w:space="0" w:color="auto"/>
        <w:bottom w:val="none" w:sz="0" w:space="0" w:color="auto"/>
        <w:right w:val="none" w:sz="0" w:space="0" w:color="auto"/>
      </w:divBdr>
    </w:div>
    <w:div w:id="1401442444">
      <w:bodyDiv w:val="1"/>
      <w:marLeft w:val="0"/>
      <w:marRight w:val="0"/>
      <w:marTop w:val="0"/>
      <w:marBottom w:val="0"/>
      <w:divBdr>
        <w:top w:val="none" w:sz="0" w:space="0" w:color="auto"/>
        <w:left w:val="none" w:sz="0" w:space="0" w:color="auto"/>
        <w:bottom w:val="none" w:sz="0" w:space="0" w:color="auto"/>
        <w:right w:val="none" w:sz="0" w:space="0" w:color="auto"/>
      </w:divBdr>
    </w:div>
    <w:div w:id="1566911731">
      <w:bodyDiv w:val="1"/>
      <w:marLeft w:val="0"/>
      <w:marRight w:val="0"/>
      <w:marTop w:val="0"/>
      <w:marBottom w:val="0"/>
      <w:divBdr>
        <w:top w:val="none" w:sz="0" w:space="0" w:color="auto"/>
        <w:left w:val="none" w:sz="0" w:space="0" w:color="auto"/>
        <w:bottom w:val="none" w:sz="0" w:space="0" w:color="auto"/>
        <w:right w:val="none" w:sz="0" w:space="0" w:color="auto"/>
      </w:divBdr>
    </w:div>
    <w:div w:id="1703356103">
      <w:bodyDiv w:val="1"/>
      <w:marLeft w:val="0"/>
      <w:marRight w:val="0"/>
      <w:marTop w:val="0"/>
      <w:marBottom w:val="0"/>
      <w:divBdr>
        <w:top w:val="none" w:sz="0" w:space="0" w:color="auto"/>
        <w:left w:val="none" w:sz="0" w:space="0" w:color="auto"/>
        <w:bottom w:val="none" w:sz="0" w:space="0" w:color="auto"/>
        <w:right w:val="none" w:sz="0" w:space="0" w:color="auto"/>
      </w:divBdr>
    </w:div>
    <w:div w:id="1793743529">
      <w:bodyDiv w:val="1"/>
      <w:marLeft w:val="0"/>
      <w:marRight w:val="0"/>
      <w:marTop w:val="0"/>
      <w:marBottom w:val="0"/>
      <w:divBdr>
        <w:top w:val="none" w:sz="0" w:space="0" w:color="auto"/>
        <w:left w:val="none" w:sz="0" w:space="0" w:color="auto"/>
        <w:bottom w:val="none" w:sz="0" w:space="0" w:color="auto"/>
        <w:right w:val="none" w:sz="0" w:space="0" w:color="auto"/>
      </w:divBdr>
    </w:div>
    <w:div w:id="1938245585">
      <w:bodyDiv w:val="1"/>
      <w:marLeft w:val="0"/>
      <w:marRight w:val="0"/>
      <w:marTop w:val="0"/>
      <w:marBottom w:val="0"/>
      <w:divBdr>
        <w:top w:val="none" w:sz="0" w:space="0" w:color="auto"/>
        <w:left w:val="none" w:sz="0" w:space="0" w:color="auto"/>
        <w:bottom w:val="none" w:sz="0" w:space="0" w:color="auto"/>
        <w:right w:val="none" w:sz="0" w:space="0" w:color="auto"/>
      </w:divBdr>
    </w:div>
    <w:div w:id="1956014473">
      <w:bodyDiv w:val="1"/>
      <w:marLeft w:val="0"/>
      <w:marRight w:val="0"/>
      <w:marTop w:val="0"/>
      <w:marBottom w:val="0"/>
      <w:divBdr>
        <w:top w:val="none" w:sz="0" w:space="0" w:color="auto"/>
        <w:left w:val="none" w:sz="0" w:space="0" w:color="auto"/>
        <w:bottom w:val="none" w:sz="0" w:space="0" w:color="auto"/>
        <w:right w:val="none" w:sz="0" w:space="0" w:color="auto"/>
      </w:divBdr>
    </w:div>
    <w:div w:id="2039962134">
      <w:bodyDiv w:val="1"/>
      <w:marLeft w:val="0"/>
      <w:marRight w:val="0"/>
      <w:marTop w:val="0"/>
      <w:marBottom w:val="0"/>
      <w:divBdr>
        <w:top w:val="none" w:sz="0" w:space="0" w:color="auto"/>
        <w:left w:val="none" w:sz="0" w:space="0" w:color="auto"/>
        <w:bottom w:val="none" w:sz="0" w:space="0" w:color="auto"/>
        <w:right w:val="none" w:sz="0" w:space="0" w:color="auto"/>
      </w:divBdr>
    </w:div>
    <w:div w:id="2050448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3.bin"/><Relationship Id="rId21" Type="http://schemas.openxmlformats.org/officeDocument/2006/relationships/chart" Target="charts/chart5.xml"/><Relationship Id="rId42" Type="http://schemas.openxmlformats.org/officeDocument/2006/relationships/chart" Target="charts/chart24.xml"/><Relationship Id="rId63" Type="http://schemas.openxmlformats.org/officeDocument/2006/relationships/hyperlink" Target="https://zt-rada.gov.ua/?pages=14917" TargetMode="External"/><Relationship Id="rId84" Type="http://schemas.openxmlformats.org/officeDocument/2006/relationships/oleObject" Target="embeddings/oleObject7.bin"/><Relationship Id="rId138" Type="http://schemas.openxmlformats.org/officeDocument/2006/relationships/oleObject" Target="embeddings/oleObject34.bin"/><Relationship Id="rId159" Type="http://schemas.openxmlformats.org/officeDocument/2006/relationships/oleObject" Target="embeddings/oleObject46.bin"/><Relationship Id="rId170" Type="http://schemas.openxmlformats.org/officeDocument/2006/relationships/image" Target="media/image67.wmf"/><Relationship Id="rId191" Type="http://schemas.openxmlformats.org/officeDocument/2006/relationships/image" Target="media/image77.wmf"/><Relationship Id="rId205" Type="http://schemas.openxmlformats.org/officeDocument/2006/relationships/image" Target="media/image84.wmf"/><Relationship Id="rId226" Type="http://schemas.openxmlformats.org/officeDocument/2006/relationships/image" Target="media/image100.png"/><Relationship Id="rId247" Type="http://schemas.openxmlformats.org/officeDocument/2006/relationships/image" Target="media/image115.png"/><Relationship Id="rId107" Type="http://schemas.openxmlformats.org/officeDocument/2006/relationships/oleObject" Target="embeddings/oleObject18.bin"/><Relationship Id="rId268" Type="http://schemas.openxmlformats.org/officeDocument/2006/relationships/fontTable" Target="fontTable.xml"/><Relationship Id="rId11" Type="http://schemas.openxmlformats.org/officeDocument/2006/relationships/hyperlink" Target="https://zakon.rada.gov.ua/laws/show/88-2020-%D1%80" TargetMode="External"/><Relationship Id="rId32" Type="http://schemas.openxmlformats.org/officeDocument/2006/relationships/chart" Target="charts/chart16.xml"/><Relationship Id="rId53" Type="http://schemas.openxmlformats.org/officeDocument/2006/relationships/image" Target="media/image12.png"/><Relationship Id="rId74" Type="http://schemas.openxmlformats.org/officeDocument/2006/relationships/oleObject" Target="embeddings/oleObject2.bin"/><Relationship Id="rId128" Type="http://schemas.openxmlformats.org/officeDocument/2006/relationships/image" Target="media/image49.wmf"/><Relationship Id="rId149" Type="http://schemas.openxmlformats.org/officeDocument/2006/relationships/image" Target="media/image58.wmf"/><Relationship Id="rId5" Type="http://schemas.openxmlformats.org/officeDocument/2006/relationships/webSettings" Target="webSettings.xml"/><Relationship Id="rId95" Type="http://schemas.openxmlformats.org/officeDocument/2006/relationships/oleObject" Target="embeddings/oleObject12.bin"/><Relationship Id="rId160" Type="http://schemas.openxmlformats.org/officeDocument/2006/relationships/oleObject" Target="embeddings/oleObject47.bin"/><Relationship Id="rId181" Type="http://schemas.openxmlformats.org/officeDocument/2006/relationships/oleObject" Target="embeddings/oleObject58.bin"/><Relationship Id="rId216" Type="http://schemas.openxmlformats.org/officeDocument/2006/relationships/image" Target="media/image90.png"/><Relationship Id="rId237" Type="http://schemas.openxmlformats.org/officeDocument/2006/relationships/image" Target="media/image105.png"/><Relationship Id="rId258" Type="http://schemas.openxmlformats.org/officeDocument/2006/relationships/image" Target="media/image126.png"/><Relationship Id="rId22" Type="http://schemas.openxmlformats.org/officeDocument/2006/relationships/chart" Target="charts/chart6.xml"/><Relationship Id="rId43" Type="http://schemas.openxmlformats.org/officeDocument/2006/relationships/chart" Target="charts/chart25.xml"/><Relationship Id="rId64" Type="http://schemas.openxmlformats.org/officeDocument/2006/relationships/chart" Target="charts/chart31.xml"/><Relationship Id="rId118" Type="http://schemas.openxmlformats.org/officeDocument/2006/relationships/image" Target="media/image44.wmf"/><Relationship Id="rId139" Type="http://schemas.openxmlformats.org/officeDocument/2006/relationships/oleObject" Target="embeddings/oleObject35.bin"/><Relationship Id="rId85" Type="http://schemas.openxmlformats.org/officeDocument/2006/relationships/image" Target="media/image27.wmf"/><Relationship Id="rId150" Type="http://schemas.openxmlformats.org/officeDocument/2006/relationships/oleObject" Target="embeddings/oleObject41.bin"/><Relationship Id="rId171" Type="http://schemas.openxmlformats.org/officeDocument/2006/relationships/oleObject" Target="embeddings/oleObject53.bin"/><Relationship Id="rId192" Type="http://schemas.openxmlformats.org/officeDocument/2006/relationships/oleObject" Target="embeddings/oleObject64.bin"/><Relationship Id="rId206" Type="http://schemas.openxmlformats.org/officeDocument/2006/relationships/oleObject" Target="embeddings/oleObject71.bin"/><Relationship Id="rId227" Type="http://schemas.openxmlformats.org/officeDocument/2006/relationships/image" Target="media/image101.png"/><Relationship Id="rId248" Type="http://schemas.openxmlformats.org/officeDocument/2006/relationships/image" Target="media/image116.png"/><Relationship Id="rId269"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chart" Target="charts/chart17.xml"/><Relationship Id="rId108" Type="http://schemas.openxmlformats.org/officeDocument/2006/relationships/image" Target="media/image39.wmf"/><Relationship Id="rId129" Type="http://schemas.openxmlformats.org/officeDocument/2006/relationships/oleObject" Target="embeddings/oleObject29.bin"/><Relationship Id="rId54" Type="http://schemas.openxmlformats.org/officeDocument/2006/relationships/image" Target="media/image13.png"/><Relationship Id="rId75" Type="http://schemas.openxmlformats.org/officeDocument/2006/relationships/image" Target="media/image22.wmf"/><Relationship Id="rId96" Type="http://schemas.openxmlformats.org/officeDocument/2006/relationships/image" Target="media/image33.wmf"/><Relationship Id="rId140" Type="http://schemas.openxmlformats.org/officeDocument/2006/relationships/image" Target="media/image54.wmf"/><Relationship Id="rId161" Type="http://schemas.openxmlformats.org/officeDocument/2006/relationships/image" Target="media/image63.wmf"/><Relationship Id="rId182" Type="http://schemas.openxmlformats.org/officeDocument/2006/relationships/image" Target="media/image73.wmf"/><Relationship Id="rId217" Type="http://schemas.openxmlformats.org/officeDocument/2006/relationships/image" Target="media/image91.png"/><Relationship Id="rId6" Type="http://schemas.openxmlformats.org/officeDocument/2006/relationships/footnotes" Target="footnotes.xml"/><Relationship Id="rId238" Type="http://schemas.openxmlformats.org/officeDocument/2006/relationships/image" Target="media/image106.png"/><Relationship Id="rId259" Type="http://schemas.openxmlformats.org/officeDocument/2006/relationships/image" Target="media/image127.png"/><Relationship Id="rId23" Type="http://schemas.openxmlformats.org/officeDocument/2006/relationships/chart" Target="charts/chart7.xml"/><Relationship Id="rId28" Type="http://schemas.openxmlformats.org/officeDocument/2006/relationships/chart" Target="charts/chart12.xml"/><Relationship Id="rId49" Type="http://schemas.openxmlformats.org/officeDocument/2006/relationships/image" Target="media/image8.png"/><Relationship Id="rId114" Type="http://schemas.openxmlformats.org/officeDocument/2006/relationships/image" Target="media/image42.wmf"/><Relationship Id="rId119" Type="http://schemas.openxmlformats.org/officeDocument/2006/relationships/oleObject" Target="embeddings/oleObject24.bin"/><Relationship Id="rId44" Type="http://schemas.openxmlformats.org/officeDocument/2006/relationships/chart" Target="charts/chart26.xml"/><Relationship Id="rId60" Type="http://schemas.openxmlformats.org/officeDocument/2006/relationships/hyperlink" Target="https://zt-rada.gov.ua/?pages=17958" TargetMode="External"/><Relationship Id="rId65" Type="http://schemas.openxmlformats.org/officeDocument/2006/relationships/footer" Target="footer3.xml"/><Relationship Id="rId81" Type="http://schemas.openxmlformats.org/officeDocument/2006/relationships/image" Target="media/image25.wmf"/><Relationship Id="rId86" Type="http://schemas.openxmlformats.org/officeDocument/2006/relationships/oleObject" Target="embeddings/oleObject8.bin"/><Relationship Id="rId130" Type="http://schemas.openxmlformats.org/officeDocument/2006/relationships/image" Target="media/image50.wmf"/><Relationship Id="rId135" Type="http://schemas.openxmlformats.org/officeDocument/2006/relationships/oleObject" Target="embeddings/oleObject32.bin"/><Relationship Id="rId151" Type="http://schemas.openxmlformats.org/officeDocument/2006/relationships/image" Target="media/image59.wmf"/><Relationship Id="rId156" Type="http://schemas.openxmlformats.org/officeDocument/2006/relationships/image" Target="media/image61.wmf"/><Relationship Id="rId177" Type="http://schemas.openxmlformats.org/officeDocument/2006/relationships/oleObject" Target="embeddings/oleObject56.bin"/><Relationship Id="rId198" Type="http://schemas.openxmlformats.org/officeDocument/2006/relationships/oleObject" Target="embeddings/oleObject67.bin"/><Relationship Id="rId172" Type="http://schemas.openxmlformats.org/officeDocument/2006/relationships/image" Target="media/image68.wmf"/><Relationship Id="rId193" Type="http://schemas.openxmlformats.org/officeDocument/2006/relationships/image" Target="media/image78.wmf"/><Relationship Id="rId202" Type="http://schemas.openxmlformats.org/officeDocument/2006/relationships/oleObject" Target="embeddings/oleObject69.bin"/><Relationship Id="rId207" Type="http://schemas.openxmlformats.org/officeDocument/2006/relationships/image" Target="media/image85.wmf"/><Relationship Id="rId223" Type="http://schemas.openxmlformats.org/officeDocument/2006/relationships/image" Target="media/image97.png"/><Relationship Id="rId228" Type="http://schemas.openxmlformats.org/officeDocument/2006/relationships/header" Target="header1.xml"/><Relationship Id="rId244" Type="http://schemas.openxmlformats.org/officeDocument/2006/relationships/image" Target="media/image112.png"/><Relationship Id="rId249" Type="http://schemas.openxmlformats.org/officeDocument/2006/relationships/image" Target="media/image117.png"/><Relationship Id="rId13" Type="http://schemas.openxmlformats.org/officeDocument/2006/relationships/hyperlink" Target="https://mycovenant.eumayors.eu" TargetMode="External"/><Relationship Id="rId18" Type="http://schemas.openxmlformats.org/officeDocument/2006/relationships/chart" Target="charts/chart2.xml"/><Relationship Id="rId39" Type="http://schemas.openxmlformats.org/officeDocument/2006/relationships/chart" Target="charts/chart23.xml"/><Relationship Id="rId109" Type="http://schemas.openxmlformats.org/officeDocument/2006/relationships/oleObject" Target="embeddings/oleObject19.bin"/><Relationship Id="rId260" Type="http://schemas.openxmlformats.org/officeDocument/2006/relationships/image" Target="media/image128.png"/><Relationship Id="rId265" Type="http://schemas.openxmlformats.org/officeDocument/2006/relationships/footer" Target="footer8.xml"/><Relationship Id="rId34" Type="http://schemas.openxmlformats.org/officeDocument/2006/relationships/chart" Target="charts/chart18.xml"/><Relationship Id="rId50" Type="http://schemas.openxmlformats.org/officeDocument/2006/relationships/image" Target="media/image9.png"/><Relationship Id="rId55" Type="http://schemas.openxmlformats.org/officeDocument/2006/relationships/image" Target="media/image14.png"/><Relationship Id="rId76" Type="http://schemas.openxmlformats.org/officeDocument/2006/relationships/oleObject" Target="embeddings/oleObject3.bin"/><Relationship Id="rId97" Type="http://schemas.openxmlformats.org/officeDocument/2006/relationships/oleObject" Target="embeddings/oleObject13.bin"/><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oleObject" Target="embeddings/oleObject27.bin"/><Relationship Id="rId141" Type="http://schemas.openxmlformats.org/officeDocument/2006/relationships/oleObject" Target="embeddings/oleObject36.bin"/><Relationship Id="rId146" Type="http://schemas.openxmlformats.org/officeDocument/2006/relationships/oleObject" Target="embeddings/oleObject39.bin"/><Relationship Id="rId167" Type="http://schemas.openxmlformats.org/officeDocument/2006/relationships/oleObject" Target="embeddings/oleObject51.bin"/><Relationship Id="rId188"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image" Target="media/image20.wmf"/><Relationship Id="rId92" Type="http://schemas.openxmlformats.org/officeDocument/2006/relationships/oleObject" Target="embeddings/oleObject11.bin"/><Relationship Id="rId162" Type="http://schemas.openxmlformats.org/officeDocument/2006/relationships/oleObject" Target="embeddings/oleObject48.bin"/><Relationship Id="rId183" Type="http://schemas.openxmlformats.org/officeDocument/2006/relationships/oleObject" Target="embeddings/oleObject59.bin"/><Relationship Id="rId213" Type="http://schemas.openxmlformats.org/officeDocument/2006/relationships/image" Target="media/image88.png"/><Relationship Id="rId218" Type="http://schemas.openxmlformats.org/officeDocument/2006/relationships/image" Target="media/image92.png"/><Relationship Id="rId234" Type="http://schemas.openxmlformats.org/officeDocument/2006/relationships/image" Target="media/image102.png"/><Relationship Id="rId239" Type="http://schemas.openxmlformats.org/officeDocument/2006/relationships/image" Target="media/image107.png"/><Relationship Id="rId2" Type="http://schemas.openxmlformats.org/officeDocument/2006/relationships/numbering" Target="numbering.xml"/><Relationship Id="rId29" Type="http://schemas.openxmlformats.org/officeDocument/2006/relationships/chart" Target="charts/chart13.xml"/><Relationship Id="rId250" Type="http://schemas.openxmlformats.org/officeDocument/2006/relationships/image" Target="media/image118.png"/><Relationship Id="rId255" Type="http://schemas.openxmlformats.org/officeDocument/2006/relationships/image" Target="media/image123.png"/><Relationship Id="rId24" Type="http://schemas.openxmlformats.org/officeDocument/2006/relationships/chart" Target="charts/chart8.xml"/><Relationship Id="rId40" Type="http://schemas.openxmlformats.org/officeDocument/2006/relationships/image" Target="media/image5.png"/><Relationship Id="rId45" Type="http://schemas.openxmlformats.org/officeDocument/2006/relationships/chart" Target="charts/chart27.xml"/><Relationship Id="rId66" Type="http://schemas.openxmlformats.org/officeDocument/2006/relationships/image" Target="media/image16.png"/><Relationship Id="rId87" Type="http://schemas.openxmlformats.org/officeDocument/2006/relationships/image" Target="media/image28.wmf"/><Relationship Id="rId110" Type="http://schemas.openxmlformats.org/officeDocument/2006/relationships/image" Target="media/image40.wmf"/><Relationship Id="rId115" Type="http://schemas.openxmlformats.org/officeDocument/2006/relationships/oleObject" Target="embeddings/oleObject22.bin"/><Relationship Id="rId131" Type="http://schemas.openxmlformats.org/officeDocument/2006/relationships/oleObject" Target="embeddings/oleObject30.bin"/><Relationship Id="rId136" Type="http://schemas.openxmlformats.org/officeDocument/2006/relationships/image" Target="media/image53.wmf"/><Relationship Id="rId157" Type="http://schemas.openxmlformats.org/officeDocument/2006/relationships/oleObject" Target="embeddings/oleObject45.bin"/><Relationship Id="rId178" Type="http://schemas.openxmlformats.org/officeDocument/2006/relationships/image" Target="media/image71.wmf"/><Relationship Id="rId61" Type="http://schemas.openxmlformats.org/officeDocument/2006/relationships/hyperlink" Target="https://zt-rada.gov.ua/?pages=19301" TargetMode="External"/><Relationship Id="rId82" Type="http://schemas.openxmlformats.org/officeDocument/2006/relationships/oleObject" Target="embeddings/oleObject6.bin"/><Relationship Id="rId152" Type="http://schemas.openxmlformats.org/officeDocument/2006/relationships/oleObject" Target="embeddings/oleObject42.bin"/><Relationship Id="rId173" Type="http://schemas.openxmlformats.org/officeDocument/2006/relationships/oleObject" Target="embeddings/oleObject54.bin"/><Relationship Id="rId194" Type="http://schemas.openxmlformats.org/officeDocument/2006/relationships/oleObject" Target="embeddings/oleObject65.bin"/><Relationship Id="rId199" Type="http://schemas.openxmlformats.org/officeDocument/2006/relationships/image" Target="media/image81.wmf"/><Relationship Id="rId203" Type="http://schemas.openxmlformats.org/officeDocument/2006/relationships/image" Target="media/image83.wmf"/><Relationship Id="rId208" Type="http://schemas.openxmlformats.org/officeDocument/2006/relationships/oleObject" Target="embeddings/oleObject72.bin"/><Relationship Id="rId229" Type="http://schemas.openxmlformats.org/officeDocument/2006/relationships/header" Target="header2.xml"/><Relationship Id="rId19" Type="http://schemas.openxmlformats.org/officeDocument/2006/relationships/chart" Target="charts/chart3.xml"/><Relationship Id="rId224" Type="http://schemas.openxmlformats.org/officeDocument/2006/relationships/image" Target="media/image98.png"/><Relationship Id="rId240" Type="http://schemas.openxmlformats.org/officeDocument/2006/relationships/image" Target="media/image108.png"/><Relationship Id="rId245" Type="http://schemas.openxmlformats.org/officeDocument/2006/relationships/image" Target="media/image113.png"/><Relationship Id="rId261" Type="http://schemas.openxmlformats.org/officeDocument/2006/relationships/image" Target="media/image129.png"/><Relationship Id="rId266" Type="http://schemas.openxmlformats.org/officeDocument/2006/relationships/header" Target="header6.xml"/><Relationship Id="rId14" Type="http://schemas.openxmlformats.org/officeDocument/2006/relationships/hyperlink" Target="https://mycovenant.eumayors.eu" TargetMode="External"/><Relationship Id="rId30" Type="http://schemas.openxmlformats.org/officeDocument/2006/relationships/chart" Target="charts/chart14.xml"/><Relationship Id="rId35" Type="http://schemas.openxmlformats.org/officeDocument/2006/relationships/chart" Target="charts/chart19.xml"/><Relationship Id="rId56" Type="http://schemas.openxmlformats.org/officeDocument/2006/relationships/chart" Target="charts/chart30.xml"/><Relationship Id="rId77" Type="http://schemas.openxmlformats.org/officeDocument/2006/relationships/image" Target="media/image23.wmf"/><Relationship Id="rId100" Type="http://schemas.openxmlformats.org/officeDocument/2006/relationships/image" Target="media/image35.wmf"/><Relationship Id="rId105" Type="http://schemas.openxmlformats.org/officeDocument/2006/relationships/oleObject" Target="embeddings/oleObject17.bin"/><Relationship Id="rId126" Type="http://schemas.openxmlformats.org/officeDocument/2006/relationships/image" Target="media/image48.wmf"/><Relationship Id="rId147" Type="http://schemas.openxmlformats.org/officeDocument/2006/relationships/image" Target="media/image57.wmf"/><Relationship Id="rId168" Type="http://schemas.openxmlformats.org/officeDocument/2006/relationships/image" Target="media/image66.wmf"/><Relationship Id="rId8" Type="http://schemas.openxmlformats.org/officeDocument/2006/relationships/image" Target="media/image1.png"/><Relationship Id="rId51" Type="http://schemas.openxmlformats.org/officeDocument/2006/relationships/image" Target="media/image10.png"/><Relationship Id="rId72" Type="http://schemas.openxmlformats.org/officeDocument/2006/relationships/oleObject" Target="embeddings/oleObject1.bin"/><Relationship Id="rId93" Type="http://schemas.openxmlformats.org/officeDocument/2006/relationships/image" Target="media/image31.png"/><Relationship Id="rId98" Type="http://schemas.openxmlformats.org/officeDocument/2006/relationships/image" Target="media/image34.wmf"/><Relationship Id="rId121" Type="http://schemas.openxmlformats.org/officeDocument/2006/relationships/oleObject" Target="embeddings/oleObject25.bin"/><Relationship Id="rId142" Type="http://schemas.openxmlformats.org/officeDocument/2006/relationships/image" Target="media/image55.wmf"/><Relationship Id="rId163" Type="http://schemas.openxmlformats.org/officeDocument/2006/relationships/image" Target="media/image64.wmf"/><Relationship Id="rId184" Type="http://schemas.openxmlformats.org/officeDocument/2006/relationships/image" Target="media/image74.wmf"/><Relationship Id="rId189" Type="http://schemas.openxmlformats.org/officeDocument/2006/relationships/image" Target="media/image76.wmf"/><Relationship Id="rId219" Type="http://schemas.openxmlformats.org/officeDocument/2006/relationships/image" Target="media/image93.png"/><Relationship Id="rId3" Type="http://schemas.openxmlformats.org/officeDocument/2006/relationships/styles" Target="styles.xml"/><Relationship Id="rId214" Type="http://schemas.openxmlformats.org/officeDocument/2006/relationships/image" Target="media/image89.png"/><Relationship Id="rId230" Type="http://schemas.openxmlformats.org/officeDocument/2006/relationships/footer" Target="footer4.xml"/><Relationship Id="rId235" Type="http://schemas.openxmlformats.org/officeDocument/2006/relationships/image" Target="media/image103.png"/><Relationship Id="rId251" Type="http://schemas.openxmlformats.org/officeDocument/2006/relationships/image" Target="media/image119.png"/><Relationship Id="rId256" Type="http://schemas.openxmlformats.org/officeDocument/2006/relationships/image" Target="media/image124.png"/><Relationship Id="rId25" Type="http://schemas.openxmlformats.org/officeDocument/2006/relationships/chart" Target="charts/chart9.xml"/><Relationship Id="rId46" Type="http://schemas.openxmlformats.org/officeDocument/2006/relationships/chart" Target="charts/chart28.xml"/><Relationship Id="rId67" Type="http://schemas.openxmlformats.org/officeDocument/2006/relationships/chart" Target="charts/chart32.xml"/><Relationship Id="rId116" Type="http://schemas.openxmlformats.org/officeDocument/2006/relationships/image" Target="media/image43.wmf"/><Relationship Id="rId137" Type="http://schemas.openxmlformats.org/officeDocument/2006/relationships/oleObject" Target="embeddings/oleObject33.bin"/><Relationship Id="rId158" Type="http://schemas.openxmlformats.org/officeDocument/2006/relationships/image" Target="media/image62.wmf"/><Relationship Id="rId20" Type="http://schemas.openxmlformats.org/officeDocument/2006/relationships/chart" Target="charts/chart4.xml"/><Relationship Id="rId41" Type="http://schemas.openxmlformats.org/officeDocument/2006/relationships/image" Target="media/image6.png"/><Relationship Id="rId62" Type="http://schemas.openxmlformats.org/officeDocument/2006/relationships/hyperlink" Target="https://zt-rada.gov.ua/?pages=18423" TargetMode="External"/><Relationship Id="rId83" Type="http://schemas.openxmlformats.org/officeDocument/2006/relationships/image" Target="media/image26.wmf"/><Relationship Id="rId88" Type="http://schemas.openxmlformats.org/officeDocument/2006/relationships/oleObject" Target="embeddings/oleObject9.bin"/><Relationship Id="rId111" Type="http://schemas.openxmlformats.org/officeDocument/2006/relationships/oleObject" Target="embeddings/oleObject20.bin"/><Relationship Id="rId132" Type="http://schemas.openxmlformats.org/officeDocument/2006/relationships/image" Target="media/image51.wmf"/><Relationship Id="rId153" Type="http://schemas.openxmlformats.org/officeDocument/2006/relationships/oleObject" Target="embeddings/oleObject43.bin"/><Relationship Id="rId174" Type="http://schemas.openxmlformats.org/officeDocument/2006/relationships/image" Target="media/image69.wmf"/><Relationship Id="rId179" Type="http://schemas.openxmlformats.org/officeDocument/2006/relationships/oleObject" Target="embeddings/oleObject57.bin"/><Relationship Id="rId195" Type="http://schemas.openxmlformats.org/officeDocument/2006/relationships/image" Target="media/image79.wmf"/><Relationship Id="rId209" Type="http://schemas.openxmlformats.org/officeDocument/2006/relationships/hyperlink" Target="https://www.buhoblik.org.ua/uchet/uchet-tovarov-i-materialov/888-normy-rasxoda-topliva.html" TargetMode="External"/><Relationship Id="rId190" Type="http://schemas.openxmlformats.org/officeDocument/2006/relationships/oleObject" Target="embeddings/oleObject63.bin"/><Relationship Id="rId204" Type="http://schemas.openxmlformats.org/officeDocument/2006/relationships/oleObject" Target="embeddings/oleObject70.bin"/><Relationship Id="rId220" Type="http://schemas.openxmlformats.org/officeDocument/2006/relationships/image" Target="media/image94.png"/><Relationship Id="rId225" Type="http://schemas.openxmlformats.org/officeDocument/2006/relationships/image" Target="media/image99.png"/><Relationship Id="rId241" Type="http://schemas.openxmlformats.org/officeDocument/2006/relationships/image" Target="media/image109.png"/><Relationship Id="rId246" Type="http://schemas.openxmlformats.org/officeDocument/2006/relationships/image" Target="media/image114.png"/><Relationship Id="rId267" Type="http://schemas.openxmlformats.org/officeDocument/2006/relationships/footer" Target="footer9.xml"/><Relationship Id="rId15" Type="http://schemas.openxmlformats.org/officeDocument/2006/relationships/image" Target="media/image3.emf"/><Relationship Id="rId36" Type="http://schemas.openxmlformats.org/officeDocument/2006/relationships/chart" Target="charts/chart20.xml"/><Relationship Id="rId57" Type="http://schemas.openxmlformats.org/officeDocument/2006/relationships/hyperlink" Target="https://zt-rada.gov.ua/?pages=17635" TargetMode="External"/><Relationship Id="rId106" Type="http://schemas.openxmlformats.org/officeDocument/2006/relationships/image" Target="media/image38.wmf"/><Relationship Id="rId127" Type="http://schemas.openxmlformats.org/officeDocument/2006/relationships/oleObject" Target="embeddings/oleObject28.bin"/><Relationship Id="rId262" Type="http://schemas.openxmlformats.org/officeDocument/2006/relationships/header" Target="header4.xml"/><Relationship Id="rId10" Type="http://schemas.openxmlformats.org/officeDocument/2006/relationships/footer" Target="footer2.xml"/><Relationship Id="rId31" Type="http://schemas.openxmlformats.org/officeDocument/2006/relationships/chart" Target="charts/chart15.xml"/><Relationship Id="rId52" Type="http://schemas.openxmlformats.org/officeDocument/2006/relationships/image" Target="media/image11.png"/><Relationship Id="rId73" Type="http://schemas.openxmlformats.org/officeDocument/2006/relationships/image" Target="media/image21.wmf"/><Relationship Id="rId78" Type="http://schemas.openxmlformats.org/officeDocument/2006/relationships/oleObject" Target="embeddings/oleObject4.bin"/><Relationship Id="rId94" Type="http://schemas.openxmlformats.org/officeDocument/2006/relationships/image" Target="media/image32.wmf"/><Relationship Id="rId99" Type="http://schemas.openxmlformats.org/officeDocument/2006/relationships/oleObject" Target="embeddings/oleObject14.bin"/><Relationship Id="rId101" Type="http://schemas.openxmlformats.org/officeDocument/2006/relationships/oleObject" Target="embeddings/oleObject15.bin"/><Relationship Id="rId122" Type="http://schemas.openxmlformats.org/officeDocument/2006/relationships/image" Target="media/image46.wmf"/><Relationship Id="rId143" Type="http://schemas.openxmlformats.org/officeDocument/2006/relationships/oleObject" Target="embeddings/oleObject37.bin"/><Relationship Id="rId148" Type="http://schemas.openxmlformats.org/officeDocument/2006/relationships/oleObject" Target="embeddings/oleObject40.bin"/><Relationship Id="rId164" Type="http://schemas.openxmlformats.org/officeDocument/2006/relationships/oleObject" Target="embeddings/oleObject49.bin"/><Relationship Id="rId169" Type="http://schemas.openxmlformats.org/officeDocument/2006/relationships/oleObject" Target="embeddings/oleObject52.bin"/><Relationship Id="rId185" Type="http://schemas.openxmlformats.org/officeDocument/2006/relationships/oleObject" Target="embeddings/oleObject60.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72.wmf"/><Relationship Id="rId210" Type="http://schemas.openxmlformats.org/officeDocument/2006/relationships/hyperlink" Target="http://www.ukrstat.gov.ua/druk/publicat/kat_u/2019/zb/06/zb_chnn2019.pdf" TargetMode="External"/><Relationship Id="rId215" Type="http://schemas.openxmlformats.org/officeDocument/2006/relationships/hyperlink" Target="https://recyclingpoints.org/" TargetMode="External"/><Relationship Id="rId236" Type="http://schemas.openxmlformats.org/officeDocument/2006/relationships/image" Target="media/image104.png"/><Relationship Id="rId257" Type="http://schemas.openxmlformats.org/officeDocument/2006/relationships/image" Target="media/image125.png"/><Relationship Id="rId26" Type="http://schemas.openxmlformats.org/officeDocument/2006/relationships/chart" Target="charts/chart10.xml"/><Relationship Id="rId231" Type="http://schemas.openxmlformats.org/officeDocument/2006/relationships/footer" Target="footer5.xml"/><Relationship Id="rId252" Type="http://schemas.openxmlformats.org/officeDocument/2006/relationships/image" Target="media/image120.png"/><Relationship Id="rId47" Type="http://schemas.openxmlformats.org/officeDocument/2006/relationships/chart" Target="charts/chart29.xml"/><Relationship Id="rId68" Type="http://schemas.openxmlformats.org/officeDocument/2006/relationships/image" Target="media/image17.png"/><Relationship Id="rId89" Type="http://schemas.openxmlformats.org/officeDocument/2006/relationships/image" Target="media/image29.wmf"/><Relationship Id="rId112" Type="http://schemas.openxmlformats.org/officeDocument/2006/relationships/image" Target="media/image41.wmf"/><Relationship Id="rId133" Type="http://schemas.openxmlformats.org/officeDocument/2006/relationships/oleObject" Target="embeddings/oleObject31.bin"/><Relationship Id="rId154" Type="http://schemas.openxmlformats.org/officeDocument/2006/relationships/image" Target="media/image60.wmf"/><Relationship Id="rId175" Type="http://schemas.openxmlformats.org/officeDocument/2006/relationships/oleObject" Target="embeddings/oleObject55.bin"/><Relationship Id="rId196" Type="http://schemas.openxmlformats.org/officeDocument/2006/relationships/oleObject" Target="embeddings/oleObject66.bin"/><Relationship Id="rId200" Type="http://schemas.openxmlformats.org/officeDocument/2006/relationships/oleObject" Target="embeddings/oleObject68.bin"/><Relationship Id="rId16" Type="http://schemas.openxmlformats.org/officeDocument/2006/relationships/image" Target="media/image4.emf"/><Relationship Id="rId221" Type="http://schemas.openxmlformats.org/officeDocument/2006/relationships/image" Target="media/image95.png"/><Relationship Id="rId242" Type="http://schemas.openxmlformats.org/officeDocument/2006/relationships/image" Target="media/image110.png"/><Relationship Id="rId263" Type="http://schemas.openxmlformats.org/officeDocument/2006/relationships/header" Target="header5.xml"/><Relationship Id="rId37" Type="http://schemas.openxmlformats.org/officeDocument/2006/relationships/chart" Target="charts/chart21.xml"/><Relationship Id="rId58" Type="http://schemas.openxmlformats.org/officeDocument/2006/relationships/hyperlink" Target="https://zt-rada.gov.ua/?pages=14914" TargetMode="External"/><Relationship Id="rId79" Type="http://schemas.openxmlformats.org/officeDocument/2006/relationships/image" Target="media/image24.wmf"/><Relationship Id="rId102" Type="http://schemas.openxmlformats.org/officeDocument/2006/relationships/image" Target="media/image36.wmf"/><Relationship Id="rId123" Type="http://schemas.openxmlformats.org/officeDocument/2006/relationships/oleObject" Target="embeddings/oleObject26.bin"/><Relationship Id="rId144" Type="http://schemas.openxmlformats.org/officeDocument/2006/relationships/image" Target="media/image56.wmf"/><Relationship Id="rId90" Type="http://schemas.openxmlformats.org/officeDocument/2006/relationships/oleObject" Target="embeddings/oleObject10.bin"/><Relationship Id="rId165" Type="http://schemas.openxmlformats.org/officeDocument/2006/relationships/oleObject" Target="embeddings/oleObject50.bin"/><Relationship Id="rId186" Type="http://schemas.openxmlformats.org/officeDocument/2006/relationships/oleObject" Target="embeddings/oleObject61.bin"/><Relationship Id="rId211" Type="http://schemas.openxmlformats.org/officeDocument/2006/relationships/image" Target="media/image86.png"/><Relationship Id="rId232" Type="http://schemas.openxmlformats.org/officeDocument/2006/relationships/header" Target="header3.xml"/><Relationship Id="rId253" Type="http://schemas.openxmlformats.org/officeDocument/2006/relationships/image" Target="media/image121.png"/><Relationship Id="rId27" Type="http://schemas.openxmlformats.org/officeDocument/2006/relationships/chart" Target="charts/chart11.xml"/><Relationship Id="rId48" Type="http://schemas.openxmlformats.org/officeDocument/2006/relationships/image" Target="media/image7.png"/><Relationship Id="rId69" Type="http://schemas.openxmlformats.org/officeDocument/2006/relationships/image" Target="media/image18.jpg"/><Relationship Id="rId113" Type="http://schemas.openxmlformats.org/officeDocument/2006/relationships/oleObject" Target="embeddings/oleObject21.bin"/><Relationship Id="rId134" Type="http://schemas.openxmlformats.org/officeDocument/2006/relationships/image" Target="media/image52.wmf"/><Relationship Id="rId80" Type="http://schemas.openxmlformats.org/officeDocument/2006/relationships/oleObject" Target="embeddings/oleObject5.bin"/><Relationship Id="rId155" Type="http://schemas.openxmlformats.org/officeDocument/2006/relationships/oleObject" Target="embeddings/oleObject44.bin"/><Relationship Id="rId176" Type="http://schemas.openxmlformats.org/officeDocument/2006/relationships/image" Target="media/image70.wmf"/><Relationship Id="rId197" Type="http://schemas.openxmlformats.org/officeDocument/2006/relationships/image" Target="media/image80.wmf"/><Relationship Id="rId201" Type="http://schemas.openxmlformats.org/officeDocument/2006/relationships/image" Target="media/image82.wmf"/><Relationship Id="rId222" Type="http://schemas.openxmlformats.org/officeDocument/2006/relationships/image" Target="media/image96.png"/><Relationship Id="rId243" Type="http://schemas.openxmlformats.org/officeDocument/2006/relationships/image" Target="media/image111.png"/><Relationship Id="rId264" Type="http://schemas.openxmlformats.org/officeDocument/2006/relationships/footer" Target="footer7.xml"/><Relationship Id="rId17" Type="http://schemas.openxmlformats.org/officeDocument/2006/relationships/chart" Target="charts/chart1.xml"/><Relationship Id="rId38" Type="http://schemas.openxmlformats.org/officeDocument/2006/relationships/chart" Target="charts/chart22.xml"/><Relationship Id="rId59" Type="http://schemas.openxmlformats.org/officeDocument/2006/relationships/image" Target="media/image15.jpeg"/><Relationship Id="rId103" Type="http://schemas.openxmlformats.org/officeDocument/2006/relationships/oleObject" Target="embeddings/oleObject16.bin"/><Relationship Id="rId124" Type="http://schemas.openxmlformats.org/officeDocument/2006/relationships/image" Target="media/image47.wmf"/><Relationship Id="rId70" Type="http://schemas.openxmlformats.org/officeDocument/2006/relationships/image" Target="media/image19.jpg"/><Relationship Id="rId91" Type="http://schemas.openxmlformats.org/officeDocument/2006/relationships/image" Target="media/image30.wmf"/><Relationship Id="rId145" Type="http://schemas.openxmlformats.org/officeDocument/2006/relationships/oleObject" Target="embeddings/oleObject38.bin"/><Relationship Id="rId166" Type="http://schemas.openxmlformats.org/officeDocument/2006/relationships/image" Target="media/image65.wmf"/><Relationship Id="rId187" Type="http://schemas.openxmlformats.org/officeDocument/2006/relationships/image" Target="media/image75.wmf"/><Relationship Id="rId1" Type="http://schemas.openxmlformats.org/officeDocument/2006/relationships/customXml" Target="../customXml/item1.xml"/><Relationship Id="rId212" Type="http://schemas.openxmlformats.org/officeDocument/2006/relationships/image" Target="media/image87.png"/><Relationship Id="rId233" Type="http://schemas.openxmlformats.org/officeDocument/2006/relationships/footer" Target="footer6.xml"/><Relationship Id="rId254" Type="http://schemas.openxmlformats.org/officeDocument/2006/relationships/image" Target="media/image122.png"/></Relationships>
</file>

<file path=word/_rels/footnotes.xml.rels><?xml version="1.0" encoding="UTF-8" standalone="yes"?>
<Relationships xmlns="http://schemas.openxmlformats.org/package/2006/relationships"><Relationship Id="rId8" Type="http://schemas.openxmlformats.org/officeDocument/2006/relationships/hyperlink" Target="https://2030.zhitomir.ua/upload/iblock/119/119a440c2f86137d7607bed04d947de4.pdf" TargetMode="External"/><Relationship Id="rId13" Type="http://schemas.openxmlformats.org/officeDocument/2006/relationships/hyperlink" Target="https://zt-rada.gov.ua/files/upload/sitefiles/doc1617288607.pdf" TargetMode="External"/><Relationship Id="rId18" Type="http://schemas.openxmlformats.org/officeDocument/2006/relationships/hyperlink" Target="https://vodokanal.zt.ua/other/rating-avtomoiok" TargetMode="External"/><Relationship Id="rId3" Type="http://schemas.openxmlformats.org/officeDocument/2006/relationships/hyperlink" Target="https://data.gov.ua/dataset/06779371-308f-42d7-895e-5a39833375f0" TargetMode="External"/><Relationship Id="rId21" Type="http://schemas.openxmlformats.org/officeDocument/2006/relationships/hyperlink" Target="https://menr.gov.ua/news/34871.html?fbclid=IwAR2m4cwMecP5B5O7fUmspnYJHPhhETh5C4Tf0tiLL9PFh6BYYXCsjBam1h0" TargetMode="External"/><Relationship Id="rId7" Type="http://schemas.openxmlformats.org/officeDocument/2006/relationships/hyperlink" Target="https://zt-rada.gov.ua/files/upload/sitefiles/doc1617286933.pdf" TargetMode="External"/><Relationship Id="rId12" Type="http://schemas.openxmlformats.org/officeDocument/2006/relationships/hyperlink" Target="https://com-east.eu/ru/tekhnicheskie-i-metodologicheskie-materialy/item/14753-rukovodstvo-kak-razrabotat-plan-dejstvij-po-ustojchivomu-energeticheskomu-razvitiyu-i-klimatu-v-stranah-vostochnogo-partnerstva/" TargetMode="External"/><Relationship Id="rId17" Type="http://schemas.openxmlformats.org/officeDocument/2006/relationships/hyperlink" Target="https://niss.gov.ua/sites/default/files/2020-10/dop-climate-final-5_sait.pdf" TargetMode="External"/><Relationship Id="rId2" Type="http://schemas.openxmlformats.org/officeDocument/2006/relationships/hyperlink" Target="https://www.kmu.gov.ua/npas/pro-zatverdzhennya-nacionalnoyi-eko-a179" TargetMode="External"/><Relationship Id="rId16" Type="http://schemas.openxmlformats.org/officeDocument/2006/relationships/hyperlink" Target="http://surl.li/eqdrl" TargetMode="External"/><Relationship Id="rId20" Type="http://schemas.openxmlformats.org/officeDocument/2006/relationships/hyperlink" Target="https://enefcities.org.ua/upload/files/covenant%20of%20mayors/Guidebook_How%20to%20develop%20SECAP_2018_en.pdf" TargetMode="External"/><Relationship Id="rId1" Type="http://schemas.openxmlformats.org/officeDocument/2006/relationships/hyperlink" Target="https://ukraine-eu.mfa.gov.ua/posolstvo/galuzeve-spivrobitnictvo/klimat-yevropejska-zelena-ugoda" TargetMode="External"/><Relationship Id="rId6" Type="http://schemas.openxmlformats.org/officeDocument/2006/relationships/hyperlink" Target="https://2030.zhitomir.ua/upload/iblock/119/119a440c2f86137d7607bed04d947de4.pdf" TargetMode="External"/><Relationship Id="rId11" Type="http://schemas.openxmlformats.org/officeDocument/2006/relationships/hyperlink" Target="https://zt-rada.gov.ua/files/upload/sitefiles/doc1609857321.pdf" TargetMode="External"/><Relationship Id="rId5" Type="http://schemas.openxmlformats.org/officeDocument/2006/relationships/hyperlink" Target="https://hmarochos.kiev.ua/2020/07/24/bilsh-nizh-polovyna-ukrayintsiv-zhertvuyut-inshymy-potrebamy-shhob-splatyty-rahunky-za-energiyu-doslidzhennya-usaid/" TargetMode="External"/><Relationship Id="rId15" Type="http://schemas.openxmlformats.org/officeDocument/2006/relationships/hyperlink" Target="https://greenbean.one/resources/medias/35.pdf" TargetMode="External"/><Relationship Id="rId10" Type="http://schemas.openxmlformats.org/officeDocument/2006/relationships/hyperlink" Target="https://zt-rada.gov.ua/files/upload/sitefiles/doc1617286933.pdf" TargetMode="External"/><Relationship Id="rId19" Type="http://schemas.openxmlformats.org/officeDocument/2006/relationships/hyperlink" Target="https://niss.gov.ua/sites/default/files/2020-10/dop-climate-final-5_sait.pdf" TargetMode="External"/><Relationship Id="rId4" Type="http://schemas.openxmlformats.org/officeDocument/2006/relationships/hyperlink" Target="https://hmarochos.kiev.ua/2021/03/10/yak-zahystyty-vrazlyvyh-spozhyvachiv-v-energetytsi-dosvid-yevropejskogo-soyuzu-ta-ukrayiny/" TargetMode="External"/><Relationship Id="rId9" Type="http://schemas.openxmlformats.org/officeDocument/2006/relationships/hyperlink" Target="https://zt-rada.gov.ua/files/upload/sitefiles/doc1617286933.pdf" TargetMode="External"/><Relationship Id="rId14" Type="http://schemas.openxmlformats.org/officeDocument/2006/relationships/hyperlink" Target="https://zt-rada.gov.ua/?pages=2899"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Univer\Masters%20Thesis%20Data\Excel%20by%20month\All%20scenario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Gala\AppData\Roaming\Microsoft\Excel\&#1044;&#1110;&#1072;&#1075;&#1088;&#1072;&#1084;&#1080;%20&#1090;&#1072;%20&#1090;&#1072;&#1073;&#1083;&#1080;&#1094;&#1110;%20&#1045;&#1085;&#1077;&#1088;&#1075;&#1086;&#1089;&#1080;&#1089;&#1090;&#1077;&#1084;&#1072;%20(version%202).xlsb"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Gala\AppData\Roaming\Microsoft\Excel\&#1044;&#1110;&#1072;&#1075;&#1088;&#1072;&#1084;&#1080;%20&#1090;&#1072;%20&#1090;&#1072;&#1073;&#1083;&#1080;&#1094;&#1110;%20&#1045;&#1085;&#1077;&#1088;&#1075;&#1086;&#1089;&#1080;&#1089;&#1090;&#1077;&#1084;&#1072;%20(version%202).xlsb"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Gala\AppData\Roaming\Microsoft\Excel\&#1044;&#1110;&#1072;&#1075;&#1088;&#1072;&#1084;&#1080;%20&#1090;&#1072;%20&#1090;&#1072;&#1073;&#1083;&#1080;&#1094;&#1110;%20&#1045;&#1085;&#1077;&#1088;&#1075;&#1086;&#1089;&#1080;&#1089;&#1090;&#1077;&#1084;&#1072;%20(version%202).xlsb"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niver\Masters%20Thesis%20Data\Excel%20by%20month\All%20scenarios.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6;&#1086;&#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6;&#1086;&#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6.xml.rels><?xml version="1.0" encoding="UTF-8" standalone="yes"?>
<Relationships xmlns="http://schemas.openxmlformats.org/package/2006/relationships"><Relationship Id="rId3" Type="http://schemas.openxmlformats.org/officeDocument/2006/relationships/oleObject" Target="file:///C:\Users\User\Downloads\&#1044;&#1072;&#1085;&#1110;%20&#1076;&#1083;&#1103;%20&#1086;&#1087;&#1080;&#1089;&#1091;%20&#1074;%20&#1088;&#1086;&#1079;&#1076;&#1110;&#1083;&#1110;%20&#1052;&#1045;&#1055;%202025.xlsx" TargetMode="External"/><Relationship Id="rId2" Type="http://schemas.microsoft.com/office/2011/relationships/chartColorStyle" Target="colors1.xml"/><Relationship Id="rId1" Type="http://schemas.microsoft.com/office/2011/relationships/chartStyle" Target="style1.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User\Downloads\&#1044;&#1072;&#1085;&#1110;%20&#1076;&#1083;&#1103;%20&#1086;&#1087;&#1080;&#1089;&#1091;%20&#1074;%20&#1088;&#1086;&#1079;&#1076;&#1110;&#1083;&#1110;%20&#1052;&#1045;&#1055;%202025.xlsx" TargetMode="External"/><Relationship Id="rId2" Type="http://schemas.microsoft.com/office/2011/relationships/chartColorStyle" Target="colors2.xml"/><Relationship Id="rId1" Type="http://schemas.microsoft.com/office/2011/relationships/chartStyle" Target="style2.xml"/></Relationships>
</file>

<file path=word/charts/_rels/chart28.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5;&#1085;&#1077;&#1088;&#1075;&#1077;&#1090;&#1080;&#1095;&#1085;&#1072;%20&#1089;&#1080;&#1089;&#1090;&#1077;&#1084;&#1072;\&#1044;&#1110;&#1072;&#1075;&#1088;&#1072;&#1084;&#1080;%20&#1090;&#1072;%20&#1090;&#1072;&#1073;&#1083;&#1080;&#1094;&#1110;%20&#1045;&#1085;&#1077;&#1088;&#1075;&#1086;&#1089;&#1080;&#1089;&#1090;&#1077;&#1084;&#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niver\Masters%20Thesis%20Data\Excel%20by%20month\All%20scenarios.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42;&#1030;&#1076;&#1085;&#1086;&#1074;&#1083;&#1102;&#1074;&#1072;&#1083;&#1100;&#1085;&#1072;%20&#1077;&#1085;&#1077;&#1088;&#1075;&#1077;&#1090;&#1080;&#1082;&#1072;\&#1058;&#1072;&#1073;&#1083;&#1080;&#1094;&#1110;%20&#1090;&#1072;%20&#1044;&#1110;&#1072;&#1075;&#1088;&#1072;&#1084;&#1080;%20-%20&#1042;&#1044;&#1045;.xlsx" TargetMode="External"/></Relationships>
</file>

<file path=word/charts/_rels/chart31.xml.rels><?xml version="1.0" encoding="UTF-8" standalone="yes"?>
<Relationships xmlns="http://schemas.openxmlformats.org/package/2006/relationships"><Relationship Id="rId3" Type="http://schemas.openxmlformats.org/officeDocument/2006/relationships/oleObject" Target="file:///D:\&#1043;&#1086;&#1085;&#1095;&#1072;&#1088;&#1091;&#1082;\&#1059;&#1043;&#1054;&#1044;&#1040;%20&#1052;&#1045;&#1056;&#1030;&#1042;\SECAP\&#1055;&#1044;&#1057;&#1045;&#1056;&#1050;%202024\&#1057;&#1110;&#1095;&#1077;&#1085;&#1100;%202025\&#1058;&#1072;&#1073;&#1083;&#1080;&#1094;&#1110;%20&#1090;&#1072;%20&#1075;&#1088;&#1072;&#1092;&#1110;&#1082;&#1080;\&#1056;&#1086;&#1079;&#1088;&#1072;&#1093;&#1091;&#1085;&#1086;&#1082;%20&#1041;&#1050;&#1042;%20&#1046;&#1080;&#1090;&#1086;&#1084;&#1080;&#1088;%202022%20-%20&#1057;&#1054;2%20&#1077;&#1082;&#1074;%20(&#1043;&#1086;&#1085;&#1095;&#1072;&#1088;&#1091;&#1082;)%20vers%202.xlsx" TargetMode="External"/><Relationship Id="rId2" Type="http://schemas.microsoft.com/office/2011/relationships/chartColorStyle" Target="colors3.xml"/><Relationship Id="rId1" Type="http://schemas.microsoft.com/office/2011/relationships/chartStyle" Target="style3.xml"/></Relationships>
</file>

<file path=word/charts/_rels/chart32.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03%20&#1055;&#1044;&#1057;&#1045;&#1056;&#1050;%20&#1046;&#1080;&#1090;&#1086;&#1084;&#1080;&#1088;\&#1058;&#1077;&#1082;&#1089;&#1090;%20&#1055;&#1044;&#1057;&#1045;&#1056;&#1050;\&#1054;&#1087;&#1080;&#1089;%20&#1075;&#1088;&#1086;&#1084;&#1072;&#1076;&#1080;\&#1056;&#1086;&#1079;&#1088;&#1072;&#1093;&#1091;&#1085;&#1086;&#1082;%20&#1054;&#1087;&#1080;&#1089;%20&#1075;&#1088;&#1086;&#1084;&#1072;&#1076;&#1080;.xlsx" TargetMode="External"/><Relationship Id="rId2" Type="http://schemas.microsoft.com/office/2011/relationships/chartColorStyle" Target="colors4.xml"/><Relationship Id="rId1" Type="http://schemas.microsoft.com/office/2011/relationships/chartStyle" Target="style4.xml"/></Relationships>
</file>

<file path=word/charts/_rels/chart4.xml.rels><?xml version="1.0" encoding="UTF-8" standalone="yes"?>
<Relationships xmlns="http://schemas.openxmlformats.org/package/2006/relationships"><Relationship Id="rId1" Type="http://schemas.openxmlformats.org/officeDocument/2006/relationships/oleObject" Target="file:///D:\Univer\Masters%20Thesis%20Data\Excel%20by%20month\All%20scenario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57;&#1086;&#1094;-&#1077;&#1082;&#1086;&#1085;&#1086;&#1084;%20&#1088;&#1086;&#1079;&#1074;&#1080;&#1090;&#1086;&#1082;\&#1056;&#1086;&#1079;&#1088;&#1072;&#1093;&#1091;&#1085;&#1086;&#1082;%20&#1057;&#1086;&#1094;-&#1077;&#1082;&#1086;&#1085;&#1086;&#108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57;&#1086;&#1094;-&#1077;&#1082;&#1086;&#1085;&#1086;&#1084;%20&#1088;&#1086;&#1079;&#1074;&#1080;&#1090;&#1086;&#1082;\&#1056;&#1086;&#1079;&#1088;&#1072;&#1093;&#1091;&#1085;&#1086;&#1082;%20&#1057;&#1086;&#1094;-&#1077;&#1082;&#1086;&#1085;&#1086;&#108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57;&#1086;&#1094;-&#1077;&#1082;&#1086;&#1085;&#1086;&#1084;%20&#1088;&#1086;&#1079;&#1074;&#1080;&#1090;&#1086;&#1082;\&#1056;&#1086;&#1079;&#1088;&#1072;&#1093;&#1091;&#1085;&#1086;&#1082;%20&#1057;&#1086;&#1094;-&#1077;&#1082;&#1086;&#1085;&#1086;&#108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57;&#1086;&#1094;-&#1077;&#1082;&#1086;&#1085;&#1086;&#1084;%20&#1088;&#1086;&#1079;&#1074;&#1080;&#1090;&#1086;&#1082;\&#1056;&#1086;&#1079;&#1088;&#1072;&#1093;&#1091;&#1085;&#1086;&#1082;%20&#1057;&#1086;&#1094;-&#1077;&#1082;&#1086;&#1085;&#1086;&#108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6;&#1072;&#1073;&#1086;&#1090;&#1072;\&#1055;&#1044;&#1057;&#1045;&#1056;&#1050;\02_&#1055;&#1044;&#1057;&#1045;&#1056;&#1050;%20&#1046;&#1080;&#1090;&#1086;&#1084;&#1080;&#1088;\&#1058;&#1077;&#1082;&#1089;&#1090;%20&#1055;&#1044;&#1057;&#1045;&#1056;&#1050;\&#1057;&#1086;&#1094;-&#1077;&#1082;&#1086;&#1085;&#1086;&#1084;%20&#1088;&#1086;&#1079;&#1074;&#1080;&#1090;&#1086;&#1082;\&#1056;&#1086;&#1079;&#1088;&#1072;&#1093;&#1091;&#1085;&#1086;&#1082;%20&#1057;&#1086;&#1094;-&#1077;&#1082;&#1086;&#1085;&#1086;&#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200"/>
              <a:t>Відносна зміна середньомісячної температури повітря</a:t>
            </a:r>
            <a:br>
              <a:rPr lang="uk-UA" sz="1200"/>
            </a:br>
            <a:r>
              <a:rPr lang="uk-UA" sz="1200"/>
              <a:t>(</a:t>
            </a:r>
            <a:r>
              <a:rPr lang="de-DE" sz="1200"/>
              <a:t>RCP </a:t>
            </a:r>
            <a:r>
              <a:rPr lang="uk-UA" sz="1200"/>
              <a:t>4</a:t>
            </a:r>
            <a:r>
              <a:rPr lang="de-DE" sz="1200"/>
              <a:t>,5)</a:t>
            </a:r>
          </a:p>
        </c:rich>
      </c:tx>
      <c:overlay val="0"/>
      <c:spPr>
        <a:noFill/>
        <a:ln>
          <a:noFill/>
        </a:ln>
        <a:effectLst/>
      </c:spPr>
    </c:title>
    <c:autoTitleDeleted val="0"/>
    <c:plotArea>
      <c:layout/>
      <c:lineChart>
        <c:grouping val="standard"/>
        <c:varyColors val="0"/>
        <c:ser>
          <c:idx val="0"/>
          <c:order val="0"/>
          <c:tx>
            <c:strRef>
              <c:f>Аркуш1!$B$11</c:f>
              <c:strCache>
                <c:ptCount val="1"/>
                <c:pt idx="0">
                  <c:v>2011-2040</c:v>
                </c:pt>
              </c:strCache>
            </c:strRef>
          </c:tx>
          <c:spPr>
            <a:ln w="28575" cap="rnd">
              <a:solidFill>
                <a:schemeClr val="accent6"/>
              </a:solidFill>
              <a:round/>
            </a:ln>
            <a:effectLst/>
          </c:spPr>
          <c:marker>
            <c:symbol val="square"/>
            <c:size val="6"/>
            <c:spPr>
              <a:solidFill>
                <a:schemeClr val="accent6"/>
              </a:solidFill>
              <a:ln w="9525">
                <a:solidFill>
                  <a:schemeClr val="accent6"/>
                </a:solidFill>
              </a:ln>
              <a:effectLst/>
            </c:spPr>
          </c:marker>
          <c:val>
            <c:numRef>
              <c:f>Аркуш1!$C$11:$N$11</c:f>
              <c:numCache>
                <c:formatCode>0.0</c:formatCode>
                <c:ptCount val="12"/>
                <c:pt idx="0">
                  <c:v>4.1144534863298405</c:v>
                </c:pt>
                <c:pt idx="1">
                  <c:v>2.0193685213827326</c:v>
                </c:pt>
                <c:pt idx="2">
                  <c:v>0.45255312920789531</c:v>
                </c:pt>
                <c:pt idx="3">
                  <c:v>1.3792143241245141</c:v>
                </c:pt>
                <c:pt idx="4">
                  <c:v>0.59442011591829291</c:v>
                </c:pt>
                <c:pt idx="5">
                  <c:v>2.6034482758660736E-2</c:v>
                </c:pt>
                <c:pt idx="6">
                  <c:v>0.84767099896571141</c:v>
                </c:pt>
                <c:pt idx="7">
                  <c:v>1.4267408231368295</c:v>
                </c:pt>
                <c:pt idx="8">
                  <c:v>1.1900085366673046</c:v>
                </c:pt>
                <c:pt idx="9">
                  <c:v>1.2601012496015853</c:v>
                </c:pt>
                <c:pt idx="10">
                  <c:v>1.9055975331047861</c:v>
                </c:pt>
                <c:pt idx="11">
                  <c:v>1.6631291103175054</c:v>
                </c:pt>
              </c:numCache>
            </c:numRef>
          </c:val>
          <c:smooth val="0"/>
          <c:extLst>
            <c:ext xmlns:c16="http://schemas.microsoft.com/office/drawing/2014/chart" uri="{C3380CC4-5D6E-409C-BE32-E72D297353CC}">
              <c16:uniqueId val="{00000000-6350-4904-8A46-C84A5AB9A900}"/>
            </c:ext>
          </c:extLst>
        </c:ser>
        <c:ser>
          <c:idx val="1"/>
          <c:order val="1"/>
          <c:tx>
            <c:strRef>
              <c:f>Аркуш1!$B$12</c:f>
              <c:strCache>
                <c:ptCount val="1"/>
                <c:pt idx="0">
                  <c:v>2041-2070</c:v>
                </c:pt>
              </c:strCache>
            </c:strRef>
          </c:tx>
          <c:spPr>
            <a:ln w="28575" cap="rnd">
              <a:solidFill>
                <a:schemeClr val="accent5"/>
              </a:solidFill>
              <a:round/>
            </a:ln>
            <a:effectLst/>
          </c:spPr>
          <c:marker>
            <c:symbol val="circle"/>
            <c:size val="6"/>
            <c:spPr>
              <a:solidFill>
                <a:schemeClr val="accent5"/>
              </a:solidFill>
              <a:ln w="9525">
                <a:solidFill>
                  <a:schemeClr val="accent5"/>
                </a:solidFill>
              </a:ln>
              <a:effectLst/>
            </c:spPr>
          </c:marker>
          <c:val>
            <c:numRef>
              <c:f>Аркуш1!$C$12:$N$12</c:f>
              <c:numCache>
                <c:formatCode>0.0</c:formatCode>
                <c:ptCount val="12"/>
                <c:pt idx="0">
                  <c:v>3.1233003532189776</c:v>
                </c:pt>
                <c:pt idx="1">
                  <c:v>3.2067884721216506</c:v>
                </c:pt>
                <c:pt idx="2">
                  <c:v>2.4455916905723694</c:v>
                </c:pt>
                <c:pt idx="3">
                  <c:v>2.2185898030516906</c:v>
                </c:pt>
                <c:pt idx="4">
                  <c:v>1.3105398786175435</c:v>
                </c:pt>
                <c:pt idx="5">
                  <c:v>-0.18622605363981393</c:v>
                </c:pt>
                <c:pt idx="6">
                  <c:v>0.87302324219898331</c:v>
                </c:pt>
                <c:pt idx="7">
                  <c:v>1.8273878383388977</c:v>
                </c:pt>
                <c:pt idx="8">
                  <c:v>1.6062441688511881</c:v>
                </c:pt>
                <c:pt idx="9">
                  <c:v>2.0578135224973844</c:v>
                </c:pt>
                <c:pt idx="10">
                  <c:v>1.9612105599247152</c:v>
                </c:pt>
                <c:pt idx="11">
                  <c:v>3.122973381730187</c:v>
                </c:pt>
              </c:numCache>
            </c:numRef>
          </c:val>
          <c:smooth val="0"/>
          <c:extLst>
            <c:ext xmlns:c16="http://schemas.microsoft.com/office/drawing/2014/chart" uri="{C3380CC4-5D6E-409C-BE32-E72D297353CC}">
              <c16:uniqueId val="{00000001-6350-4904-8A46-C84A5AB9A900}"/>
            </c:ext>
          </c:extLst>
        </c:ser>
        <c:ser>
          <c:idx val="2"/>
          <c:order val="2"/>
          <c:tx>
            <c:strRef>
              <c:f>Аркуш1!$B$13</c:f>
              <c:strCache>
                <c:ptCount val="1"/>
                <c:pt idx="0">
                  <c:v>2071-2100</c:v>
                </c:pt>
              </c:strCache>
            </c:strRef>
          </c:tx>
          <c:spPr>
            <a:ln w="28575" cap="rnd">
              <a:solidFill>
                <a:schemeClr val="accent4"/>
              </a:solidFill>
              <a:round/>
            </a:ln>
            <a:effectLst/>
          </c:spPr>
          <c:marker>
            <c:symbol val="triangle"/>
            <c:size val="6"/>
            <c:spPr>
              <a:solidFill>
                <a:schemeClr val="accent4"/>
              </a:solidFill>
              <a:ln w="9525">
                <a:solidFill>
                  <a:schemeClr val="accent4"/>
                </a:solidFill>
              </a:ln>
              <a:effectLst/>
            </c:spPr>
          </c:marker>
          <c:val>
            <c:numRef>
              <c:f>Аркуш1!$C$13:$N$13</c:f>
              <c:numCache>
                <c:formatCode>0.0</c:formatCode>
                <c:ptCount val="12"/>
                <c:pt idx="0">
                  <c:v>3.2954126619144648</c:v>
                </c:pt>
                <c:pt idx="1">
                  <c:v>1.9353880237344927</c:v>
                </c:pt>
                <c:pt idx="2">
                  <c:v>0.5935752099361622</c:v>
                </c:pt>
                <c:pt idx="3">
                  <c:v>1.5397371805124138</c:v>
                </c:pt>
                <c:pt idx="4">
                  <c:v>2.0871653117296991</c:v>
                </c:pt>
                <c:pt idx="5">
                  <c:v>0.48650416171225835</c:v>
                </c:pt>
                <c:pt idx="6">
                  <c:v>0.15199694222324933</c:v>
                </c:pt>
                <c:pt idx="7">
                  <c:v>2.0647481876414631</c:v>
                </c:pt>
                <c:pt idx="8">
                  <c:v>2.0850017986570095</c:v>
                </c:pt>
                <c:pt idx="9">
                  <c:v>2.5352952071278372</c:v>
                </c:pt>
                <c:pt idx="10">
                  <c:v>1.3420236792271238</c:v>
                </c:pt>
                <c:pt idx="11">
                  <c:v>2.1564907637510782</c:v>
                </c:pt>
              </c:numCache>
            </c:numRef>
          </c:val>
          <c:smooth val="0"/>
          <c:extLst>
            <c:ext xmlns:c16="http://schemas.microsoft.com/office/drawing/2014/chart" uri="{C3380CC4-5D6E-409C-BE32-E72D297353CC}">
              <c16:uniqueId val="{00000002-6350-4904-8A46-C84A5AB9A900}"/>
            </c:ext>
          </c:extLst>
        </c:ser>
        <c:dLbls>
          <c:showLegendKey val="0"/>
          <c:showVal val="0"/>
          <c:showCatName val="0"/>
          <c:showSerName val="0"/>
          <c:showPercent val="0"/>
          <c:showBubbleSize val="0"/>
        </c:dLbls>
        <c:marker val="1"/>
        <c:smooth val="0"/>
        <c:axId val="1675572176"/>
        <c:axId val="1675574896"/>
      </c:lineChart>
      <c:catAx>
        <c:axId val="1675572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uk-UA"/>
                  <a:t>Місяці</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74896"/>
        <c:crosses val="autoZero"/>
        <c:auto val="1"/>
        <c:lblAlgn val="ctr"/>
        <c:lblOffset val="100"/>
        <c:noMultiLvlLbl val="0"/>
      </c:catAx>
      <c:valAx>
        <c:axId val="1675574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Δ</a:t>
                </a:r>
                <a:r>
                  <a:rPr lang="de-DE"/>
                  <a:t>T , °</a:t>
                </a:r>
                <a:r>
                  <a:rPr lang="uk-UA"/>
                  <a:t>С</a:t>
                </a: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72176"/>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b="1" i="0" baseline="0">
                <a:effectLst/>
              </a:rPr>
              <a:t>Енергоспоживання КП "ЖКТЕ" за період 2010-2020 рр.</a:t>
            </a:r>
            <a:endParaRPr lang="ru-RU" sz="1100">
              <a:effectLst/>
            </a:endParaRPr>
          </a:p>
        </c:rich>
      </c:tx>
      <c:overlay val="0"/>
    </c:title>
    <c:autoTitleDeleted val="0"/>
    <c:plotArea>
      <c:layout/>
      <c:barChart>
        <c:barDir val="col"/>
        <c:grouping val="clustered"/>
        <c:varyColors val="0"/>
        <c:ser>
          <c:idx val="0"/>
          <c:order val="0"/>
          <c:tx>
            <c:strRef>
              <c:f>Тепло!$C$40</c:f>
              <c:strCache>
                <c:ptCount val="1"/>
                <c:pt idx="0">
                  <c:v>Природний газ, тис. куб.м</c:v>
                </c:pt>
              </c:strCache>
            </c:strRef>
          </c:tx>
          <c:invertIfNegative val="0"/>
          <c:cat>
            <c:numRef>
              <c:f>Тепло!$B$41:$B$51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Тепло!$C$41:$C$51</c:f>
              <c:numCache>
                <c:formatCode>General</c:formatCode>
                <c:ptCount val="11"/>
                <c:pt idx="0">
                  <c:v>96859.4</c:v>
                </c:pt>
                <c:pt idx="1">
                  <c:v>89004.6</c:v>
                </c:pt>
                <c:pt idx="2">
                  <c:v>99277.7</c:v>
                </c:pt>
                <c:pt idx="3">
                  <c:v>89041.600000000006</c:v>
                </c:pt>
                <c:pt idx="4">
                  <c:v>75338.600000000006</c:v>
                </c:pt>
                <c:pt idx="5">
                  <c:v>61147.7</c:v>
                </c:pt>
                <c:pt idx="6">
                  <c:v>69197</c:v>
                </c:pt>
                <c:pt idx="7">
                  <c:v>65157.7</c:v>
                </c:pt>
                <c:pt idx="8">
                  <c:v>70102.3</c:v>
                </c:pt>
                <c:pt idx="9">
                  <c:v>59780</c:v>
                </c:pt>
                <c:pt idx="10">
                  <c:v>57700</c:v>
                </c:pt>
              </c:numCache>
            </c:numRef>
          </c:val>
          <c:extLst>
            <c:ext xmlns:c16="http://schemas.microsoft.com/office/drawing/2014/chart" uri="{C3380CC4-5D6E-409C-BE32-E72D297353CC}">
              <c16:uniqueId val="{00000000-2809-437B-825A-45EE9E9102A8}"/>
            </c:ext>
          </c:extLst>
        </c:ser>
        <c:dLbls>
          <c:showLegendKey val="0"/>
          <c:showVal val="0"/>
          <c:showCatName val="0"/>
          <c:showSerName val="0"/>
          <c:showPercent val="0"/>
          <c:showBubbleSize val="0"/>
        </c:dLbls>
        <c:gapWidth val="150"/>
        <c:axId val="1874069344"/>
        <c:axId val="1874066624"/>
      </c:barChart>
      <c:lineChart>
        <c:grouping val="standard"/>
        <c:varyColors val="0"/>
        <c:ser>
          <c:idx val="1"/>
          <c:order val="1"/>
          <c:tx>
            <c:strRef>
              <c:f>Тепло!$D$40</c:f>
              <c:strCache>
                <c:ptCount val="1"/>
                <c:pt idx="0">
                  <c:v>Електроенергія, тис. кВт.год</c:v>
                </c:pt>
              </c:strCache>
            </c:strRef>
          </c:tx>
          <c:marker>
            <c:symbol val="circle"/>
            <c:size val="7"/>
          </c:marker>
          <c:cat>
            <c:numRef>
              <c:f>Тепло!$B$41:$B$51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Тепло!$D$41:$D$51</c:f>
              <c:numCache>
                <c:formatCode>General</c:formatCode>
                <c:ptCount val="11"/>
                <c:pt idx="0">
                  <c:v>21808.5</c:v>
                </c:pt>
                <c:pt idx="1">
                  <c:v>20955</c:v>
                </c:pt>
                <c:pt idx="2">
                  <c:v>22305.3</c:v>
                </c:pt>
                <c:pt idx="3">
                  <c:v>20257.8</c:v>
                </c:pt>
                <c:pt idx="4">
                  <c:v>18720.3</c:v>
                </c:pt>
                <c:pt idx="5">
                  <c:v>18891.2</c:v>
                </c:pt>
                <c:pt idx="6">
                  <c:v>18343.400000000001</c:v>
                </c:pt>
                <c:pt idx="7">
                  <c:v>17690</c:v>
                </c:pt>
                <c:pt idx="8">
                  <c:v>17910.7</c:v>
                </c:pt>
                <c:pt idx="9">
                  <c:v>17131.8</c:v>
                </c:pt>
                <c:pt idx="10" formatCode="0.0">
                  <c:v>16742.933000000001</c:v>
                </c:pt>
              </c:numCache>
            </c:numRef>
          </c:val>
          <c:smooth val="0"/>
          <c:extLst>
            <c:ext xmlns:c16="http://schemas.microsoft.com/office/drawing/2014/chart" uri="{C3380CC4-5D6E-409C-BE32-E72D297353CC}">
              <c16:uniqueId val="{00000001-2809-437B-825A-45EE9E9102A8}"/>
            </c:ext>
          </c:extLst>
        </c:ser>
        <c:dLbls>
          <c:showLegendKey val="0"/>
          <c:showVal val="0"/>
          <c:showCatName val="0"/>
          <c:showSerName val="0"/>
          <c:showPercent val="0"/>
          <c:showBubbleSize val="0"/>
        </c:dLbls>
        <c:marker val="1"/>
        <c:smooth val="0"/>
        <c:axId val="1874067168"/>
        <c:axId val="1874068800"/>
      </c:lineChart>
      <c:catAx>
        <c:axId val="1874069344"/>
        <c:scaling>
          <c:orientation val="minMax"/>
        </c:scaling>
        <c:delete val="0"/>
        <c:axPos val="b"/>
        <c:numFmt formatCode="General" sourceLinked="1"/>
        <c:majorTickMark val="out"/>
        <c:minorTickMark val="none"/>
        <c:tickLblPos val="nextTo"/>
        <c:crossAx val="1874066624"/>
        <c:crosses val="autoZero"/>
        <c:auto val="1"/>
        <c:lblAlgn val="ctr"/>
        <c:lblOffset val="100"/>
        <c:noMultiLvlLbl val="0"/>
      </c:catAx>
      <c:valAx>
        <c:axId val="1874066624"/>
        <c:scaling>
          <c:orientation val="minMax"/>
        </c:scaling>
        <c:delete val="0"/>
        <c:axPos val="l"/>
        <c:majorGridlines/>
        <c:numFmt formatCode="General" sourceLinked="1"/>
        <c:majorTickMark val="out"/>
        <c:minorTickMark val="none"/>
        <c:tickLblPos val="nextTo"/>
        <c:crossAx val="1874069344"/>
        <c:crosses val="autoZero"/>
        <c:crossBetween val="between"/>
      </c:valAx>
      <c:valAx>
        <c:axId val="1874068800"/>
        <c:scaling>
          <c:orientation val="minMax"/>
        </c:scaling>
        <c:delete val="0"/>
        <c:axPos val="r"/>
        <c:numFmt formatCode="General" sourceLinked="1"/>
        <c:majorTickMark val="out"/>
        <c:minorTickMark val="none"/>
        <c:tickLblPos val="nextTo"/>
        <c:crossAx val="1874067168"/>
        <c:crosses val="max"/>
        <c:crossBetween val="between"/>
      </c:valAx>
      <c:catAx>
        <c:axId val="1874067168"/>
        <c:scaling>
          <c:orientation val="minMax"/>
        </c:scaling>
        <c:delete val="1"/>
        <c:axPos val="b"/>
        <c:numFmt formatCode="General" sourceLinked="1"/>
        <c:majorTickMark val="out"/>
        <c:minorTickMark val="none"/>
        <c:tickLblPos val="nextTo"/>
        <c:crossAx val="1874068800"/>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Кількість тепла,</a:t>
            </a:r>
            <a:r>
              <a:rPr lang="ru-RU" sz="1100" baseline="0">
                <a:latin typeface="Times New Roman" panose="02020603050405020304" pitchFamily="18" charset="0"/>
                <a:cs typeface="Times New Roman" panose="02020603050405020304" pitchFamily="18" charset="0"/>
              </a:rPr>
              <a:t> що надана споживачам </a:t>
            </a:r>
            <a:r>
              <a:rPr lang="uk-UA" sz="1100" b="1" i="0" u="none" strike="noStrike" baseline="0">
                <a:effectLst/>
                <a:latin typeface="Times New Roman" panose="02020603050405020304" pitchFamily="18" charset="0"/>
                <a:cs typeface="Times New Roman" panose="02020603050405020304" pitchFamily="18" charset="0"/>
              </a:rPr>
              <a:t>КП «Житомир­теплокомуненерго»  протягом періоду 2010-2020 рр.</a:t>
            </a:r>
            <a:r>
              <a:rPr lang="ru-RU" sz="1100">
                <a:latin typeface="Times New Roman" panose="02020603050405020304" pitchFamily="18" charset="0"/>
                <a:cs typeface="Times New Roman" panose="02020603050405020304" pitchFamily="18" charset="0"/>
              </a:rPr>
              <a:t>, Гкал</a:t>
            </a:r>
          </a:p>
        </c:rich>
      </c:tx>
      <c:overlay val="0"/>
    </c:title>
    <c:autoTitleDeleted val="0"/>
    <c:plotArea>
      <c:layout/>
      <c:barChart>
        <c:barDir val="col"/>
        <c:grouping val="clustered"/>
        <c:varyColors val="0"/>
        <c:ser>
          <c:idx val="0"/>
          <c:order val="0"/>
          <c:tx>
            <c:strRef>
              <c:f>Тепло!$C$113</c:f>
              <c:strCache>
                <c:ptCount val="1"/>
                <c:pt idx="0">
                  <c:v>Корисний відпуск власним споживачам, Гкал</c:v>
                </c:pt>
              </c:strCache>
            </c:strRef>
          </c:tx>
          <c:spPr>
            <a:solidFill>
              <a:schemeClr val="accent6"/>
            </a:solidFill>
            <a:ln>
              <a:solidFill>
                <a:schemeClr val="tx1"/>
              </a:solidFill>
            </a:ln>
          </c:spPr>
          <c:invertIfNegative val="0"/>
          <c:dLbls>
            <c:numFmt formatCode="#,##0" sourceLinked="0"/>
            <c:spPr>
              <a:noFill/>
              <a:ln>
                <a:noFill/>
              </a:ln>
              <a:effectLst/>
            </c:spPr>
            <c:txPr>
              <a:bodyPr wrap="square" lIns="38100" tIns="19050" rIns="38100" bIns="19050" anchor="ctr">
                <a:spAutoFit/>
              </a:bodyPr>
              <a:lstStyle/>
              <a:p>
                <a:pPr>
                  <a:defRPr sz="10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Тепло!$C$106:$M$106</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Тепло!$C$114:$M$114</c:f>
              <c:numCache>
                <c:formatCode>General</c:formatCode>
                <c:ptCount val="11"/>
                <c:pt idx="0">
                  <c:v>586635</c:v>
                </c:pt>
                <c:pt idx="1">
                  <c:v>554526</c:v>
                </c:pt>
                <c:pt idx="2">
                  <c:v>619581</c:v>
                </c:pt>
                <c:pt idx="3">
                  <c:v>549374</c:v>
                </c:pt>
                <c:pt idx="4">
                  <c:v>470387</c:v>
                </c:pt>
                <c:pt idx="5">
                  <c:v>391533</c:v>
                </c:pt>
                <c:pt idx="6">
                  <c:v>443133</c:v>
                </c:pt>
                <c:pt idx="7">
                  <c:v>423816</c:v>
                </c:pt>
                <c:pt idx="8">
                  <c:v>456797</c:v>
                </c:pt>
                <c:pt idx="9">
                  <c:v>393333</c:v>
                </c:pt>
                <c:pt idx="10">
                  <c:v>385073</c:v>
                </c:pt>
              </c:numCache>
            </c:numRef>
          </c:val>
          <c:extLst>
            <c:ext xmlns:c16="http://schemas.microsoft.com/office/drawing/2014/chart" uri="{C3380CC4-5D6E-409C-BE32-E72D297353CC}">
              <c16:uniqueId val="{00000000-2754-4150-BB2D-3BA01706A586}"/>
            </c:ext>
          </c:extLst>
        </c:ser>
        <c:dLbls>
          <c:showLegendKey val="0"/>
          <c:showVal val="0"/>
          <c:showCatName val="0"/>
          <c:showSerName val="0"/>
          <c:showPercent val="0"/>
          <c:showBubbleSize val="0"/>
        </c:dLbls>
        <c:gapWidth val="150"/>
        <c:axId val="1874066080"/>
        <c:axId val="1874068256"/>
      </c:barChart>
      <c:catAx>
        <c:axId val="1874066080"/>
        <c:scaling>
          <c:orientation val="minMax"/>
        </c:scaling>
        <c:delete val="0"/>
        <c:axPos val="b"/>
        <c:numFmt formatCode="General" sourceLinked="1"/>
        <c:majorTickMark val="out"/>
        <c:minorTickMark val="none"/>
        <c:tickLblPos val="nextTo"/>
        <c:crossAx val="1874068256"/>
        <c:crosses val="autoZero"/>
        <c:auto val="1"/>
        <c:lblAlgn val="ctr"/>
        <c:lblOffset val="100"/>
        <c:noMultiLvlLbl val="0"/>
      </c:catAx>
      <c:valAx>
        <c:axId val="1874068256"/>
        <c:scaling>
          <c:orientation val="minMax"/>
        </c:scaling>
        <c:delete val="1"/>
        <c:axPos val="l"/>
        <c:majorGridlines/>
        <c:numFmt formatCode="General" sourceLinked="1"/>
        <c:majorTickMark val="out"/>
        <c:minorTickMark val="none"/>
        <c:tickLblPos val="nextTo"/>
        <c:crossAx val="1874066080"/>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Розподіл споживання тепла за типами споживачів, КП</a:t>
            </a:r>
            <a:r>
              <a:rPr lang="ru-RU" sz="1000" baseline="0"/>
              <a:t> "ЖКТЕ" </a:t>
            </a:r>
            <a:r>
              <a:rPr lang="ru-RU" sz="1000"/>
              <a:t>у 2010 р.</a:t>
            </a:r>
          </a:p>
        </c:rich>
      </c:tx>
      <c:overlay val="0"/>
    </c:title>
    <c:autoTitleDeleted val="0"/>
    <c:plotArea>
      <c:layout/>
      <c:pieChart>
        <c:varyColors val="1"/>
        <c:ser>
          <c:idx val="0"/>
          <c:order val="0"/>
          <c:dPt>
            <c:idx val="0"/>
            <c:bubble3D val="0"/>
            <c:spPr>
              <a:solidFill>
                <a:schemeClr val="accent4">
                  <a:lumMod val="60000"/>
                  <a:lumOff val="40000"/>
                </a:schemeClr>
              </a:solidFill>
            </c:spPr>
            <c:extLst>
              <c:ext xmlns:c16="http://schemas.microsoft.com/office/drawing/2014/chart" uri="{C3380CC4-5D6E-409C-BE32-E72D297353CC}">
                <c16:uniqueId val="{00000001-6A3D-45C7-9035-8179736E4AE5}"/>
              </c:ext>
            </c:extLst>
          </c:dPt>
          <c:dPt>
            <c:idx val="1"/>
            <c:bubble3D val="0"/>
            <c:spPr>
              <a:solidFill>
                <a:schemeClr val="accent1">
                  <a:lumMod val="60000"/>
                  <a:lumOff val="40000"/>
                </a:schemeClr>
              </a:solidFill>
            </c:spPr>
            <c:extLst>
              <c:ext xmlns:c16="http://schemas.microsoft.com/office/drawing/2014/chart" uri="{C3380CC4-5D6E-409C-BE32-E72D297353CC}">
                <c16:uniqueId val="{00000003-6A3D-45C7-9035-8179736E4AE5}"/>
              </c:ext>
            </c:extLst>
          </c:dPt>
          <c:dPt>
            <c:idx val="3"/>
            <c:bubble3D val="0"/>
            <c:spPr>
              <a:solidFill>
                <a:schemeClr val="accent2">
                  <a:lumMod val="60000"/>
                  <a:lumOff val="40000"/>
                </a:schemeClr>
              </a:solidFill>
            </c:spPr>
            <c:extLst>
              <c:ext xmlns:c16="http://schemas.microsoft.com/office/drawing/2014/chart" uri="{C3380CC4-5D6E-409C-BE32-E72D297353CC}">
                <c16:uniqueId val="{00000005-6A3D-45C7-9035-8179736E4AE5}"/>
              </c:ext>
            </c:extLst>
          </c:dPt>
          <c:dLbls>
            <c:dLbl>
              <c:idx val="0"/>
              <c:layout>
                <c:manualLayout>
                  <c:x val="-7.6227034120734907E-2"/>
                  <c:y val="0.1543631525226013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A3D-45C7-9035-8179736E4AE5}"/>
                </c:ext>
              </c:extLst>
            </c:dLbl>
            <c:dLbl>
              <c:idx val="1"/>
              <c:layout>
                <c:manualLayout>
                  <c:x val="8.0843832020997375E-2"/>
                  <c:y val="-0.2099165208515602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A3D-45C7-9035-8179736E4AE5}"/>
                </c:ext>
              </c:extLst>
            </c:dLbl>
            <c:dLbl>
              <c:idx val="2"/>
              <c:layout>
                <c:manualLayout>
                  <c:x val="-5.6969160104986878E-2"/>
                  <c:y val="-1.8857538641003208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6A3D-45C7-9035-8179736E4AE5}"/>
                </c:ext>
              </c:extLst>
            </c:dLbl>
            <c:dLbl>
              <c:idx val="3"/>
              <c:layout>
                <c:manualLayout>
                  <c:x val="-8.882764654418198E-3"/>
                  <c:y val="-2.049285505978419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A3D-45C7-9035-8179736E4AE5}"/>
                </c:ext>
              </c:extLst>
            </c:dLbl>
            <c:numFmt formatCode="0.0%" sourceLinked="0"/>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Тепло!$B$133:$B$136</c:f>
              <c:strCache>
                <c:ptCount val="4"/>
                <c:pt idx="0">
                  <c:v>Бюджетні установи</c:v>
                </c:pt>
                <c:pt idx="1">
                  <c:v>Житлові будівлі</c:v>
                </c:pt>
                <c:pt idx="2">
                  <c:v>Релігійні установи</c:v>
                </c:pt>
                <c:pt idx="3">
                  <c:v>Інші будівлі</c:v>
                </c:pt>
              </c:strCache>
            </c:strRef>
          </c:cat>
          <c:val>
            <c:numRef>
              <c:f>Тепло!$C$133:$C$136</c:f>
              <c:numCache>
                <c:formatCode>0</c:formatCode>
                <c:ptCount val="4"/>
                <c:pt idx="0">
                  <c:v>96400</c:v>
                </c:pt>
                <c:pt idx="1">
                  <c:v>461451</c:v>
                </c:pt>
                <c:pt idx="2">
                  <c:v>17</c:v>
                </c:pt>
                <c:pt idx="3">
                  <c:v>28767</c:v>
                </c:pt>
              </c:numCache>
            </c:numRef>
          </c:val>
          <c:extLst>
            <c:ext xmlns:c16="http://schemas.microsoft.com/office/drawing/2014/chart" uri="{C3380CC4-5D6E-409C-BE32-E72D297353CC}">
              <c16:uniqueId val="{00000007-6A3D-45C7-9035-8179736E4AE5}"/>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sz="1000"/>
          </a:pPr>
          <a:endParaRPr lang="ru-RU"/>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Розподіл споживання тепла за типами споживачів, КП</a:t>
            </a:r>
            <a:r>
              <a:rPr lang="ru-RU" sz="1000" baseline="0"/>
              <a:t> "ЖКТЕ" </a:t>
            </a:r>
            <a:r>
              <a:rPr lang="ru-RU" sz="1000"/>
              <a:t>у 20</a:t>
            </a:r>
            <a:r>
              <a:rPr lang="en-US" sz="1000"/>
              <a:t>2</a:t>
            </a:r>
            <a:r>
              <a:rPr lang="ru-RU" sz="1000"/>
              <a:t>0 р.</a:t>
            </a:r>
          </a:p>
        </c:rich>
      </c:tx>
      <c:overlay val="0"/>
    </c:title>
    <c:autoTitleDeleted val="0"/>
    <c:plotArea>
      <c:layout/>
      <c:pieChart>
        <c:varyColors val="1"/>
        <c:ser>
          <c:idx val="0"/>
          <c:order val="0"/>
          <c:dPt>
            <c:idx val="0"/>
            <c:bubble3D val="0"/>
            <c:spPr>
              <a:solidFill>
                <a:schemeClr val="accent4">
                  <a:lumMod val="60000"/>
                  <a:lumOff val="40000"/>
                </a:schemeClr>
              </a:solidFill>
            </c:spPr>
            <c:extLst>
              <c:ext xmlns:c16="http://schemas.microsoft.com/office/drawing/2014/chart" uri="{C3380CC4-5D6E-409C-BE32-E72D297353CC}">
                <c16:uniqueId val="{00000001-C11C-437C-9334-3D41F77C2BB7}"/>
              </c:ext>
            </c:extLst>
          </c:dPt>
          <c:dPt>
            <c:idx val="1"/>
            <c:bubble3D val="0"/>
            <c:spPr>
              <a:solidFill>
                <a:schemeClr val="accent1">
                  <a:lumMod val="60000"/>
                  <a:lumOff val="40000"/>
                </a:schemeClr>
              </a:solidFill>
            </c:spPr>
            <c:extLst>
              <c:ext xmlns:c16="http://schemas.microsoft.com/office/drawing/2014/chart" uri="{C3380CC4-5D6E-409C-BE32-E72D297353CC}">
                <c16:uniqueId val="{00000003-C11C-437C-9334-3D41F77C2BB7}"/>
              </c:ext>
            </c:extLst>
          </c:dPt>
          <c:dPt>
            <c:idx val="3"/>
            <c:bubble3D val="0"/>
            <c:spPr>
              <a:solidFill>
                <a:schemeClr val="accent2">
                  <a:lumMod val="60000"/>
                  <a:lumOff val="40000"/>
                </a:schemeClr>
              </a:solidFill>
            </c:spPr>
            <c:extLst>
              <c:ext xmlns:c16="http://schemas.microsoft.com/office/drawing/2014/chart" uri="{C3380CC4-5D6E-409C-BE32-E72D297353CC}">
                <c16:uniqueId val="{00000005-C11C-437C-9334-3D41F77C2BB7}"/>
              </c:ext>
            </c:extLst>
          </c:dPt>
          <c:dLbls>
            <c:dLbl>
              <c:idx val="0"/>
              <c:layout>
                <c:manualLayout>
                  <c:x val="-7.6227034120734907E-2"/>
                  <c:y val="0.1543631525226013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11C-437C-9334-3D41F77C2BB7}"/>
                </c:ext>
              </c:extLst>
            </c:dLbl>
            <c:dLbl>
              <c:idx val="1"/>
              <c:layout>
                <c:manualLayout>
                  <c:x val="8.0843832020997375E-2"/>
                  <c:y val="-0.2099165208515602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11C-437C-9334-3D41F77C2BB7}"/>
                </c:ext>
              </c:extLst>
            </c:dLbl>
            <c:dLbl>
              <c:idx val="2"/>
              <c:layout>
                <c:manualLayout>
                  <c:x val="-5.6969160104986878E-2"/>
                  <c:y val="-1.8857538641003208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C11C-437C-9334-3D41F77C2BB7}"/>
                </c:ext>
              </c:extLst>
            </c:dLbl>
            <c:dLbl>
              <c:idx val="3"/>
              <c:layout>
                <c:manualLayout>
                  <c:x val="-8.882764654418198E-3"/>
                  <c:y val="-2.049285505978419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11C-437C-9334-3D41F77C2BB7}"/>
                </c:ext>
              </c:extLst>
            </c:dLbl>
            <c:numFmt formatCode="0.0%" sourceLinked="0"/>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Тепло!$B$133:$B$136</c:f>
              <c:strCache>
                <c:ptCount val="4"/>
                <c:pt idx="0">
                  <c:v>Бюджетні установи</c:v>
                </c:pt>
                <c:pt idx="1">
                  <c:v>Житлові будівлі</c:v>
                </c:pt>
                <c:pt idx="2">
                  <c:v>Релігійні установи</c:v>
                </c:pt>
                <c:pt idx="3">
                  <c:v>Інші будівлі</c:v>
                </c:pt>
              </c:strCache>
            </c:strRef>
          </c:cat>
          <c:val>
            <c:numRef>
              <c:f>Тепло!$D$133:$D$136</c:f>
              <c:numCache>
                <c:formatCode>0</c:formatCode>
                <c:ptCount val="4"/>
                <c:pt idx="0">
                  <c:v>49695</c:v>
                </c:pt>
                <c:pt idx="1">
                  <c:v>323014</c:v>
                </c:pt>
                <c:pt idx="2">
                  <c:v>0</c:v>
                </c:pt>
                <c:pt idx="3">
                  <c:v>12347</c:v>
                </c:pt>
              </c:numCache>
            </c:numRef>
          </c:val>
          <c:extLst>
            <c:ext xmlns:c16="http://schemas.microsoft.com/office/drawing/2014/chart" uri="{C3380CC4-5D6E-409C-BE32-E72D297353CC}">
              <c16:uniqueId val="{00000007-C11C-437C-9334-3D41F77C2BB7}"/>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sz="1000"/>
          </a:pPr>
          <a:endParaRPr lang="ru-RU"/>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Обсяги спожитого природного газу в Житомирській міській територіальній громаді за період 2010-2020 рр., млн. куб.м</a:t>
            </a:r>
          </a:p>
        </c:rich>
      </c:tx>
      <c:overlay val="0"/>
    </c:title>
    <c:autoTitleDeleted val="0"/>
    <c:plotArea>
      <c:layout/>
      <c:barChart>
        <c:barDir val="col"/>
        <c:grouping val="clustered"/>
        <c:varyColors val="0"/>
        <c:ser>
          <c:idx val="0"/>
          <c:order val="0"/>
          <c:tx>
            <c:strRef>
              <c:f>Газ!$B$15</c:f>
              <c:strCache>
                <c:ptCount val="1"/>
                <c:pt idx="0">
                  <c:v>Природний газ, млн. куб.м</c:v>
                </c:pt>
              </c:strCache>
            </c:strRef>
          </c:tx>
          <c:spPr>
            <a:ln>
              <a:solidFill>
                <a:schemeClr val="tx1"/>
              </a:solidFill>
            </a:ln>
          </c:spPr>
          <c:invertIfNegative val="0"/>
          <c:dLbls>
            <c:spPr>
              <a:noFill/>
              <a:ln>
                <a:noFill/>
              </a:ln>
              <a:effectLst/>
            </c:spPr>
            <c:txPr>
              <a:bodyPr/>
              <a:lstStyle/>
              <a:p>
                <a:pPr>
                  <a:defRPr sz="11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Газ!$C$14:$M$14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Газ!$C$15:$M$15</c:f>
              <c:numCache>
                <c:formatCode>0.0</c:formatCode>
                <c:ptCount val="11"/>
                <c:pt idx="0">
                  <c:v>266.91140000000001</c:v>
                </c:pt>
                <c:pt idx="1">
                  <c:v>266.2647</c:v>
                </c:pt>
                <c:pt idx="2">
                  <c:v>259.512</c:v>
                </c:pt>
                <c:pt idx="3">
                  <c:v>219.31479999999999</c:v>
                </c:pt>
                <c:pt idx="4">
                  <c:v>183.8963</c:v>
                </c:pt>
                <c:pt idx="5">
                  <c:v>181.42439999999999</c:v>
                </c:pt>
                <c:pt idx="6">
                  <c:v>167.97582650999999</c:v>
                </c:pt>
                <c:pt idx="7">
                  <c:v>167.97582650999999</c:v>
                </c:pt>
                <c:pt idx="8">
                  <c:v>171.90969516999999</c:v>
                </c:pt>
                <c:pt idx="9">
                  <c:v>149.44174563999999</c:v>
                </c:pt>
                <c:pt idx="10">
                  <c:v>149.08658847999999</c:v>
                </c:pt>
              </c:numCache>
            </c:numRef>
          </c:val>
          <c:extLst>
            <c:ext xmlns:c16="http://schemas.microsoft.com/office/drawing/2014/chart" uri="{C3380CC4-5D6E-409C-BE32-E72D297353CC}">
              <c16:uniqueId val="{00000000-F661-41DF-AB23-4077761748EE}"/>
            </c:ext>
          </c:extLst>
        </c:ser>
        <c:dLbls>
          <c:showLegendKey val="0"/>
          <c:showVal val="0"/>
          <c:showCatName val="0"/>
          <c:showSerName val="0"/>
          <c:showPercent val="0"/>
          <c:showBubbleSize val="0"/>
        </c:dLbls>
        <c:gapWidth val="150"/>
        <c:axId val="1874064448"/>
        <c:axId val="1874069888"/>
      </c:barChart>
      <c:catAx>
        <c:axId val="1874064448"/>
        <c:scaling>
          <c:orientation val="minMax"/>
        </c:scaling>
        <c:delete val="0"/>
        <c:axPos val="b"/>
        <c:numFmt formatCode="General" sourceLinked="1"/>
        <c:majorTickMark val="out"/>
        <c:minorTickMark val="none"/>
        <c:tickLblPos val="nextTo"/>
        <c:crossAx val="1874069888"/>
        <c:crosses val="autoZero"/>
        <c:auto val="1"/>
        <c:lblAlgn val="ctr"/>
        <c:lblOffset val="100"/>
        <c:noMultiLvlLbl val="0"/>
      </c:catAx>
      <c:valAx>
        <c:axId val="1874069888"/>
        <c:scaling>
          <c:orientation val="minMax"/>
        </c:scaling>
        <c:delete val="1"/>
        <c:axPos val="l"/>
        <c:majorGridlines/>
        <c:numFmt formatCode="0.0" sourceLinked="1"/>
        <c:majorTickMark val="out"/>
        <c:minorTickMark val="none"/>
        <c:tickLblPos val="nextTo"/>
        <c:crossAx val="1874064448"/>
        <c:crosses val="autoZero"/>
        <c:crossBetween val="between"/>
      </c:valAx>
    </c:plotArea>
    <c:legend>
      <c:legendPos val="b"/>
      <c:layout>
        <c:manualLayout>
          <c:xMode val="edge"/>
          <c:yMode val="edge"/>
          <c:x val="0.32531531712703549"/>
          <c:y val="0.89291058368593601"/>
          <c:w val="0.34936936574592908"/>
          <c:h val="7.1502227701964308E-2"/>
        </c:manualLayout>
      </c:layout>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Структура споживання природного газу по Житомирській міській територіальній громаді станом на 2010 рік</a:t>
            </a:r>
          </a:p>
        </c:rich>
      </c:tx>
      <c:overlay val="0"/>
    </c:title>
    <c:autoTitleDeleted val="0"/>
    <c:plotArea>
      <c:layout>
        <c:manualLayout>
          <c:layoutTarget val="inner"/>
          <c:xMode val="edge"/>
          <c:yMode val="edge"/>
          <c:x val="0.17444660444701385"/>
          <c:y val="0.31559543108582017"/>
          <c:w val="0.31883716747194951"/>
          <c:h val="0.5323614259391819"/>
        </c:manualLayout>
      </c:layout>
      <c:pieChart>
        <c:varyColors val="1"/>
        <c:ser>
          <c:idx val="0"/>
          <c:order val="0"/>
          <c:dLbls>
            <c:dLbl>
              <c:idx val="0"/>
              <c:layout>
                <c:manualLayout>
                  <c:x val="-0.11971543227871262"/>
                  <c:y val="7.4793207667223416E-2"/>
                </c:manualLayout>
              </c:layout>
              <c:tx>
                <c:rich>
                  <a:bodyPr/>
                  <a:lstStyle/>
                  <a:p>
                    <a:r>
                      <a:rPr lang="en-US"/>
                      <a:t>36,2%</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FCCC-4308-BEA3-35BD32EE6F61}"/>
                </c:ext>
              </c:extLst>
            </c:dLbl>
            <c:dLbl>
              <c:idx val="1"/>
              <c:layout>
                <c:manualLayout>
                  <c:x val="6.2703641449633127E-2"/>
                  <c:y val="-0.17019895477080507"/>
                </c:manualLayout>
              </c:layout>
              <c:tx>
                <c:rich>
                  <a:bodyPr/>
                  <a:lstStyle/>
                  <a:p>
                    <a:r>
                      <a:rPr lang="en-US"/>
                      <a:t>35,8%</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CCC-4308-BEA3-35BD32EE6F61}"/>
                </c:ext>
              </c:extLst>
            </c:dLbl>
            <c:dLbl>
              <c:idx val="2"/>
              <c:layout>
                <c:manualLayout>
                  <c:x val="-2.5073272090988627E-2"/>
                  <c:y val="3.477362204724409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FCCC-4308-BEA3-35BD32EE6F61}"/>
                </c:ext>
              </c:extLst>
            </c:dLbl>
            <c:dLbl>
              <c:idx val="3"/>
              <c:layout>
                <c:manualLayout>
                  <c:x val="0.10823100349197091"/>
                  <c:y val="0.12158660091730958"/>
                </c:manualLayout>
              </c:layout>
              <c:tx>
                <c:rich>
                  <a:bodyPr/>
                  <a:lstStyle/>
                  <a:p>
                    <a:r>
                      <a:rPr lang="en-US"/>
                      <a:t>27,6%</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FCCC-4308-BEA3-35BD32EE6F61}"/>
                </c:ext>
              </c:extLst>
            </c:dLbl>
            <c:numFmt formatCode="0.0%" sourceLinked="0"/>
            <c:spPr>
              <a:noFill/>
              <a:ln>
                <a:noFill/>
              </a:ln>
              <a:effectLst/>
            </c:spPr>
            <c:txPr>
              <a:bodyPr/>
              <a:lstStyle/>
              <a:p>
                <a:pPr>
                  <a:defRPr sz="105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(Газ!$B$4,Газ!$B$6:$B$8)</c:f>
              <c:strCache>
                <c:ptCount val="4"/>
                <c:pt idx="0">
                  <c:v>Населення</c:v>
                </c:pt>
                <c:pt idx="1">
                  <c:v>КП "ЖКТЕ"</c:v>
                </c:pt>
                <c:pt idx="2">
                  <c:v>бюджетні установи</c:v>
                </c:pt>
                <c:pt idx="3">
                  <c:v>Інші споживачі (торгівля, промисловість та інші)</c:v>
                </c:pt>
              </c:strCache>
            </c:strRef>
          </c:cat>
          <c:val>
            <c:numRef>
              <c:f>(Газ!$C$4,Газ!$C$6:$C$8)</c:f>
              <c:numCache>
                <c:formatCode>0.0</c:formatCode>
                <c:ptCount val="4"/>
                <c:pt idx="0">
                  <c:v>94435</c:v>
                </c:pt>
                <c:pt idx="1">
                  <c:v>96800</c:v>
                </c:pt>
                <c:pt idx="2">
                  <c:v>1013.4</c:v>
                </c:pt>
                <c:pt idx="3">
                  <c:v>74603.600000000006</c:v>
                </c:pt>
              </c:numCache>
            </c:numRef>
          </c:val>
          <c:extLst>
            <c:ext xmlns:c16="http://schemas.microsoft.com/office/drawing/2014/chart" uri="{C3380CC4-5D6E-409C-BE32-E72D297353CC}">
              <c16:uniqueId val="{00000004-FCCC-4308-BEA3-35BD32EE6F61}"/>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3304235642913409"/>
          <c:y val="0.33621675047971944"/>
          <c:w val="0.31339341425443629"/>
          <c:h val="0.53313648293963256"/>
        </c:manualLayout>
      </c:layout>
      <c:overlay val="0"/>
      <c:txPr>
        <a:bodyPr/>
        <a:lstStyle/>
        <a:p>
          <a:pPr rtl="0">
            <a:defRPr sz="800"/>
          </a:pPr>
          <a:endParaRPr lang="ru-RU"/>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Структура споживання природного газу по м . Житомир станом на 20</a:t>
            </a:r>
            <a:r>
              <a:rPr lang="en-US">
                <a:latin typeface="Times New Roman" panose="02020603050405020304" pitchFamily="18" charset="0"/>
                <a:cs typeface="Times New Roman" panose="02020603050405020304" pitchFamily="18" charset="0"/>
              </a:rPr>
              <a:t>20</a:t>
            </a:r>
            <a:r>
              <a:rPr lang="ru-RU">
                <a:latin typeface="Times New Roman" panose="02020603050405020304" pitchFamily="18" charset="0"/>
                <a:cs typeface="Times New Roman" panose="02020603050405020304" pitchFamily="18" charset="0"/>
              </a:rPr>
              <a:t> рік</a:t>
            </a:r>
          </a:p>
        </c:rich>
      </c:tx>
      <c:overlay val="0"/>
    </c:title>
    <c:autoTitleDeleted val="0"/>
    <c:plotArea>
      <c:layout>
        <c:manualLayout>
          <c:layoutTarget val="inner"/>
          <c:xMode val="edge"/>
          <c:yMode val="edge"/>
          <c:x val="0.13908185344383867"/>
          <c:y val="0.29165103022577943"/>
          <c:w val="0.33609785825800453"/>
          <c:h val="0.56024947536916403"/>
        </c:manualLayout>
      </c:layout>
      <c:pieChart>
        <c:varyColors val="1"/>
        <c:ser>
          <c:idx val="0"/>
          <c:order val="0"/>
          <c:tx>
            <c:strRef>
              <c:f>Газ!$B$33</c:f>
              <c:strCache>
                <c:ptCount val="1"/>
                <c:pt idx="0">
                  <c:v>Структура споживання природного газу по м . Житомир станом на 2017 рік</c:v>
                </c:pt>
              </c:strCache>
            </c:strRef>
          </c:tx>
          <c:dLbls>
            <c:dLbl>
              <c:idx val="0"/>
              <c:layout>
                <c:manualLayout>
                  <c:x val="-0.10342154521128059"/>
                  <c:y val="9.62170866399014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563-4E1E-8130-22485CD850EC}"/>
                </c:ext>
              </c:extLst>
            </c:dLbl>
            <c:dLbl>
              <c:idx val="1"/>
              <c:layout>
                <c:manualLayout>
                  <c:x val="4.2046587926509185E-2"/>
                  <c:y val="-0.168871755613881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563-4E1E-8130-22485CD850EC}"/>
                </c:ext>
              </c:extLst>
            </c:dLbl>
            <c:dLbl>
              <c:idx val="2"/>
              <c:layout>
                <c:manualLayout>
                  <c:x val="-3.3863133371267486E-2"/>
                  <c:y val="-8.418524976787981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5563-4E1E-8130-22485CD850EC}"/>
                </c:ext>
              </c:extLst>
            </c:dLbl>
            <c:dLbl>
              <c:idx val="3"/>
              <c:layout>
                <c:manualLayout>
                  <c:x val="0.10616688538932631"/>
                  <c:y val="0.1225105715952173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563-4E1E-8130-22485CD850EC}"/>
                </c:ext>
              </c:extLst>
            </c:dLbl>
            <c:numFmt formatCode="0.0%" sourceLinked="0"/>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(Газ!$B$4,Газ!$B$6:$B$8)</c:f>
              <c:strCache>
                <c:ptCount val="4"/>
                <c:pt idx="0">
                  <c:v>Населення</c:v>
                </c:pt>
                <c:pt idx="1">
                  <c:v>КП "ЖКТЕ"</c:v>
                </c:pt>
                <c:pt idx="2">
                  <c:v>бюджетні установи</c:v>
                </c:pt>
                <c:pt idx="3">
                  <c:v>Інші споживачі (торгівля, промисловість та інші)</c:v>
                </c:pt>
              </c:strCache>
            </c:strRef>
          </c:cat>
          <c:val>
            <c:numRef>
              <c:f>(Газ!$L$4,Газ!$L$6:$L$8)</c:f>
              <c:numCache>
                <c:formatCode>General</c:formatCode>
                <c:ptCount val="4"/>
                <c:pt idx="0">
                  <c:v>50666.524980000002</c:v>
                </c:pt>
                <c:pt idx="1">
                  <c:v>57967.8</c:v>
                </c:pt>
                <c:pt idx="2" formatCode="0.0">
                  <c:v>791.6</c:v>
                </c:pt>
                <c:pt idx="3" formatCode="0.0">
                  <c:v>39660.663499999973</c:v>
                </c:pt>
              </c:numCache>
            </c:numRef>
          </c:val>
          <c:extLst>
            <c:ext xmlns:c16="http://schemas.microsoft.com/office/drawing/2014/chart" uri="{C3380CC4-5D6E-409C-BE32-E72D297353CC}">
              <c16:uniqueId val="{00000004-5563-4E1E-8130-22485CD850EC}"/>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sz="800"/>
          </a:pPr>
          <a:endParaRPr lang="ru-RU"/>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100">
              <a:latin typeface="Times New Roman" panose="02020603050405020304" pitchFamily="18" charset="0"/>
              <a:cs typeface="Times New Roman" panose="02020603050405020304" pitchFamily="18" charset="0"/>
            </a:defRPr>
          </a:pPr>
          <a:endParaRPr lang="ru-RU"/>
        </a:p>
      </c:txPr>
    </c:title>
    <c:autoTitleDeleted val="0"/>
    <c:plotArea>
      <c:layout/>
      <c:barChart>
        <c:barDir val="col"/>
        <c:grouping val="clustered"/>
        <c:varyColors val="0"/>
        <c:ser>
          <c:idx val="0"/>
          <c:order val="0"/>
          <c:tx>
            <c:strRef>
              <c:f>Електрика!$B$13</c:f>
              <c:strCache>
                <c:ptCount val="1"/>
                <c:pt idx="0">
                  <c:v>Загальне споживання електроенергії по м. Житомир за 2010, 2016-2020 рр., тис. МВт.год</c:v>
                </c:pt>
              </c:strCache>
            </c:strRef>
          </c:tx>
          <c:spPr>
            <a:ln>
              <a:solidFill>
                <a:schemeClr val="tx1"/>
              </a:solidFill>
            </a:ln>
          </c:spPr>
          <c:invertIfNegative val="0"/>
          <c:dLbls>
            <c:spPr>
              <a:noFill/>
              <a:ln>
                <a:noFill/>
              </a:ln>
              <a:effectLst/>
            </c:spPr>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Електрика!$B$15:$B$20</c:f>
              <c:numCache>
                <c:formatCode>General</c:formatCode>
                <c:ptCount val="6"/>
                <c:pt idx="0">
                  <c:v>2010</c:v>
                </c:pt>
                <c:pt idx="1">
                  <c:v>2016</c:v>
                </c:pt>
                <c:pt idx="2">
                  <c:v>2017</c:v>
                </c:pt>
                <c:pt idx="3">
                  <c:v>2018</c:v>
                </c:pt>
                <c:pt idx="4">
                  <c:v>2019</c:v>
                </c:pt>
                <c:pt idx="5">
                  <c:v>2020</c:v>
                </c:pt>
              </c:numCache>
            </c:numRef>
          </c:cat>
          <c:val>
            <c:numRef>
              <c:f>Електрика!$C$15:$C$20</c:f>
              <c:numCache>
                <c:formatCode>0.0</c:formatCode>
                <c:ptCount val="6"/>
                <c:pt idx="0" formatCode="#,##0.0">
                  <c:v>549.99961199999996</c:v>
                </c:pt>
                <c:pt idx="1">
                  <c:v>616.45379500000001</c:v>
                </c:pt>
                <c:pt idx="2">
                  <c:v>621.37326800000005</c:v>
                </c:pt>
                <c:pt idx="3">
                  <c:v>648.29687999999999</c:v>
                </c:pt>
                <c:pt idx="4">
                  <c:v>635.46115399999996</c:v>
                </c:pt>
                <c:pt idx="5">
                  <c:v>639.398098</c:v>
                </c:pt>
              </c:numCache>
            </c:numRef>
          </c:val>
          <c:extLst>
            <c:ext xmlns:c16="http://schemas.microsoft.com/office/drawing/2014/chart" uri="{C3380CC4-5D6E-409C-BE32-E72D297353CC}">
              <c16:uniqueId val="{00000000-5492-4F20-B1A4-913E749FD428}"/>
            </c:ext>
          </c:extLst>
        </c:ser>
        <c:dLbls>
          <c:showLegendKey val="0"/>
          <c:showVal val="0"/>
          <c:showCatName val="0"/>
          <c:showSerName val="0"/>
          <c:showPercent val="0"/>
          <c:showBubbleSize val="0"/>
        </c:dLbls>
        <c:gapWidth val="150"/>
        <c:axId val="1874070432"/>
        <c:axId val="1874070976"/>
      </c:barChart>
      <c:catAx>
        <c:axId val="187407043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874070976"/>
        <c:crosses val="autoZero"/>
        <c:auto val="1"/>
        <c:lblAlgn val="ctr"/>
        <c:lblOffset val="100"/>
        <c:noMultiLvlLbl val="0"/>
      </c:catAx>
      <c:valAx>
        <c:axId val="1874070976"/>
        <c:scaling>
          <c:orientation val="minMax"/>
          <c:min val="300"/>
        </c:scaling>
        <c:delete val="0"/>
        <c:axPos val="l"/>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874070432"/>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Частки споживання енергоресурсів в муніципальних установах станом на 2010 р.</a:t>
            </a:r>
          </a:p>
        </c:rich>
      </c:tx>
      <c:overlay val="0"/>
    </c:title>
    <c:autoTitleDeleted val="0"/>
    <c:plotArea>
      <c:layout/>
      <c:pieChart>
        <c:varyColors val="1"/>
        <c:ser>
          <c:idx val="0"/>
          <c:order val="0"/>
          <c:tx>
            <c:strRef>
              <c:f>Муніципал!$L$22</c:f>
              <c:strCache>
                <c:ptCount val="1"/>
                <c:pt idx="0">
                  <c:v>Долевий розподіл споживання енергоресурсів в муніципальних установах станом на 2010 р.</c:v>
                </c:pt>
              </c:strCache>
            </c:strRef>
          </c:tx>
          <c:dPt>
            <c:idx val="0"/>
            <c:bubble3D val="0"/>
            <c:spPr>
              <a:solidFill>
                <a:schemeClr val="accent6"/>
              </a:solidFill>
            </c:spPr>
            <c:extLst>
              <c:ext xmlns:c16="http://schemas.microsoft.com/office/drawing/2014/chart" uri="{C3380CC4-5D6E-409C-BE32-E72D297353CC}">
                <c16:uniqueId val="{00000001-0F65-4C43-91CA-76A687774F93}"/>
              </c:ext>
            </c:extLst>
          </c:dPt>
          <c:dPt>
            <c:idx val="1"/>
            <c:bubble3D val="0"/>
            <c:spPr>
              <a:solidFill>
                <a:srgbClr val="92D050"/>
              </a:solidFill>
            </c:spPr>
            <c:extLst>
              <c:ext xmlns:c16="http://schemas.microsoft.com/office/drawing/2014/chart" uri="{C3380CC4-5D6E-409C-BE32-E72D297353CC}">
                <c16:uniqueId val="{00000003-0F65-4C43-91CA-76A687774F93}"/>
              </c:ext>
            </c:extLst>
          </c:dPt>
          <c:dPt>
            <c:idx val="2"/>
            <c:bubble3D val="0"/>
            <c:spPr>
              <a:solidFill>
                <a:schemeClr val="accent5"/>
              </a:solidFill>
              <a:ln>
                <a:solidFill>
                  <a:schemeClr val="accent5"/>
                </a:solidFill>
              </a:ln>
            </c:spPr>
            <c:extLst>
              <c:ext xmlns:c16="http://schemas.microsoft.com/office/drawing/2014/chart" uri="{C3380CC4-5D6E-409C-BE32-E72D297353CC}">
                <c16:uniqueId val="{00000005-0F65-4C43-91CA-76A687774F93}"/>
              </c:ext>
            </c:extLst>
          </c:dPt>
          <c:dLbls>
            <c:dLbl>
              <c:idx val="0"/>
              <c:layout>
                <c:manualLayout>
                  <c:x val="-9.5948818897637789E-2"/>
                  <c:y val="-0.2183821813939924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F65-4C43-91CA-76A687774F93}"/>
                </c:ext>
              </c:extLst>
            </c:dLbl>
            <c:dLbl>
              <c:idx val="1"/>
              <c:layout>
                <c:manualLayout>
                  <c:x val="-6.3534558180227477E-2"/>
                  <c:y val="3.005285797608632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F65-4C43-91CA-76A687774F93}"/>
                </c:ext>
              </c:extLst>
            </c:dLbl>
            <c:dLbl>
              <c:idx val="2"/>
              <c:layout>
                <c:manualLayout>
                  <c:x val="-2.9940726159230095E-2"/>
                  <c:y val="-5.180300379119276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F65-4C43-91CA-76A687774F93}"/>
                </c:ext>
              </c:extLst>
            </c:dLbl>
            <c:dLbl>
              <c:idx val="3"/>
              <c:layout>
                <c:manualLayout>
                  <c:x val="1.1041119860017497E-3"/>
                  <c:y val="-1.386373578302712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0F65-4C43-91CA-76A687774F93}"/>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Муніципал!$L$2:$O$2</c:f>
              <c:strCache>
                <c:ptCount val="4"/>
                <c:pt idx="0">
                  <c:v>Теплова енергія</c:v>
                </c:pt>
                <c:pt idx="1">
                  <c:v>Електроенергія</c:v>
                </c:pt>
                <c:pt idx="2">
                  <c:v>Природний газ</c:v>
                </c:pt>
                <c:pt idx="3">
                  <c:v>Вугілля</c:v>
                </c:pt>
              </c:strCache>
            </c:strRef>
          </c:cat>
          <c:val>
            <c:numRef>
              <c:f>Муніципал!$L$4:$O$4</c:f>
              <c:numCache>
                <c:formatCode>#,##0.0</c:formatCode>
                <c:ptCount val="4"/>
                <c:pt idx="0" formatCode="General">
                  <c:v>55824</c:v>
                </c:pt>
                <c:pt idx="1">
                  <c:v>6919</c:v>
                </c:pt>
                <c:pt idx="2" formatCode="0.0">
                  <c:v>9558.3888000000006</c:v>
                </c:pt>
                <c:pt idx="3" formatCode="General">
                  <c:v>701.8</c:v>
                </c:pt>
              </c:numCache>
            </c:numRef>
          </c:val>
          <c:extLst>
            <c:ext xmlns:c16="http://schemas.microsoft.com/office/drawing/2014/chart" uri="{C3380CC4-5D6E-409C-BE32-E72D297353CC}">
              <c16:uniqueId val="{00000007-0F65-4C43-91CA-76A687774F93}"/>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34"/>
    </mc:Choice>
    <mc:Fallback>
      <c:style val="34"/>
    </mc:Fallback>
  </mc:AlternateContent>
  <c:chart>
    <c:title>
      <c:overlay val="0"/>
      <c:txPr>
        <a:bodyPr/>
        <a:lstStyle/>
        <a:p>
          <a:pPr>
            <a:defRPr sz="1200">
              <a:latin typeface="Times New Roman" panose="02020603050405020304" pitchFamily="18" charset="0"/>
              <a:cs typeface="Times New Roman" panose="02020603050405020304" pitchFamily="18" charset="0"/>
            </a:defRPr>
          </a:pPr>
          <a:endParaRPr lang="ru-RU"/>
        </a:p>
      </c:txPr>
    </c:title>
    <c:autoTitleDeleted val="0"/>
    <c:plotArea>
      <c:layout/>
      <c:pieChart>
        <c:varyColors val="1"/>
        <c:ser>
          <c:idx val="0"/>
          <c:order val="0"/>
          <c:tx>
            <c:strRef>
              <c:f>Муніципал!$L$41</c:f>
              <c:strCache>
                <c:ptCount val="1"/>
                <c:pt idx="0">
                  <c:v>Долевий розподіл споживання енергоресурсів в муніципальних установах станом на 2020 р.</c:v>
                </c:pt>
              </c:strCache>
            </c:strRef>
          </c:tx>
          <c:dPt>
            <c:idx val="0"/>
            <c:bubble3D val="0"/>
            <c:spPr>
              <a:solidFill>
                <a:schemeClr val="accent6"/>
              </a:solidFill>
            </c:spPr>
            <c:extLst>
              <c:ext xmlns:c16="http://schemas.microsoft.com/office/drawing/2014/chart" uri="{C3380CC4-5D6E-409C-BE32-E72D297353CC}">
                <c16:uniqueId val="{00000001-4131-4BE3-A225-718D5693DFC0}"/>
              </c:ext>
            </c:extLst>
          </c:dPt>
          <c:dPt>
            <c:idx val="1"/>
            <c:bubble3D val="0"/>
            <c:spPr>
              <a:solidFill>
                <a:srgbClr val="92D050"/>
              </a:solidFill>
            </c:spPr>
            <c:extLst>
              <c:ext xmlns:c16="http://schemas.microsoft.com/office/drawing/2014/chart" uri="{C3380CC4-5D6E-409C-BE32-E72D297353CC}">
                <c16:uniqueId val="{00000003-4131-4BE3-A225-718D5693DFC0}"/>
              </c:ext>
            </c:extLst>
          </c:dPt>
          <c:dPt>
            <c:idx val="2"/>
            <c:bubble3D val="0"/>
            <c:spPr>
              <a:solidFill>
                <a:schemeClr val="accent5"/>
              </a:solidFill>
              <a:ln>
                <a:solidFill>
                  <a:schemeClr val="accent5"/>
                </a:solidFill>
              </a:ln>
            </c:spPr>
            <c:extLst>
              <c:ext xmlns:c16="http://schemas.microsoft.com/office/drawing/2014/chart" uri="{C3380CC4-5D6E-409C-BE32-E72D297353CC}">
                <c16:uniqueId val="{00000005-4131-4BE3-A225-718D5693DFC0}"/>
              </c:ext>
            </c:extLst>
          </c:dPt>
          <c:dPt>
            <c:idx val="4"/>
            <c:bubble3D val="0"/>
            <c:spPr>
              <a:solidFill>
                <a:schemeClr val="accent3">
                  <a:lumMod val="75000"/>
                </a:schemeClr>
              </a:solidFill>
            </c:spPr>
            <c:extLst>
              <c:ext xmlns:c16="http://schemas.microsoft.com/office/drawing/2014/chart" uri="{C3380CC4-5D6E-409C-BE32-E72D297353CC}">
                <c16:uniqueId val="{00000007-4131-4BE3-A225-718D5693DFC0}"/>
              </c:ext>
            </c:extLst>
          </c:dPt>
          <c:dPt>
            <c:idx val="5"/>
            <c:bubble3D val="0"/>
            <c:spPr>
              <a:solidFill>
                <a:schemeClr val="accent2">
                  <a:lumMod val="60000"/>
                  <a:lumOff val="40000"/>
                </a:schemeClr>
              </a:solidFill>
            </c:spPr>
            <c:extLst>
              <c:ext xmlns:c16="http://schemas.microsoft.com/office/drawing/2014/chart" uri="{C3380CC4-5D6E-409C-BE32-E72D297353CC}">
                <c16:uniqueId val="{00000009-4131-4BE3-A225-718D5693DFC0}"/>
              </c:ext>
            </c:extLst>
          </c:dPt>
          <c:dLbls>
            <c:dLbl>
              <c:idx val="0"/>
              <c:layout>
                <c:manualLayout>
                  <c:x val="-9.5948818897637789E-2"/>
                  <c:y val="-0.2183821813939924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131-4BE3-A225-718D5693DFC0}"/>
                </c:ext>
              </c:extLst>
            </c:dLbl>
            <c:dLbl>
              <c:idx val="1"/>
              <c:layout>
                <c:manualLayout>
                  <c:x val="-6.3534558180227477E-2"/>
                  <c:y val="3.005285797608632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131-4BE3-A225-718D5693DFC0}"/>
                </c:ext>
              </c:extLst>
            </c:dLbl>
            <c:dLbl>
              <c:idx val="2"/>
              <c:layout>
                <c:manualLayout>
                  <c:x val="-6.605183727034121E-2"/>
                  <c:y val="-4.254374453193350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131-4BE3-A225-718D5693DFC0}"/>
                </c:ext>
              </c:extLst>
            </c:dLbl>
            <c:dLbl>
              <c:idx val="3"/>
              <c:layout>
                <c:manualLayout>
                  <c:x val="-3.7784776902887139E-2"/>
                  <c:y val="-3.701224846894138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A-4131-4BE3-A225-718D5693DFC0}"/>
                </c:ext>
              </c:extLst>
            </c:dLbl>
            <c:dLbl>
              <c:idx val="4"/>
              <c:layout>
                <c:manualLayout>
                  <c:x val="4.2107489507322043E-2"/>
                  <c:y val="-1.982174103237095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131-4BE3-A225-718D5693DFC0}"/>
                </c:ext>
              </c:extLst>
            </c:dLbl>
            <c:dLbl>
              <c:idx val="5"/>
              <c:layout>
                <c:manualLayout>
                  <c:x val="0.1007769028022644"/>
                  <c:y val="-1.626348789734616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4131-4BE3-A225-718D5693DFC0}"/>
                </c:ext>
              </c:extLst>
            </c:dLbl>
            <c:numFmt formatCode="0.0%" sourceLinked="0"/>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Муніципал!$L$2:$P$2</c:f>
              <c:strCache>
                <c:ptCount val="5"/>
                <c:pt idx="0">
                  <c:v>Теплова енергія</c:v>
                </c:pt>
                <c:pt idx="1">
                  <c:v>Електроенергія</c:v>
                </c:pt>
                <c:pt idx="2">
                  <c:v>Природний газ</c:v>
                </c:pt>
                <c:pt idx="3">
                  <c:v>Вугілля</c:v>
                </c:pt>
                <c:pt idx="4">
                  <c:v>Інше (дрова, пелети, солом'яні брикети)</c:v>
                </c:pt>
              </c:strCache>
            </c:strRef>
          </c:cat>
          <c:val>
            <c:numRef>
              <c:f>Муніципал!$L$6:$Q$6</c:f>
              <c:numCache>
                <c:formatCode>0.0</c:formatCode>
                <c:ptCount val="6"/>
                <c:pt idx="0">
                  <c:v>38138.840499999998</c:v>
                </c:pt>
                <c:pt idx="1">
                  <c:v>10355.9</c:v>
                </c:pt>
                <c:pt idx="2">
                  <c:v>7139.0807999999997</c:v>
                </c:pt>
                <c:pt idx="3">
                  <c:v>331.76</c:v>
                </c:pt>
                <c:pt idx="4">
                  <c:v>1967.9220000000003</c:v>
                </c:pt>
              </c:numCache>
            </c:numRef>
          </c:val>
          <c:extLst>
            <c:ext xmlns:c16="http://schemas.microsoft.com/office/drawing/2014/chart" uri="{C3380CC4-5D6E-409C-BE32-E72D297353CC}">
              <c16:uniqueId val="{0000000B-4131-4BE3-A225-718D5693DFC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631498268406569"/>
          <c:y val="0.23678732866724991"/>
          <c:w val="0.38708368119160125"/>
          <c:h val="0.59262904636920388"/>
        </c:manualLayout>
      </c:layout>
      <c:overlay val="0"/>
      <c:txPr>
        <a:bodyPr/>
        <a:lstStyle/>
        <a:p>
          <a:pPr rtl="0">
            <a:defRPr sz="11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200"/>
              <a:t>Відносна</a:t>
            </a:r>
            <a:r>
              <a:rPr lang="uk-UA" sz="1200" baseline="0"/>
              <a:t> зміна с</a:t>
            </a:r>
            <a:r>
              <a:rPr lang="uk-UA" sz="1200"/>
              <a:t>ередньомісячної температури повітря </a:t>
            </a:r>
            <a:r>
              <a:rPr lang="en-US" sz="1200"/>
              <a:t>(RCP 8,5)</a:t>
            </a:r>
            <a:endParaRPr lang="uk-UA" sz="1200"/>
          </a:p>
        </c:rich>
      </c:tx>
      <c:overlay val="0"/>
      <c:spPr>
        <a:noFill/>
        <a:ln>
          <a:noFill/>
        </a:ln>
        <a:effectLst/>
      </c:spPr>
    </c:title>
    <c:autoTitleDeleted val="0"/>
    <c:plotArea>
      <c:layout/>
      <c:lineChart>
        <c:grouping val="standard"/>
        <c:varyColors val="0"/>
        <c:ser>
          <c:idx val="0"/>
          <c:order val="0"/>
          <c:tx>
            <c:strRef>
              <c:f>Аркуш1!$B$14</c:f>
              <c:strCache>
                <c:ptCount val="1"/>
                <c:pt idx="0">
                  <c:v>2011-2040</c:v>
                </c:pt>
              </c:strCache>
            </c:strRef>
          </c:tx>
          <c:spPr>
            <a:ln w="28575" cap="rnd">
              <a:solidFill>
                <a:srgbClr val="92D050"/>
              </a:solidFill>
              <a:round/>
            </a:ln>
            <a:effectLst/>
          </c:spPr>
          <c:marker>
            <c:symbol val="square"/>
            <c:size val="6"/>
            <c:spPr>
              <a:solidFill>
                <a:schemeClr val="accent6"/>
              </a:solidFill>
              <a:ln w="9525">
                <a:solidFill>
                  <a:schemeClr val="accent6"/>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Аркуш1!$C$14:$N$14</c:f>
              <c:numCache>
                <c:formatCode>0.0</c:formatCode>
                <c:ptCount val="12"/>
                <c:pt idx="0">
                  <c:v>2.4508865601155208</c:v>
                </c:pt>
                <c:pt idx="1">
                  <c:v>0.8520336451016588</c:v>
                </c:pt>
                <c:pt idx="2">
                  <c:v>0.16833547996799841</c:v>
                </c:pt>
                <c:pt idx="3">
                  <c:v>0.90976796397124737</c:v>
                </c:pt>
                <c:pt idx="4">
                  <c:v>0.84160031614077457</c:v>
                </c:pt>
                <c:pt idx="5">
                  <c:v>0.44313026819922285</c:v>
                </c:pt>
                <c:pt idx="6">
                  <c:v>0.81712965673361704</c:v>
                </c:pt>
                <c:pt idx="7">
                  <c:v>1.6158138672599724</c:v>
                </c:pt>
                <c:pt idx="8">
                  <c:v>1.6930430194258825</c:v>
                </c:pt>
                <c:pt idx="9">
                  <c:v>1.7597545681036157</c:v>
                </c:pt>
                <c:pt idx="10">
                  <c:v>1.6098561537944438</c:v>
                </c:pt>
                <c:pt idx="11">
                  <c:v>2.013902191518838</c:v>
                </c:pt>
              </c:numCache>
            </c:numRef>
          </c:val>
          <c:smooth val="0"/>
          <c:extLst>
            <c:ext xmlns:c16="http://schemas.microsoft.com/office/drawing/2014/chart" uri="{C3380CC4-5D6E-409C-BE32-E72D297353CC}">
              <c16:uniqueId val="{00000000-AF1C-4FF5-AF9E-BC639845C601}"/>
            </c:ext>
          </c:extLst>
        </c:ser>
        <c:ser>
          <c:idx val="1"/>
          <c:order val="1"/>
          <c:tx>
            <c:strRef>
              <c:f>Аркуш1!$B$15</c:f>
              <c:strCache>
                <c:ptCount val="1"/>
                <c:pt idx="0">
                  <c:v>2041-2070</c:v>
                </c:pt>
              </c:strCache>
            </c:strRef>
          </c:tx>
          <c:spPr>
            <a:ln w="28575" cap="rnd">
              <a:solidFill>
                <a:schemeClr val="accent5"/>
              </a:solidFill>
              <a:round/>
            </a:ln>
            <a:effectLst/>
          </c:spPr>
          <c:marker>
            <c:symbol val="circle"/>
            <c:size val="6"/>
            <c:spPr>
              <a:solidFill>
                <a:schemeClr val="accent5"/>
              </a:solidFill>
              <a:ln w="9525">
                <a:solidFill>
                  <a:schemeClr val="accent5"/>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Аркуш1!$C$15:$N$15</c:f>
              <c:numCache>
                <c:formatCode>0.0</c:formatCode>
                <c:ptCount val="12"/>
                <c:pt idx="0">
                  <c:v>4.1795294967117496</c:v>
                </c:pt>
                <c:pt idx="1">
                  <c:v>3.7875717658196311</c:v>
                </c:pt>
                <c:pt idx="2">
                  <c:v>1.5940585055519805</c:v>
                </c:pt>
                <c:pt idx="3">
                  <c:v>2.1549557034348275</c:v>
                </c:pt>
                <c:pt idx="4">
                  <c:v>1.758663719922712</c:v>
                </c:pt>
                <c:pt idx="5">
                  <c:v>0.69536781609198073</c:v>
                </c:pt>
                <c:pt idx="6">
                  <c:v>1.628312452432582</c:v>
                </c:pt>
                <c:pt idx="7">
                  <c:v>2.3331386725991834</c:v>
                </c:pt>
                <c:pt idx="8">
                  <c:v>3.3657709887745426</c:v>
                </c:pt>
                <c:pt idx="9">
                  <c:v>2.8107278717743442</c:v>
                </c:pt>
                <c:pt idx="10">
                  <c:v>2.9523848894266154</c:v>
                </c:pt>
                <c:pt idx="11">
                  <c:v>2.5293508381632597</c:v>
                </c:pt>
              </c:numCache>
            </c:numRef>
          </c:val>
          <c:smooth val="0"/>
          <c:extLst>
            <c:ext xmlns:c16="http://schemas.microsoft.com/office/drawing/2014/chart" uri="{C3380CC4-5D6E-409C-BE32-E72D297353CC}">
              <c16:uniqueId val="{00000001-AF1C-4FF5-AF9E-BC639845C601}"/>
            </c:ext>
          </c:extLst>
        </c:ser>
        <c:ser>
          <c:idx val="2"/>
          <c:order val="2"/>
          <c:tx>
            <c:strRef>
              <c:f>Аркуш1!$B$16</c:f>
              <c:strCache>
                <c:ptCount val="1"/>
                <c:pt idx="0">
                  <c:v>2071-2100</c:v>
                </c:pt>
              </c:strCache>
            </c:strRef>
          </c:tx>
          <c:spPr>
            <a:ln w="28575" cap="rnd">
              <a:solidFill>
                <a:schemeClr val="accent4"/>
              </a:solidFill>
              <a:round/>
            </a:ln>
            <a:effectLst/>
          </c:spPr>
          <c:marker>
            <c:symbol val="triangle"/>
            <c:size val="6"/>
            <c:spPr>
              <a:solidFill>
                <a:schemeClr val="accent4"/>
              </a:solidFill>
              <a:ln w="9525">
                <a:solidFill>
                  <a:schemeClr val="accent4"/>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Аркуш1!$C$16:$N$16</c:f>
              <c:numCache>
                <c:formatCode>0.0</c:formatCode>
                <c:ptCount val="12"/>
                <c:pt idx="0">
                  <c:v>6.389877776409489</c:v>
                </c:pt>
                <c:pt idx="1">
                  <c:v>4.3610196023735774</c:v>
                </c:pt>
                <c:pt idx="2">
                  <c:v>2.8765313681195792</c:v>
                </c:pt>
                <c:pt idx="3">
                  <c:v>2.4861838709602875</c:v>
                </c:pt>
                <c:pt idx="4">
                  <c:v>2.8654170090178575</c:v>
                </c:pt>
                <c:pt idx="5">
                  <c:v>1.6959413396749838</c:v>
                </c:pt>
                <c:pt idx="6">
                  <c:v>1.8517821441717552</c:v>
                </c:pt>
                <c:pt idx="7">
                  <c:v>4.0444823750528016</c:v>
                </c:pt>
                <c:pt idx="8">
                  <c:v>5.1167259365879998</c:v>
                </c:pt>
                <c:pt idx="9">
                  <c:v>3.6531963233105471</c:v>
                </c:pt>
                <c:pt idx="10">
                  <c:v>3.5824576863614888</c:v>
                </c:pt>
                <c:pt idx="11">
                  <c:v>3.6489191324365935</c:v>
                </c:pt>
              </c:numCache>
            </c:numRef>
          </c:val>
          <c:smooth val="0"/>
          <c:extLst>
            <c:ext xmlns:c16="http://schemas.microsoft.com/office/drawing/2014/chart" uri="{C3380CC4-5D6E-409C-BE32-E72D297353CC}">
              <c16:uniqueId val="{00000002-AF1C-4FF5-AF9E-BC639845C601}"/>
            </c:ext>
          </c:extLst>
        </c:ser>
        <c:dLbls>
          <c:showLegendKey val="0"/>
          <c:showVal val="0"/>
          <c:showCatName val="0"/>
          <c:showSerName val="0"/>
          <c:showPercent val="0"/>
          <c:showBubbleSize val="0"/>
        </c:dLbls>
        <c:marker val="1"/>
        <c:smooth val="0"/>
        <c:axId val="1675568912"/>
        <c:axId val="1675570544"/>
      </c:lineChart>
      <c:catAx>
        <c:axId val="1675568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uk-UA"/>
                  <a:t>Місяці</a:t>
                </a:r>
              </a:p>
            </c:rich>
          </c:tx>
          <c:overlay val="0"/>
          <c:spPr>
            <a:noFill/>
            <a:ln>
              <a:noFill/>
            </a:ln>
            <a:effectLst/>
          </c:spPr>
        </c:title>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70544"/>
        <c:crosses val="autoZero"/>
        <c:auto val="1"/>
        <c:lblAlgn val="ctr"/>
        <c:lblOffset val="100"/>
        <c:noMultiLvlLbl val="0"/>
      </c:catAx>
      <c:valAx>
        <c:axId val="167557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sz="1000" b="0" i="0" u="none" strike="noStrike" baseline="0">
                    <a:effectLst/>
                  </a:rPr>
                  <a:t>Δ</a:t>
                </a:r>
                <a:r>
                  <a:rPr lang="de-DE" sz="1000" b="0" i="0" u="none" strike="noStrike" baseline="0">
                    <a:effectLst/>
                  </a:rPr>
                  <a:t>T </a:t>
                </a:r>
                <a:r>
                  <a:rPr lang="uk-UA" sz="1000" b="0" i="0" u="none" strike="noStrike" baseline="0">
                    <a:effectLst/>
                  </a:rPr>
                  <a:t>, °С</a:t>
                </a:r>
                <a:endParaRPr lang="uk-UA"/>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68912"/>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1"/>
    <c:plotArea>
      <c:layout/>
      <c:barChart>
        <c:barDir val="col"/>
        <c:grouping val="clustered"/>
        <c:varyColors val="0"/>
        <c:ser>
          <c:idx val="0"/>
          <c:order val="0"/>
          <c:tx>
            <c:strRef>
              <c:f>Муніципал!$C$3</c:f>
              <c:strCache>
                <c:ptCount val="1"/>
                <c:pt idx="0">
                  <c:v>Теплова енергія, Гкал</c:v>
                </c:pt>
              </c:strCache>
            </c:strRef>
          </c:tx>
          <c:spPr>
            <a:ln>
              <a:solidFill>
                <a:schemeClr val="tx1"/>
              </a:solidFill>
            </a:ln>
          </c:spPr>
          <c:invertIfNegative val="0"/>
          <c:dLbls>
            <c:spPr>
              <a:noFill/>
              <a:ln>
                <a:noFill/>
              </a:ln>
              <a:effectLst/>
            </c:spPr>
            <c:txPr>
              <a:bodyPr/>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Муніципал!$B$6:$B$16</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Муніципал!$C$6:$C$16</c:f>
              <c:numCache>
                <c:formatCode>#,##0</c:formatCode>
                <c:ptCount val="11"/>
                <c:pt idx="0">
                  <c:v>48000</c:v>
                </c:pt>
                <c:pt idx="1">
                  <c:v>40350</c:v>
                </c:pt>
                <c:pt idx="2">
                  <c:v>47585</c:v>
                </c:pt>
                <c:pt idx="3">
                  <c:v>47474</c:v>
                </c:pt>
                <c:pt idx="4">
                  <c:v>40272</c:v>
                </c:pt>
                <c:pt idx="5">
                  <c:v>35775</c:v>
                </c:pt>
                <c:pt idx="6">
                  <c:v>40142</c:v>
                </c:pt>
                <c:pt idx="7">
                  <c:v>46200</c:v>
                </c:pt>
                <c:pt idx="8">
                  <c:v>42650</c:v>
                </c:pt>
                <c:pt idx="9">
                  <c:v>39943</c:v>
                </c:pt>
                <c:pt idx="10" formatCode="#,##0.0">
                  <c:v>32793.5</c:v>
                </c:pt>
              </c:numCache>
            </c:numRef>
          </c:val>
          <c:extLst>
            <c:ext xmlns:c16="http://schemas.microsoft.com/office/drawing/2014/chart" uri="{C3380CC4-5D6E-409C-BE32-E72D297353CC}">
              <c16:uniqueId val="{00000000-9028-40EC-AD32-D98509E24C9D}"/>
            </c:ext>
          </c:extLst>
        </c:ser>
        <c:dLbls>
          <c:showLegendKey val="0"/>
          <c:showVal val="0"/>
          <c:showCatName val="0"/>
          <c:showSerName val="0"/>
          <c:showPercent val="0"/>
          <c:showBubbleSize val="0"/>
        </c:dLbls>
        <c:gapWidth val="150"/>
        <c:axId val="1874071520"/>
        <c:axId val="1918230592"/>
      </c:barChart>
      <c:catAx>
        <c:axId val="187407152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30592"/>
        <c:crosses val="autoZero"/>
        <c:auto val="1"/>
        <c:lblAlgn val="ctr"/>
        <c:lblOffset val="100"/>
        <c:noMultiLvlLbl val="0"/>
      </c:catAx>
      <c:valAx>
        <c:axId val="1918230592"/>
        <c:scaling>
          <c:orientation val="minMax"/>
        </c:scaling>
        <c:delete val="1"/>
        <c:axPos val="l"/>
        <c:majorGridlines/>
        <c:numFmt formatCode="#,##0" sourceLinked="1"/>
        <c:majorTickMark val="out"/>
        <c:minorTickMark val="none"/>
        <c:tickLblPos val="nextTo"/>
        <c:crossAx val="1874071520"/>
        <c:crosses val="autoZero"/>
        <c:crossBetween val="between"/>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13"/>
    </mc:Choice>
    <mc:Fallback>
      <c:style val="13"/>
    </mc:Fallback>
  </mc:AlternateContent>
  <c:chart>
    <c:autoTitleDeleted val="1"/>
    <c:plotArea>
      <c:layout/>
      <c:barChart>
        <c:barDir val="col"/>
        <c:grouping val="clustered"/>
        <c:varyColors val="0"/>
        <c:ser>
          <c:idx val="0"/>
          <c:order val="0"/>
          <c:tx>
            <c:strRef>
              <c:f>Муніципал!$D$3</c:f>
              <c:strCache>
                <c:ptCount val="1"/>
                <c:pt idx="0">
                  <c:v>Електроенергія, МВт.год.</c:v>
                </c:pt>
              </c:strCache>
            </c:strRef>
          </c:tx>
          <c:spPr>
            <a:ln>
              <a:solidFill>
                <a:schemeClr val="tx1"/>
              </a:solidFill>
            </a:ln>
          </c:spPr>
          <c:invertIfNegative val="0"/>
          <c:dLbls>
            <c:spPr>
              <a:noFill/>
              <a:ln>
                <a:noFill/>
              </a:ln>
              <a:effectLst/>
            </c:spPr>
            <c:txPr>
              <a:bodyPr/>
              <a:lstStyle/>
              <a:p>
                <a:pPr>
                  <a:defRPr sz="8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Муніципал!$B$6:$B$16</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Муніципал!$D$6:$D$16</c:f>
              <c:numCache>
                <c:formatCode>#,##0.0</c:formatCode>
                <c:ptCount val="11"/>
                <c:pt idx="0">
                  <c:v>6919</c:v>
                </c:pt>
                <c:pt idx="1">
                  <c:v>6800.2</c:v>
                </c:pt>
                <c:pt idx="2">
                  <c:v>6472.2</c:v>
                </c:pt>
                <c:pt idx="3">
                  <c:v>6731.4</c:v>
                </c:pt>
                <c:pt idx="4">
                  <c:v>7034</c:v>
                </c:pt>
                <c:pt idx="5">
                  <c:v>6808.7</c:v>
                </c:pt>
                <c:pt idx="6">
                  <c:v>8677.9</c:v>
                </c:pt>
                <c:pt idx="7">
                  <c:v>9236.9</c:v>
                </c:pt>
                <c:pt idx="8">
                  <c:v>9406.4</c:v>
                </c:pt>
                <c:pt idx="9">
                  <c:v>9367.6</c:v>
                </c:pt>
                <c:pt idx="10">
                  <c:v>10355.9</c:v>
                </c:pt>
              </c:numCache>
            </c:numRef>
          </c:val>
          <c:extLst>
            <c:ext xmlns:c16="http://schemas.microsoft.com/office/drawing/2014/chart" uri="{C3380CC4-5D6E-409C-BE32-E72D297353CC}">
              <c16:uniqueId val="{00000000-EE9E-46FD-B9FA-242D2B191C5C}"/>
            </c:ext>
          </c:extLst>
        </c:ser>
        <c:dLbls>
          <c:showLegendKey val="0"/>
          <c:showVal val="0"/>
          <c:showCatName val="0"/>
          <c:showSerName val="0"/>
          <c:showPercent val="0"/>
          <c:showBubbleSize val="0"/>
        </c:dLbls>
        <c:gapWidth val="150"/>
        <c:axId val="1918231680"/>
        <c:axId val="1918232768"/>
      </c:barChart>
      <c:catAx>
        <c:axId val="191823168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32768"/>
        <c:crosses val="autoZero"/>
        <c:auto val="1"/>
        <c:lblAlgn val="ctr"/>
        <c:lblOffset val="100"/>
        <c:noMultiLvlLbl val="0"/>
      </c:catAx>
      <c:valAx>
        <c:axId val="1918232768"/>
        <c:scaling>
          <c:orientation val="minMax"/>
        </c:scaling>
        <c:delete val="0"/>
        <c:axPos val="l"/>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31680"/>
        <c:crosses val="autoZero"/>
        <c:crossBetween val="between"/>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sz="11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Долі споживання енергоресурсів у житловому секторі у 2010 році</a:t>
            </a:r>
          </a:p>
        </c:rich>
      </c:tx>
      <c:overlay val="0"/>
    </c:title>
    <c:autoTitleDeleted val="0"/>
    <c:plotArea>
      <c:layout/>
      <c:pieChart>
        <c:varyColors val="1"/>
        <c:ser>
          <c:idx val="0"/>
          <c:order val="0"/>
          <c:dPt>
            <c:idx val="0"/>
            <c:bubble3D val="0"/>
            <c:spPr>
              <a:solidFill>
                <a:schemeClr val="accent6"/>
              </a:solidFill>
            </c:spPr>
            <c:extLst>
              <c:ext xmlns:c16="http://schemas.microsoft.com/office/drawing/2014/chart" uri="{C3380CC4-5D6E-409C-BE32-E72D297353CC}">
                <c16:uniqueId val="{00000001-FDC2-4A06-9BF8-59179176FCE9}"/>
              </c:ext>
            </c:extLst>
          </c:dPt>
          <c:dPt>
            <c:idx val="1"/>
            <c:bubble3D val="0"/>
            <c:spPr>
              <a:solidFill>
                <a:schemeClr val="accent4">
                  <a:lumMod val="60000"/>
                  <a:lumOff val="40000"/>
                </a:schemeClr>
              </a:solidFill>
            </c:spPr>
            <c:extLst>
              <c:ext xmlns:c16="http://schemas.microsoft.com/office/drawing/2014/chart" uri="{C3380CC4-5D6E-409C-BE32-E72D297353CC}">
                <c16:uniqueId val="{00000003-FDC2-4A06-9BF8-59179176FCE9}"/>
              </c:ext>
            </c:extLst>
          </c:dPt>
          <c:dPt>
            <c:idx val="2"/>
            <c:bubble3D val="0"/>
            <c:spPr>
              <a:solidFill>
                <a:schemeClr val="accent5"/>
              </a:solidFill>
            </c:spPr>
            <c:extLst>
              <c:ext xmlns:c16="http://schemas.microsoft.com/office/drawing/2014/chart" uri="{C3380CC4-5D6E-409C-BE32-E72D297353CC}">
                <c16:uniqueId val="{00000005-FDC2-4A06-9BF8-59179176FCE9}"/>
              </c:ext>
            </c:extLst>
          </c:dPt>
          <c:dPt>
            <c:idx val="3"/>
            <c:bubble3D val="0"/>
            <c:spPr>
              <a:solidFill>
                <a:schemeClr val="bg1">
                  <a:lumMod val="50000"/>
                </a:schemeClr>
              </a:solidFill>
            </c:spPr>
            <c:extLst>
              <c:ext xmlns:c16="http://schemas.microsoft.com/office/drawing/2014/chart" uri="{C3380CC4-5D6E-409C-BE32-E72D297353CC}">
                <c16:uniqueId val="{00000007-FDC2-4A06-9BF8-59179176FCE9}"/>
              </c:ext>
            </c:extLst>
          </c:dPt>
          <c:dPt>
            <c:idx val="4"/>
            <c:bubble3D val="0"/>
            <c:spPr>
              <a:solidFill>
                <a:srgbClr val="CC6600"/>
              </a:solidFill>
            </c:spPr>
            <c:extLst>
              <c:ext xmlns:c16="http://schemas.microsoft.com/office/drawing/2014/chart" uri="{C3380CC4-5D6E-409C-BE32-E72D297353CC}">
                <c16:uniqueId val="{00000009-FDC2-4A06-9BF8-59179176FCE9}"/>
              </c:ext>
            </c:extLst>
          </c:dPt>
          <c:dPt>
            <c:idx val="5"/>
            <c:bubble3D val="0"/>
            <c:spPr>
              <a:solidFill>
                <a:srgbClr val="92D050"/>
              </a:solidFill>
            </c:spPr>
            <c:extLst>
              <c:ext xmlns:c16="http://schemas.microsoft.com/office/drawing/2014/chart" uri="{C3380CC4-5D6E-409C-BE32-E72D297353CC}">
                <c16:uniqueId val="{0000000B-FDC2-4A06-9BF8-59179176FCE9}"/>
              </c:ext>
            </c:extLst>
          </c:dPt>
          <c:dLbls>
            <c:dLbl>
              <c:idx val="2"/>
              <c:layout>
                <c:manualLayout>
                  <c:x val="0.14731277340332458"/>
                  <c:y val="-6.575455138171422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DC2-4A06-9BF8-59179176FCE9}"/>
                </c:ext>
              </c:extLst>
            </c:dLbl>
            <c:dLbl>
              <c:idx val="4"/>
              <c:layout>
                <c:manualLayout>
                  <c:x val="-1.8939195100612424E-3"/>
                  <c:y val="-1.842847769028871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DC2-4A06-9BF8-59179176FCE9}"/>
                </c:ext>
              </c:extLst>
            </c:dLbl>
            <c:dLbl>
              <c:idx val="5"/>
              <c:layout>
                <c:manualLayout>
                  <c:x val="9.4274387576552932E-2"/>
                  <c:y val="-4.5370370370370373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FDC2-4A06-9BF8-59179176FCE9}"/>
                </c:ext>
              </c:extLst>
            </c:dLbl>
            <c:numFmt formatCode="0.0%" sourceLinked="0"/>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Житло!$B$36:$B$41</c:f>
              <c:strCache>
                <c:ptCount val="6"/>
                <c:pt idx="0">
                  <c:v>Теплова енергія</c:v>
                </c:pt>
                <c:pt idx="1">
                  <c:v>Електроенергія</c:v>
                </c:pt>
                <c:pt idx="2">
                  <c:v>Природний газ</c:v>
                </c:pt>
                <c:pt idx="3">
                  <c:v>Вугілля</c:v>
                </c:pt>
                <c:pt idx="4">
                  <c:v>Торфобрикети</c:v>
                </c:pt>
                <c:pt idx="5">
                  <c:v>Інше (дрова, пелети, тріска)</c:v>
                </c:pt>
              </c:strCache>
            </c:strRef>
          </c:cat>
          <c:val>
            <c:numRef>
              <c:f>Житло!$E$36:$E$41</c:f>
              <c:numCache>
                <c:formatCode>0.0</c:formatCode>
                <c:ptCount val="6"/>
                <c:pt idx="0">
                  <c:v>536.66751299999999</c:v>
                </c:pt>
                <c:pt idx="1">
                  <c:v>173.42970000000003</c:v>
                </c:pt>
                <c:pt idx="2">
                  <c:v>925.44869304000008</c:v>
                </c:pt>
                <c:pt idx="3">
                  <c:v>8.1008599999999991</c:v>
                </c:pt>
                <c:pt idx="4">
                  <c:v>4.4150400000000003</c:v>
                </c:pt>
                <c:pt idx="5">
                  <c:v>3.4365204999999999</c:v>
                </c:pt>
              </c:numCache>
            </c:numRef>
          </c:val>
          <c:extLst>
            <c:ext xmlns:c16="http://schemas.microsoft.com/office/drawing/2014/chart" uri="{C3380CC4-5D6E-409C-BE32-E72D297353CC}">
              <c16:uniqueId val="{0000000C-FDC2-4A06-9BF8-59179176FCE9}"/>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16"/>
    </mc:Choice>
    <mc:Fallback>
      <c:style val="16"/>
    </mc:Fallback>
  </mc:AlternateContent>
  <c:chart>
    <c:title>
      <c:tx>
        <c:rich>
          <a:bodyPr/>
          <a:lstStyle/>
          <a:p>
            <a:pPr>
              <a:defRPr sz="1050">
                <a:latin typeface="Times New Roman" panose="02020603050405020304" pitchFamily="18" charset="0"/>
                <a:cs typeface="Times New Roman" panose="02020603050405020304" pitchFamily="18" charset="0"/>
              </a:defRPr>
            </a:pPr>
            <a:r>
              <a:rPr lang="ru-RU" sz="1050">
                <a:latin typeface="Times New Roman" panose="02020603050405020304" pitchFamily="18" charset="0"/>
                <a:cs typeface="Times New Roman" panose="02020603050405020304" pitchFamily="18" charset="0"/>
              </a:rPr>
              <a:t>Споживання теплової енергої у житлових будівлях Житомирської територіальної громади у 2010-2020 роках</a:t>
            </a:r>
          </a:p>
        </c:rich>
      </c:tx>
      <c:overlay val="0"/>
    </c:title>
    <c:autoTitleDeleted val="0"/>
    <c:plotArea>
      <c:layout>
        <c:manualLayout>
          <c:layoutTarget val="inner"/>
          <c:xMode val="edge"/>
          <c:yMode val="edge"/>
          <c:x val="9.2315933891800275E-2"/>
          <c:y val="0.18399768407369915"/>
          <c:w val="0.8792032747399694"/>
          <c:h val="0.64250479852528486"/>
        </c:manualLayout>
      </c:layout>
      <c:barChart>
        <c:barDir val="col"/>
        <c:grouping val="clustered"/>
        <c:varyColors val="0"/>
        <c:ser>
          <c:idx val="0"/>
          <c:order val="0"/>
          <c:tx>
            <c:strRef>
              <c:f>Житло!$B$14</c:f>
              <c:strCache>
                <c:ptCount val="1"/>
                <c:pt idx="0">
                  <c:v>Теплова енергія, тис. Гкал</c:v>
                </c:pt>
              </c:strCache>
            </c:strRef>
          </c:tx>
          <c:spPr>
            <a:ln>
              <a:solidFill>
                <a:schemeClr val="tx1"/>
              </a:solidFill>
            </a:ln>
          </c:spPr>
          <c:invertIfNegative val="0"/>
          <c:dLbls>
            <c:spPr>
              <a:noFill/>
              <a:ln>
                <a:noFill/>
              </a:ln>
              <a:effectLst/>
            </c:spPr>
            <c:txPr>
              <a:bodyPr wrap="square" lIns="38100" tIns="19050" rIns="38100" bIns="19050" anchor="ctr">
                <a:spAutoFit/>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Житло!$C$9:$M$9</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Житло!$C$14:$M$14</c:f>
              <c:numCache>
                <c:formatCode>0.0</c:formatCode>
                <c:ptCount val="11"/>
                <c:pt idx="0">
                  <c:v>461.45100000000002</c:v>
                </c:pt>
                <c:pt idx="1">
                  <c:v>444.83800000000002</c:v>
                </c:pt>
                <c:pt idx="2">
                  <c:v>486.56700000000001</c:v>
                </c:pt>
                <c:pt idx="3">
                  <c:v>441.17</c:v>
                </c:pt>
                <c:pt idx="4">
                  <c:v>381.49099999999999</c:v>
                </c:pt>
                <c:pt idx="5">
                  <c:v>309.68</c:v>
                </c:pt>
                <c:pt idx="6">
                  <c:v>360.70800000000003</c:v>
                </c:pt>
                <c:pt idx="7">
                  <c:v>347.92700000000002</c:v>
                </c:pt>
                <c:pt idx="8">
                  <c:v>374.83800000000002</c:v>
                </c:pt>
                <c:pt idx="9">
                  <c:v>318.73</c:v>
                </c:pt>
                <c:pt idx="10">
                  <c:v>323.01400000000001</c:v>
                </c:pt>
              </c:numCache>
            </c:numRef>
          </c:val>
          <c:extLst>
            <c:ext xmlns:c16="http://schemas.microsoft.com/office/drawing/2014/chart" uri="{C3380CC4-5D6E-409C-BE32-E72D297353CC}">
              <c16:uniqueId val="{00000000-724F-42E0-B416-2149C007003C}"/>
            </c:ext>
          </c:extLst>
        </c:ser>
        <c:dLbls>
          <c:showLegendKey val="0"/>
          <c:showVal val="0"/>
          <c:showCatName val="0"/>
          <c:showSerName val="0"/>
          <c:showPercent val="0"/>
          <c:showBubbleSize val="0"/>
        </c:dLbls>
        <c:gapWidth val="150"/>
        <c:axId val="1918234400"/>
        <c:axId val="1918227328"/>
      </c:barChart>
      <c:catAx>
        <c:axId val="191823440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27328"/>
        <c:crosses val="autoZero"/>
        <c:auto val="1"/>
        <c:lblAlgn val="ctr"/>
        <c:lblOffset val="100"/>
        <c:noMultiLvlLbl val="0"/>
      </c:catAx>
      <c:valAx>
        <c:axId val="1918227328"/>
        <c:scaling>
          <c:orientation val="minMax"/>
        </c:scaling>
        <c:delete val="0"/>
        <c:axPos val="l"/>
        <c:majorGridlines/>
        <c:numFmt formatCode="0.0" sourceLinked="1"/>
        <c:majorTickMark val="out"/>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ru-RU"/>
          </a:p>
        </c:txPr>
        <c:crossAx val="1918234400"/>
        <c:crosses val="autoZero"/>
        <c:crossBetween val="between"/>
      </c:valAx>
    </c:plotArea>
    <c:legend>
      <c:legendPos val="b"/>
      <c:layout>
        <c:manualLayout>
          <c:xMode val="edge"/>
          <c:yMode val="edge"/>
          <c:x val="0.31381786508054971"/>
          <c:y val="0.90901077530232277"/>
          <c:w val="0.37755718102207303"/>
          <c:h val="7.1564683002043925E-2"/>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Обсяги спожитого природного газу по м. Житомир  в житлових будівлях у період 2010-2020 рр.,</a:t>
            </a:r>
          </a:p>
          <a:p>
            <a:pPr>
              <a:defRPr sz="120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млн. куб.м</a:t>
            </a:r>
          </a:p>
        </c:rich>
      </c:tx>
      <c:overlay val="0"/>
    </c:title>
    <c:autoTitleDeleted val="0"/>
    <c:plotArea>
      <c:layout>
        <c:manualLayout>
          <c:layoutTarget val="inner"/>
          <c:xMode val="edge"/>
          <c:yMode val="edge"/>
          <c:x val="0.10389883743756408"/>
          <c:y val="0.26451612903225807"/>
          <c:w val="0.86563024843501213"/>
          <c:h val="0.62711963423926853"/>
        </c:manualLayout>
      </c:layout>
      <c:barChart>
        <c:barDir val="col"/>
        <c:grouping val="clustered"/>
        <c:varyColors val="0"/>
        <c:ser>
          <c:idx val="0"/>
          <c:order val="0"/>
          <c:tx>
            <c:strRef>
              <c:f>Житло!$C$64</c:f>
              <c:strCache>
                <c:ptCount val="1"/>
                <c:pt idx="0">
                  <c:v>Обсяги спожитого природного газу по м. Житомир у період 2010-2020 рр., млн. куб.м</c:v>
                </c:pt>
              </c:strCache>
            </c:strRef>
          </c:tx>
          <c:spPr>
            <a:ln>
              <a:solidFill>
                <a:schemeClr val="tx1"/>
              </a:solidFill>
            </a:ln>
          </c:spPr>
          <c:invertIfNegative val="0"/>
          <c:dLbls>
            <c:spPr>
              <a:noFill/>
              <a:ln>
                <a:noFill/>
              </a:ln>
              <a:effectLst/>
            </c:spPr>
            <c:txPr>
              <a:bodyPr wrap="square" lIns="38100" tIns="19050" rIns="38100" bIns="19050" anchor="ctr">
                <a:spAutoFit/>
              </a:bodyPr>
              <a:lstStyle/>
              <a:p>
                <a:pPr>
                  <a:defRPr sz="12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Житло!$C$62:$L$62</c:f>
              <c:numCache>
                <c:formatCode>General</c:formatCode>
                <c:ptCount val="10"/>
                <c:pt idx="0">
                  <c:v>2010</c:v>
                </c:pt>
                <c:pt idx="1">
                  <c:v>2012</c:v>
                </c:pt>
                <c:pt idx="2">
                  <c:v>2013</c:v>
                </c:pt>
                <c:pt idx="3">
                  <c:v>2014</c:v>
                </c:pt>
                <c:pt idx="4">
                  <c:v>2015</c:v>
                </c:pt>
                <c:pt idx="5">
                  <c:v>2016</c:v>
                </c:pt>
                <c:pt idx="6">
                  <c:v>2017</c:v>
                </c:pt>
                <c:pt idx="7">
                  <c:v>2018</c:v>
                </c:pt>
                <c:pt idx="8">
                  <c:v>2019</c:v>
                </c:pt>
                <c:pt idx="9">
                  <c:v>2020</c:v>
                </c:pt>
              </c:numCache>
            </c:numRef>
          </c:cat>
          <c:val>
            <c:numRef>
              <c:f>Житло!$C$65:$L$65</c:f>
              <c:numCache>
                <c:formatCode>0.0</c:formatCode>
                <c:ptCount val="10"/>
                <c:pt idx="0">
                  <c:v>94.435000000000002</c:v>
                </c:pt>
                <c:pt idx="1">
                  <c:v>105.252</c:v>
                </c:pt>
                <c:pt idx="2">
                  <c:v>112.1871</c:v>
                </c:pt>
                <c:pt idx="3">
                  <c:v>89.095600000000005</c:v>
                </c:pt>
                <c:pt idx="4">
                  <c:v>74.446399999999997</c:v>
                </c:pt>
                <c:pt idx="5">
                  <c:v>78.018899999999988</c:v>
                </c:pt>
                <c:pt idx="6">
                  <c:v>58.934456509999997</c:v>
                </c:pt>
                <c:pt idx="7">
                  <c:v>57.659632170000002</c:v>
                </c:pt>
                <c:pt idx="8">
                  <c:v>50.076699470000001</c:v>
                </c:pt>
                <c:pt idx="9">
                  <c:v>50.666524980000005</c:v>
                </c:pt>
              </c:numCache>
            </c:numRef>
          </c:val>
          <c:extLst>
            <c:ext xmlns:c16="http://schemas.microsoft.com/office/drawing/2014/chart" uri="{C3380CC4-5D6E-409C-BE32-E72D297353CC}">
              <c16:uniqueId val="{00000000-3F4B-4F9E-8597-2218D11BDD50}"/>
            </c:ext>
          </c:extLst>
        </c:ser>
        <c:dLbls>
          <c:showLegendKey val="0"/>
          <c:showVal val="0"/>
          <c:showCatName val="0"/>
          <c:showSerName val="0"/>
          <c:showPercent val="0"/>
          <c:showBubbleSize val="0"/>
        </c:dLbls>
        <c:gapWidth val="150"/>
        <c:axId val="1918229504"/>
        <c:axId val="1918230048"/>
      </c:barChart>
      <c:catAx>
        <c:axId val="1918229504"/>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30048"/>
        <c:crosses val="autoZero"/>
        <c:auto val="1"/>
        <c:lblAlgn val="ctr"/>
        <c:lblOffset val="100"/>
        <c:noMultiLvlLbl val="0"/>
      </c:catAx>
      <c:valAx>
        <c:axId val="1918230048"/>
        <c:scaling>
          <c:orientation val="minMax"/>
          <c:max val="125"/>
          <c:min val="0"/>
        </c:scaling>
        <c:delete val="1"/>
        <c:axPos val="l"/>
        <c:majorGridlines/>
        <c:numFmt formatCode="0.0" sourceLinked="1"/>
        <c:majorTickMark val="out"/>
        <c:minorTickMark val="none"/>
        <c:tickLblPos val="nextTo"/>
        <c:crossAx val="1918229504"/>
        <c:crosses val="autoZero"/>
        <c:crossBetween val="between"/>
        <c:majorUnit val="25"/>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Споживання електроенергії населенням Житомирської МТГ у 2010, 2016-2020 рр., тис</a:t>
            </a:r>
            <a:r>
              <a:rPr lang="ru-RU" sz="1100" baseline="0">
                <a:latin typeface="Times New Roman" panose="02020603050405020304" pitchFamily="18" charset="0"/>
                <a:cs typeface="Times New Roman" panose="02020603050405020304" pitchFamily="18" charset="0"/>
              </a:rPr>
              <a:t> МВт*год</a:t>
            </a:r>
            <a:endParaRPr lang="ru-RU" sz="1100">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spPr>
            <a:solidFill>
              <a:schemeClr val="accent3"/>
            </a:solidFill>
            <a:ln>
              <a:solidFill>
                <a:schemeClr val="tx1"/>
              </a:solidFill>
            </a:ln>
          </c:spPr>
          <c:invertIfNegative val="0"/>
          <c:dLbls>
            <c:spPr>
              <a:noFill/>
              <a:ln>
                <a:noFill/>
              </a:ln>
              <a:effectLst/>
            </c:spPr>
            <c:txPr>
              <a:bodyPr wrap="square" lIns="38100" tIns="19050" rIns="38100" bIns="19050" anchor="ctr">
                <a:spAutoFit/>
              </a:bodyPr>
              <a:lstStyle/>
              <a:p>
                <a:pPr>
                  <a:defRPr sz="11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Житло!$H$15:$M$15</c:f>
              <c:numCache>
                <c:formatCode>0</c:formatCode>
                <c:ptCount val="6"/>
                <c:pt idx="0">
                  <c:v>2010</c:v>
                </c:pt>
                <c:pt idx="1">
                  <c:v>2016</c:v>
                </c:pt>
                <c:pt idx="2">
                  <c:v>2017</c:v>
                </c:pt>
                <c:pt idx="3">
                  <c:v>2018</c:v>
                </c:pt>
                <c:pt idx="4">
                  <c:v>2019</c:v>
                </c:pt>
                <c:pt idx="5">
                  <c:v>2020</c:v>
                </c:pt>
              </c:numCache>
            </c:numRef>
          </c:cat>
          <c:val>
            <c:numRef>
              <c:f>Житло!$H$16:$M$16</c:f>
              <c:numCache>
                <c:formatCode>0.0</c:formatCode>
                <c:ptCount val="6"/>
                <c:pt idx="0" formatCode="General">
                  <c:v>171.20400000000001</c:v>
                </c:pt>
                <c:pt idx="1">
                  <c:v>193.79050799999999</c:v>
                </c:pt>
                <c:pt idx="2">
                  <c:v>195.34457699999999</c:v>
                </c:pt>
                <c:pt idx="3">
                  <c:v>196.6026</c:v>
                </c:pt>
                <c:pt idx="4">
                  <c:v>196.99295800000002</c:v>
                </c:pt>
                <c:pt idx="5">
                  <c:v>198.21341000000001</c:v>
                </c:pt>
              </c:numCache>
            </c:numRef>
          </c:val>
          <c:extLst>
            <c:ext xmlns:c16="http://schemas.microsoft.com/office/drawing/2014/chart" uri="{C3380CC4-5D6E-409C-BE32-E72D297353CC}">
              <c16:uniqueId val="{00000000-7DAC-4CC5-9F20-8DB654543687}"/>
            </c:ext>
          </c:extLst>
        </c:ser>
        <c:dLbls>
          <c:showLegendKey val="0"/>
          <c:showVal val="0"/>
          <c:showCatName val="0"/>
          <c:showSerName val="0"/>
          <c:showPercent val="0"/>
          <c:showBubbleSize val="0"/>
        </c:dLbls>
        <c:gapWidth val="150"/>
        <c:axId val="1918227872"/>
        <c:axId val="1918233312"/>
      </c:barChart>
      <c:catAx>
        <c:axId val="1918227872"/>
        <c:scaling>
          <c:orientation val="minMax"/>
        </c:scaling>
        <c:delete val="0"/>
        <c:axPos val="b"/>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33312"/>
        <c:crosses val="autoZero"/>
        <c:auto val="1"/>
        <c:lblAlgn val="ctr"/>
        <c:lblOffset val="100"/>
        <c:noMultiLvlLbl val="0"/>
      </c:catAx>
      <c:valAx>
        <c:axId val="1918233312"/>
        <c:scaling>
          <c:orientation val="minMax"/>
          <c:min val="0"/>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918227872"/>
        <c:crosses val="autoZero"/>
        <c:crossBetween val="between"/>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r>
              <a:rPr lang="ru-RU" sz="1200" b="0" i="0" baseline="0">
                <a:effectLst/>
                <a:latin typeface="Times New Roman" panose="02020603050405020304" pitchFamily="18" charset="0"/>
                <a:cs typeface="Times New Roman" panose="02020603050405020304" pitchFamily="18" charset="0"/>
              </a:rPr>
              <a:t>Мережа зовнішнього освітлення:</a:t>
            </a:r>
            <a:endParaRPr lang="ru-RU" sz="1200">
              <a:effectLst/>
              <a:latin typeface="Times New Roman" panose="02020603050405020304" pitchFamily="18" charset="0"/>
              <a:cs typeface="Times New Roman" panose="02020603050405020304" pitchFamily="18" charset="0"/>
            </a:endParaRPr>
          </a:p>
          <a:p>
            <a:pPr>
              <a:defRPr sz="1600"/>
            </a:pPr>
            <a:r>
              <a:rPr lang="ru-RU" sz="1200" b="0" i="0" baseline="0">
                <a:effectLst/>
                <a:latin typeface="Times New Roman" panose="02020603050405020304" pitchFamily="18" charset="0"/>
                <a:cs typeface="Times New Roman" panose="02020603050405020304" pitchFamily="18" charset="0"/>
              </a:rPr>
              <a:t>кількість світлоточок (шт) та спожита електроенергія (МВт*год)</a:t>
            </a:r>
            <a:endParaRPr lang="ru-RU" sz="1200">
              <a:latin typeface="Times New Roman" panose="02020603050405020304" pitchFamily="18" charset="0"/>
              <a:cs typeface="Times New Roman" panose="02020603050405020304" pitchFamily="18" charset="0"/>
            </a:endParaRPr>
          </a:p>
        </c:rich>
      </c:tx>
      <c:layout>
        <c:manualLayout>
          <c:xMode val="edge"/>
          <c:yMode val="edge"/>
          <c:x val="0.13142696019224215"/>
          <c:y val="2.4922118380062305E-2"/>
        </c:manualLayout>
      </c:layout>
      <c:overlay val="0"/>
      <c:spPr>
        <a:noFill/>
        <a:ln>
          <a:noFill/>
        </a:ln>
        <a:effectLst/>
      </c:spPr>
      <c:txPr>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8624539781497559E-2"/>
          <c:y val="0.23063599032102969"/>
          <c:w val="0.87047670528598109"/>
          <c:h val="0.58250943857243065"/>
        </c:manualLayout>
      </c:layout>
      <c:barChart>
        <c:barDir val="col"/>
        <c:grouping val="clustered"/>
        <c:varyColors val="0"/>
        <c:ser>
          <c:idx val="1"/>
          <c:order val="0"/>
          <c:tx>
            <c:strRef>
              <c:f>Міськсвітло!$B$1</c:f>
              <c:strCache>
                <c:ptCount val="1"/>
                <c:pt idx="0">
                  <c:v>Електроенергія, МВт*год</c:v>
                </c:pt>
              </c:strCache>
            </c:strRef>
          </c:tx>
          <c:spPr>
            <a:pattFill prst="wdUpDiag">
              <a:fgClr>
                <a:schemeClr val="accent1"/>
              </a:fgClr>
              <a:bgClr>
                <a:schemeClr val="bg1"/>
              </a:bgClr>
            </a:pattFill>
            <a:ln w="19050">
              <a:solidFill>
                <a:schemeClr val="tx1"/>
              </a:solidFill>
            </a:ln>
            <a:effectLst/>
          </c:spPr>
          <c:invertIfNegative val="0"/>
          <c:dLbls>
            <c:dLbl>
              <c:idx val="0"/>
              <c:layout>
                <c:manualLayout>
                  <c:x val="-1.9597136876054292E-17"/>
                  <c:y val="2.07684319833852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43-41BB-ABAA-A62A940B2990}"/>
                </c:ext>
              </c:extLst>
            </c:dLbl>
            <c:dLbl>
              <c:idx val="1"/>
              <c:layout>
                <c:manualLayout>
                  <c:x val="0"/>
                  <c:y val="1.246105919003115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43-41BB-ABAA-A62A940B2990}"/>
                </c:ext>
              </c:extLst>
            </c:dLbl>
            <c:dLbl>
              <c:idx val="2"/>
              <c:layout>
                <c:manualLayout>
                  <c:x val="0"/>
                  <c:y val="1.66147455867082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43-41BB-ABAA-A62A940B2990}"/>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Міськсвітло!$A$2:$A$11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Міськсвітло!$B$2:$B$11</c:f>
              <c:numCache>
                <c:formatCode>#,##0.000</c:formatCode>
                <c:ptCount val="10"/>
                <c:pt idx="0">
                  <c:v>3213.9549999999999</c:v>
                </c:pt>
                <c:pt idx="1">
                  <c:v>3233.6149999999998</c:v>
                </c:pt>
                <c:pt idx="2">
                  <c:v>3451.6529999999998</c:v>
                </c:pt>
                <c:pt idx="3">
                  <c:v>3470.0279999999998</c:v>
                </c:pt>
                <c:pt idx="4">
                  <c:v>3195.91</c:v>
                </c:pt>
                <c:pt idx="5">
                  <c:v>2319.377</c:v>
                </c:pt>
                <c:pt idx="6">
                  <c:v>1949.15</c:v>
                </c:pt>
                <c:pt idx="7">
                  <c:v>1881.0740000000001</c:v>
                </c:pt>
                <c:pt idx="8">
                  <c:v>967.36199999999997</c:v>
                </c:pt>
                <c:pt idx="9">
                  <c:v>1200.9000000000001</c:v>
                </c:pt>
              </c:numCache>
            </c:numRef>
          </c:val>
          <c:extLst>
            <c:ext xmlns:c16="http://schemas.microsoft.com/office/drawing/2014/chart" uri="{C3380CC4-5D6E-409C-BE32-E72D297353CC}">
              <c16:uniqueId val="{00000000-0A43-41BB-ABAA-A62A940B2990}"/>
            </c:ext>
          </c:extLst>
        </c:ser>
        <c:dLbls>
          <c:showLegendKey val="0"/>
          <c:showVal val="0"/>
          <c:showCatName val="0"/>
          <c:showSerName val="0"/>
          <c:showPercent val="0"/>
          <c:showBubbleSize val="0"/>
        </c:dLbls>
        <c:gapWidth val="219"/>
        <c:overlap val="-27"/>
        <c:axId val="1918228960"/>
        <c:axId val="1918231136"/>
      </c:barChart>
      <c:lineChart>
        <c:grouping val="standard"/>
        <c:varyColors val="0"/>
        <c:ser>
          <c:idx val="0"/>
          <c:order val="1"/>
          <c:tx>
            <c:strRef>
              <c:f>Міськсвітло!$C$1</c:f>
              <c:strCache>
                <c:ptCount val="1"/>
                <c:pt idx="0">
                  <c:v>Кількість світлоточок, шт.</c:v>
                </c:pt>
              </c:strCache>
            </c:strRef>
          </c:tx>
          <c:spPr>
            <a:ln w="19050" cap="rnd">
              <a:solidFill>
                <a:schemeClr val="tx1"/>
              </a:solidFill>
              <a:round/>
            </a:ln>
            <a:effectLst/>
          </c:spPr>
          <c:marker>
            <c:symbol val="circle"/>
            <c:size val="8"/>
            <c:spPr>
              <a:solidFill>
                <a:schemeClr val="bg1"/>
              </a:solidFill>
              <a:ln w="6350">
                <a:solidFill>
                  <a:schemeClr val="tx1"/>
                </a:solidFill>
              </a:ln>
              <a:effectLst/>
            </c:spPr>
          </c:marker>
          <c:dLbls>
            <c:spPr>
              <a:solidFill>
                <a:schemeClr val="bg1">
                  <a:lumMod val="95000"/>
                </a:schemeClr>
              </a:solidFill>
              <a:ln>
                <a:solidFill>
                  <a:schemeClr val="tx1"/>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Міськсвітло!$C$2:$C$11</c:f>
              <c:numCache>
                <c:formatCode>#,##0</c:formatCode>
                <c:ptCount val="10"/>
                <c:pt idx="0">
                  <c:v>12506</c:v>
                </c:pt>
                <c:pt idx="1">
                  <c:v>13301</c:v>
                </c:pt>
                <c:pt idx="2">
                  <c:v>13503</c:v>
                </c:pt>
                <c:pt idx="3">
                  <c:v>14895</c:v>
                </c:pt>
                <c:pt idx="4">
                  <c:v>14773</c:v>
                </c:pt>
                <c:pt idx="5">
                  <c:v>15408</c:v>
                </c:pt>
                <c:pt idx="6">
                  <c:v>15686</c:v>
                </c:pt>
                <c:pt idx="7">
                  <c:v>16157</c:v>
                </c:pt>
                <c:pt idx="8">
                  <c:v>16440</c:v>
                </c:pt>
                <c:pt idx="9">
                  <c:v>16550</c:v>
                </c:pt>
              </c:numCache>
            </c:numRef>
          </c:val>
          <c:smooth val="0"/>
          <c:extLst>
            <c:ext xmlns:c16="http://schemas.microsoft.com/office/drawing/2014/chart" uri="{C3380CC4-5D6E-409C-BE32-E72D297353CC}">
              <c16:uniqueId val="{00000001-0A43-41BB-ABAA-A62A940B2990}"/>
            </c:ext>
          </c:extLst>
        </c:ser>
        <c:dLbls>
          <c:showLegendKey val="0"/>
          <c:showVal val="0"/>
          <c:showCatName val="0"/>
          <c:showSerName val="0"/>
          <c:showPercent val="0"/>
          <c:showBubbleSize val="0"/>
        </c:dLbls>
        <c:marker val="1"/>
        <c:smooth val="0"/>
        <c:axId val="1441816656"/>
        <c:axId val="1441821008"/>
      </c:lineChart>
      <c:catAx>
        <c:axId val="191822896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918231136"/>
        <c:crosses val="autoZero"/>
        <c:auto val="1"/>
        <c:lblAlgn val="ctr"/>
        <c:lblOffset val="100"/>
        <c:noMultiLvlLbl val="0"/>
      </c:catAx>
      <c:valAx>
        <c:axId val="1918231136"/>
        <c:scaling>
          <c:orientation val="minMax"/>
          <c:max val="5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918228960"/>
        <c:crosses val="autoZero"/>
        <c:crossBetween val="between"/>
        <c:majorUnit val="1000"/>
      </c:valAx>
      <c:valAx>
        <c:axId val="1441821008"/>
        <c:scaling>
          <c:orientation val="minMax"/>
          <c:max val="17000"/>
          <c:min val="0"/>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ru-RU"/>
          </a:p>
        </c:txPr>
        <c:crossAx val="1441816656"/>
        <c:crosses val="max"/>
        <c:crossBetween val="between"/>
        <c:majorUnit val="10000"/>
      </c:valAx>
      <c:catAx>
        <c:axId val="1441816656"/>
        <c:scaling>
          <c:orientation val="minMax"/>
        </c:scaling>
        <c:delete val="1"/>
        <c:axPos val="b"/>
        <c:majorTickMark val="out"/>
        <c:minorTickMark val="none"/>
        <c:tickLblPos val="nextTo"/>
        <c:crossAx val="1441821008"/>
        <c:crosses val="autoZero"/>
        <c:auto val="1"/>
        <c:lblAlgn val="ctr"/>
        <c:lblOffset val="100"/>
        <c:noMultiLvlLbl val="0"/>
      </c:catAx>
      <c:spPr>
        <a:noFill/>
        <a:ln>
          <a:solidFill>
            <a:schemeClr val="tx1"/>
          </a:solid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r>
              <a:rPr lang="ru-RU" sz="1200" b="0" i="0" baseline="0">
                <a:effectLst/>
                <a:latin typeface="Times New Roman" panose="02020603050405020304" pitchFamily="18" charset="0"/>
                <a:cs typeface="Times New Roman" panose="02020603050405020304" pitchFamily="18" charset="0"/>
              </a:rPr>
              <a:t>Споживання електроенергії світлофорними об</a:t>
            </a:r>
            <a:r>
              <a:rPr lang="en-US" sz="1200" b="0" i="0" baseline="0">
                <a:effectLst/>
                <a:latin typeface="Times New Roman" panose="02020603050405020304" pitchFamily="18" charset="0"/>
                <a:cs typeface="Times New Roman" panose="02020603050405020304" pitchFamily="18" charset="0"/>
              </a:rPr>
              <a:t>'</a:t>
            </a:r>
            <a:r>
              <a:rPr lang="ru-RU" sz="1200" b="0" i="0" baseline="0">
                <a:effectLst/>
                <a:latin typeface="Times New Roman" panose="02020603050405020304" pitchFamily="18" charset="0"/>
                <a:cs typeface="Times New Roman" panose="02020603050405020304" pitchFamily="18" charset="0"/>
              </a:rPr>
              <a:t>єктами (МВт*год) та їх загальна кількість (од)</a:t>
            </a:r>
            <a:endParaRPr lang="ru-RU"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8624539781497559E-2"/>
          <c:y val="0.2506559969906042"/>
          <c:w val="0.87047670528598109"/>
          <c:h val="0.56248959108124508"/>
        </c:manualLayout>
      </c:layout>
      <c:barChart>
        <c:barDir val="col"/>
        <c:grouping val="clustered"/>
        <c:varyColors val="0"/>
        <c:ser>
          <c:idx val="1"/>
          <c:order val="0"/>
          <c:tx>
            <c:strRef>
              <c:f>Міськсвітло!$E$1</c:f>
              <c:strCache>
                <c:ptCount val="1"/>
                <c:pt idx="0">
                  <c:v>Електроенергія, МВт*год</c:v>
                </c:pt>
              </c:strCache>
            </c:strRef>
          </c:tx>
          <c:spPr>
            <a:pattFill prst="wdUpDiag">
              <a:fgClr>
                <a:schemeClr val="tx1">
                  <a:lumMod val="50000"/>
                  <a:lumOff val="50000"/>
                </a:schemeClr>
              </a:fgClr>
              <a:bgClr>
                <a:schemeClr val="bg1"/>
              </a:bgClr>
            </a:pattFill>
            <a:ln w="12700">
              <a:solidFill>
                <a:schemeClr val="tx1"/>
              </a:solidFill>
            </a:ln>
            <a:effectLst/>
          </c:spPr>
          <c:invertIfNegative val="0"/>
          <c:dLbls>
            <c:dLbl>
              <c:idx val="0"/>
              <c:layout>
                <c:manualLayout>
                  <c:x val="3.848209513629075E-2"/>
                  <c:y val="6.94896851248643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07-475D-9185-00ADE02F820A}"/>
                </c:ext>
              </c:extLst>
            </c:dLbl>
            <c:dLbl>
              <c:idx val="1"/>
              <c:layout>
                <c:manualLayout>
                  <c:x val="3.6344200962052375E-2"/>
                  <c:y val="5.2117263843648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07-475D-9185-00ADE02F820A}"/>
                </c:ext>
              </c:extLst>
            </c:dLbl>
            <c:dLbl>
              <c:idx val="2"/>
              <c:layout>
                <c:manualLayout>
                  <c:x val="3.6344200962052341E-2"/>
                  <c:y val="3.9087947882736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07-475D-9185-00ADE02F820A}"/>
                </c:ext>
              </c:extLst>
            </c:dLbl>
            <c:dLbl>
              <c:idx val="3"/>
              <c:layout>
                <c:manualLayout>
                  <c:x val="-3.9194273752108585E-17"/>
                  <c:y val="5.06194054733386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CD-4544-81FF-8042C892021A}"/>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Міськсвітло!$A$2:$A$11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Міськсвітло!$E$2:$E$11</c:f>
              <c:numCache>
                <c:formatCode>#,##0.000</c:formatCode>
                <c:ptCount val="10"/>
                <c:pt idx="0">
                  <c:v>478.76499999999999</c:v>
                </c:pt>
                <c:pt idx="1">
                  <c:v>469.45499999999998</c:v>
                </c:pt>
                <c:pt idx="2">
                  <c:v>463.52100000000002</c:v>
                </c:pt>
                <c:pt idx="3">
                  <c:v>402.66399999999999</c:v>
                </c:pt>
                <c:pt idx="4">
                  <c:v>337.28</c:v>
                </c:pt>
                <c:pt idx="5">
                  <c:v>323.67700000000002</c:v>
                </c:pt>
                <c:pt idx="6">
                  <c:v>187.321</c:v>
                </c:pt>
                <c:pt idx="7">
                  <c:v>171.19800000000001</c:v>
                </c:pt>
                <c:pt idx="8">
                  <c:v>134.352</c:v>
                </c:pt>
                <c:pt idx="9">
                  <c:v>132</c:v>
                </c:pt>
              </c:numCache>
            </c:numRef>
          </c:val>
          <c:extLst>
            <c:ext xmlns:c16="http://schemas.microsoft.com/office/drawing/2014/chart" uri="{C3380CC4-5D6E-409C-BE32-E72D297353CC}">
              <c16:uniqueId val="{00000001-F7CD-4544-81FF-8042C892021A}"/>
            </c:ext>
          </c:extLst>
        </c:ser>
        <c:dLbls>
          <c:showLegendKey val="0"/>
          <c:showVal val="0"/>
          <c:showCatName val="0"/>
          <c:showSerName val="0"/>
          <c:showPercent val="0"/>
          <c:showBubbleSize val="0"/>
        </c:dLbls>
        <c:gapWidth val="219"/>
        <c:overlap val="-27"/>
        <c:axId val="1441817200"/>
        <c:axId val="1441815024"/>
      </c:barChart>
      <c:lineChart>
        <c:grouping val="standard"/>
        <c:varyColors val="0"/>
        <c:ser>
          <c:idx val="0"/>
          <c:order val="1"/>
          <c:tx>
            <c:strRef>
              <c:f>Міськсвітло!$F$1</c:f>
              <c:strCache>
                <c:ptCount val="1"/>
                <c:pt idx="0">
                  <c:v>Кількість світлофорних об'єктів, од.</c:v>
                </c:pt>
              </c:strCache>
            </c:strRef>
          </c:tx>
          <c:spPr>
            <a:ln w="28575" cap="rnd">
              <a:solidFill>
                <a:schemeClr val="accent1"/>
              </a:solidFill>
              <a:round/>
            </a:ln>
            <a:effectLst/>
          </c:spPr>
          <c:marker>
            <c:symbol val="square"/>
            <c:size val="8"/>
            <c:spPr>
              <a:solidFill>
                <a:srgbClr val="FFFF00"/>
              </a:solidFill>
              <a:ln w="6350">
                <a:solidFill>
                  <a:schemeClr val="tx1"/>
                </a:solidFill>
              </a:ln>
              <a:effectLst/>
            </c:spPr>
          </c:marker>
          <c:dLbls>
            <c:dLbl>
              <c:idx val="0"/>
              <c:layout>
                <c:manualLayout>
                  <c:x val="-3.848209513629075E-2"/>
                  <c:y val="-0.105971769815418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07-475D-9185-00ADE02F820A}"/>
                </c:ext>
              </c:extLst>
            </c:dLbl>
            <c:dLbl>
              <c:idx val="1"/>
              <c:layout>
                <c:manualLayout>
                  <c:x val="-3.6344200962052375E-2"/>
                  <c:y val="-0.110314875135722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07-475D-9185-00ADE02F820A}"/>
                </c:ext>
              </c:extLst>
            </c:dLbl>
            <c:spPr>
              <a:solidFill>
                <a:schemeClr val="bg1"/>
              </a:solidFill>
              <a:ln w="6350">
                <a:solidFill>
                  <a:schemeClr val="tx1"/>
                </a:solid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Міськсвітло!$F$2:$F$11</c:f>
              <c:numCache>
                <c:formatCode>#,##0</c:formatCode>
                <c:ptCount val="10"/>
                <c:pt idx="0">
                  <c:v>99</c:v>
                </c:pt>
                <c:pt idx="1">
                  <c:v>99</c:v>
                </c:pt>
                <c:pt idx="2">
                  <c:v>102</c:v>
                </c:pt>
                <c:pt idx="3">
                  <c:v>106</c:v>
                </c:pt>
                <c:pt idx="4">
                  <c:v>107</c:v>
                </c:pt>
                <c:pt idx="5">
                  <c:v>108</c:v>
                </c:pt>
                <c:pt idx="6">
                  <c:v>110</c:v>
                </c:pt>
                <c:pt idx="7">
                  <c:v>118</c:v>
                </c:pt>
                <c:pt idx="8">
                  <c:v>114</c:v>
                </c:pt>
                <c:pt idx="9">
                  <c:v>119</c:v>
                </c:pt>
              </c:numCache>
            </c:numRef>
          </c:val>
          <c:smooth val="0"/>
          <c:extLst>
            <c:ext xmlns:c16="http://schemas.microsoft.com/office/drawing/2014/chart" uri="{C3380CC4-5D6E-409C-BE32-E72D297353CC}">
              <c16:uniqueId val="{00000005-F7CD-4544-81FF-8042C892021A}"/>
            </c:ext>
          </c:extLst>
        </c:ser>
        <c:dLbls>
          <c:showLegendKey val="0"/>
          <c:showVal val="0"/>
          <c:showCatName val="0"/>
          <c:showSerName val="0"/>
          <c:showPercent val="0"/>
          <c:showBubbleSize val="0"/>
        </c:dLbls>
        <c:marker val="1"/>
        <c:smooth val="0"/>
        <c:axId val="1441815568"/>
        <c:axId val="1441818832"/>
      </c:lineChart>
      <c:catAx>
        <c:axId val="144181720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1441815024"/>
        <c:crosses val="autoZero"/>
        <c:auto val="1"/>
        <c:lblAlgn val="ctr"/>
        <c:lblOffset val="100"/>
        <c:noMultiLvlLbl val="0"/>
      </c:catAx>
      <c:valAx>
        <c:axId val="1441815024"/>
        <c:scaling>
          <c:orientation val="minMax"/>
          <c:max val="6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1441817200"/>
        <c:crosses val="autoZero"/>
        <c:crossBetween val="between"/>
        <c:majorUnit val="100"/>
      </c:valAx>
      <c:valAx>
        <c:axId val="1441818832"/>
        <c:scaling>
          <c:orientation val="minMax"/>
          <c:max val="120"/>
          <c:min val="0"/>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ru-RU"/>
          </a:p>
        </c:txPr>
        <c:crossAx val="1441815568"/>
        <c:crosses val="max"/>
        <c:crossBetween val="between"/>
        <c:majorUnit val="10"/>
      </c:valAx>
      <c:catAx>
        <c:axId val="1441815568"/>
        <c:scaling>
          <c:orientation val="minMax"/>
        </c:scaling>
        <c:delete val="1"/>
        <c:axPos val="b"/>
        <c:majorTickMark val="out"/>
        <c:minorTickMark val="none"/>
        <c:tickLblPos val="nextTo"/>
        <c:crossAx val="14418188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6350" cap="flat" cmpd="sng" algn="ctr">
      <a:solidFill>
        <a:schemeClr val="tx1"/>
      </a:solidFill>
      <a:round/>
    </a:ln>
    <a:effectLst/>
  </c:spPr>
  <c:txPr>
    <a:bodyPr/>
    <a:lstStyle/>
    <a:p>
      <a:pPr>
        <a:defRPr/>
      </a:pPr>
      <a:endParaRPr lang="ru-R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000">
                <a:latin typeface="Times New Roman" panose="02020603050405020304" pitchFamily="18" charset="0"/>
                <a:cs typeface="Times New Roman" panose="02020603050405020304" pitchFamily="18" charset="0"/>
              </a:defRPr>
            </a:pPr>
            <a:r>
              <a:rPr lang="ru-RU" sz="1000">
                <a:latin typeface="Times New Roman" panose="02020603050405020304" pitchFamily="18" charset="0"/>
                <a:cs typeface="Times New Roman" panose="02020603050405020304" pitchFamily="18" charset="0"/>
              </a:rPr>
              <a:t>Структура енергоспоживання промисловості та комерційних структур Житомирській міській</a:t>
            </a:r>
            <a:r>
              <a:rPr lang="ru-RU" sz="1000" baseline="0">
                <a:latin typeface="Times New Roman" panose="02020603050405020304" pitchFamily="18" charset="0"/>
                <a:cs typeface="Times New Roman" panose="02020603050405020304" pitchFamily="18" charset="0"/>
              </a:rPr>
              <a:t> територіальній громаді</a:t>
            </a:r>
            <a:br>
              <a:rPr lang="ru-RU" sz="1000" baseline="0">
                <a:latin typeface="Times New Roman" panose="02020603050405020304" pitchFamily="18" charset="0"/>
                <a:cs typeface="Times New Roman" panose="02020603050405020304" pitchFamily="18" charset="0"/>
              </a:rPr>
            </a:br>
            <a:r>
              <a:rPr lang="ru-RU" sz="1000">
                <a:latin typeface="Times New Roman" panose="02020603050405020304" pitchFamily="18" charset="0"/>
                <a:cs typeface="Times New Roman" panose="02020603050405020304" pitchFamily="18" charset="0"/>
              </a:rPr>
              <a:t> у 2010 р.</a:t>
            </a:r>
          </a:p>
        </c:rich>
      </c:tx>
      <c:overlay val="0"/>
    </c:title>
    <c:autoTitleDeleted val="0"/>
    <c:plotArea>
      <c:layout>
        <c:manualLayout>
          <c:layoutTarget val="inner"/>
          <c:xMode val="edge"/>
          <c:yMode val="edge"/>
          <c:x val="0.20320410209723963"/>
          <c:y val="0.29513818426467914"/>
          <c:w val="0.31285480314960629"/>
          <c:h val="0.6530506606240043"/>
        </c:manualLayout>
      </c:layout>
      <c:pieChart>
        <c:varyColors val="1"/>
        <c:ser>
          <c:idx val="0"/>
          <c:order val="0"/>
          <c:tx>
            <c:strRef>
              <c:f>Лист1!$B$9</c:f>
              <c:strCache>
                <c:ptCount val="1"/>
                <c:pt idx="0">
                  <c:v>Структура енергоспоживання провословості та комерційних структур м. Житомир у 2010 р.</c:v>
                </c:pt>
              </c:strCache>
            </c:strRef>
          </c:tx>
          <c:dPt>
            <c:idx val="0"/>
            <c:bubble3D val="0"/>
            <c:spPr>
              <a:solidFill>
                <a:schemeClr val="accent6"/>
              </a:solidFill>
            </c:spPr>
            <c:extLst>
              <c:ext xmlns:c16="http://schemas.microsoft.com/office/drawing/2014/chart" uri="{C3380CC4-5D6E-409C-BE32-E72D297353CC}">
                <c16:uniqueId val="{00000001-02F9-4F85-B26B-BBB8CC671078}"/>
              </c:ext>
            </c:extLst>
          </c:dPt>
          <c:dPt>
            <c:idx val="1"/>
            <c:bubble3D val="0"/>
            <c:spPr>
              <a:solidFill>
                <a:schemeClr val="accent3"/>
              </a:solidFill>
            </c:spPr>
            <c:extLst>
              <c:ext xmlns:c16="http://schemas.microsoft.com/office/drawing/2014/chart" uri="{C3380CC4-5D6E-409C-BE32-E72D297353CC}">
                <c16:uniqueId val="{00000003-02F9-4F85-B26B-BBB8CC671078}"/>
              </c:ext>
            </c:extLst>
          </c:dPt>
          <c:dPt>
            <c:idx val="2"/>
            <c:bubble3D val="0"/>
            <c:spPr>
              <a:solidFill>
                <a:schemeClr val="accent5"/>
              </a:solidFill>
            </c:spPr>
            <c:extLst>
              <c:ext xmlns:c16="http://schemas.microsoft.com/office/drawing/2014/chart" uri="{C3380CC4-5D6E-409C-BE32-E72D297353CC}">
                <c16:uniqueId val="{00000005-02F9-4F85-B26B-BBB8CC671078}"/>
              </c:ext>
            </c:extLst>
          </c:dPt>
          <c:dLbls>
            <c:dLbl>
              <c:idx val="0"/>
              <c:layout>
                <c:manualLayout>
                  <c:x val="-5.5897856517935262E-3"/>
                  <c:y val="-1.750656167979002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2F9-4F85-B26B-BBB8CC671078}"/>
                </c:ext>
              </c:extLst>
            </c:dLbl>
            <c:dLbl>
              <c:idx val="1"/>
              <c:layout>
                <c:manualLayout>
                  <c:x val="2.4077481632776464E-2"/>
                  <c:y val="-2.443795507847419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2F9-4F85-B26B-BBB8CC671078}"/>
                </c:ext>
              </c:extLst>
            </c:dLbl>
            <c:dLbl>
              <c:idx val="2"/>
              <c:layout>
                <c:manualLayout>
                  <c:x val="0.10698088868135597"/>
                  <c:y val="-0.1370073233235057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2F9-4F85-B26B-BBB8CC671078}"/>
                </c:ext>
              </c:extLst>
            </c:dLbl>
            <c:numFmt formatCode="0.0%" sourceLinked="0"/>
            <c:spPr>
              <a:noFill/>
              <a:ln>
                <a:noFill/>
              </a:ln>
              <a:effectLst/>
            </c:spPr>
            <c:txPr>
              <a:bodyPr/>
              <a:lstStyle/>
              <a:p>
                <a:pPr>
                  <a:defRPr sz="105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Лист1!$B$4:$B$6</c:f>
              <c:strCache>
                <c:ptCount val="3"/>
                <c:pt idx="0">
                  <c:v>Теплова енергія</c:v>
                </c:pt>
                <c:pt idx="1">
                  <c:v>Електроенергія</c:v>
                </c:pt>
                <c:pt idx="2">
                  <c:v>Природний газ</c:v>
                </c:pt>
              </c:strCache>
            </c:strRef>
          </c:cat>
          <c:val>
            <c:numRef>
              <c:f>Лист1!$E$4:$E$6</c:f>
              <c:numCache>
                <c:formatCode>General</c:formatCode>
                <c:ptCount val="3"/>
                <c:pt idx="0">
                  <c:v>33475.792000000001</c:v>
                </c:pt>
                <c:pt idx="1">
                  <c:v>173728</c:v>
                </c:pt>
                <c:pt idx="2">
                  <c:v>705004.02</c:v>
                </c:pt>
              </c:numCache>
            </c:numRef>
          </c:val>
          <c:extLst>
            <c:ext xmlns:c16="http://schemas.microsoft.com/office/drawing/2014/chart" uri="{C3380CC4-5D6E-409C-BE32-E72D297353CC}">
              <c16:uniqueId val="{00000006-02F9-4F85-B26B-BBB8CC671078}"/>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655714079354479"/>
          <c:y val="0.45937441788604705"/>
          <c:w val="0.22744955102342471"/>
          <c:h val="0.30190699133751442"/>
        </c:manualLayout>
      </c:layout>
      <c:overlay val="0"/>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000">
                <a:latin typeface="Times New Roman" panose="02020603050405020304" pitchFamily="18" charset="0"/>
                <a:cs typeface="Times New Roman" panose="02020603050405020304" pitchFamily="18" charset="0"/>
              </a:defRPr>
            </a:pPr>
            <a:r>
              <a:rPr lang="ru-RU" sz="1000">
                <a:latin typeface="Times New Roman" panose="02020603050405020304" pitchFamily="18" charset="0"/>
                <a:cs typeface="Times New Roman" panose="02020603050405020304" pitchFamily="18" charset="0"/>
              </a:rPr>
              <a:t>Структура енергоспоживання промисловості та комерційних структур </a:t>
            </a:r>
            <a:r>
              <a:rPr lang="ru-RU" sz="1000" b="1" i="0" u="none" strike="noStrike" baseline="0">
                <a:effectLst/>
                <a:latin typeface="Times New Roman" panose="02020603050405020304" pitchFamily="18" charset="0"/>
                <a:cs typeface="Times New Roman" panose="02020603050405020304" pitchFamily="18" charset="0"/>
              </a:rPr>
              <a:t>Житомирській міській територіальній громаді </a:t>
            </a:r>
            <a:r>
              <a:rPr lang="ru-RU" sz="1000">
                <a:latin typeface="Times New Roman" panose="02020603050405020304" pitchFamily="18" charset="0"/>
                <a:cs typeface="Times New Roman" panose="02020603050405020304" pitchFamily="18" charset="0"/>
              </a:rPr>
              <a:t>у 2020 р.</a:t>
            </a:r>
          </a:p>
        </c:rich>
      </c:tx>
      <c:overlay val="0"/>
    </c:title>
    <c:autoTitleDeleted val="0"/>
    <c:plotArea>
      <c:layout/>
      <c:pieChart>
        <c:varyColors val="1"/>
        <c:ser>
          <c:idx val="0"/>
          <c:order val="0"/>
          <c:tx>
            <c:strRef>
              <c:f>Пром!$B$19</c:f>
              <c:strCache>
                <c:ptCount val="1"/>
                <c:pt idx="0">
                  <c:v>Структура енергоспоживання провословості та комерційних структур м. Житомир у 2010 р.</c:v>
                </c:pt>
              </c:strCache>
            </c:strRef>
          </c:tx>
          <c:dPt>
            <c:idx val="0"/>
            <c:bubble3D val="0"/>
            <c:spPr>
              <a:solidFill>
                <a:schemeClr val="accent6"/>
              </a:solidFill>
            </c:spPr>
            <c:extLst>
              <c:ext xmlns:c16="http://schemas.microsoft.com/office/drawing/2014/chart" uri="{C3380CC4-5D6E-409C-BE32-E72D297353CC}">
                <c16:uniqueId val="{00000001-5DF8-42F9-BFC8-D8416F36228C}"/>
              </c:ext>
            </c:extLst>
          </c:dPt>
          <c:dPt>
            <c:idx val="1"/>
            <c:bubble3D val="0"/>
            <c:spPr>
              <a:solidFill>
                <a:schemeClr val="accent3"/>
              </a:solidFill>
            </c:spPr>
            <c:extLst>
              <c:ext xmlns:c16="http://schemas.microsoft.com/office/drawing/2014/chart" uri="{C3380CC4-5D6E-409C-BE32-E72D297353CC}">
                <c16:uniqueId val="{00000003-5DF8-42F9-BFC8-D8416F36228C}"/>
              </c:ext>
            </c:extLst>
          </c:dPt>
          <c:dPt>
            <c:idx val="2"/>
            <c:bubble3D val="0"/>
            <c:spPr>
              <a:solidFill>
                <a:schemeClr val="accent5"/>
              </a:solidFill>
            </c:spPr>
            <c:extLst>
              <c:ext xmlns:c16="http://schemas.microsoft.com/office/drawing/2014/chart" uri="{C3380CC4-5D6E-409C-BE32-E72D297353CC}">
                <c16:uniqueId val="{00000005-5DF8-42F9-BFC8-D8416F36228C}"/>
              </c:ext>
            </c:extLst>
          </c:dPt>
          <c:dLbls>
            <c:dLbl>
              <c:idx val="0"/>
              <c:layout>
                <c:manualLayout>
                  <c:x val="-5.5897856517935262E-3"/>
                  <c:y val="-1.750656167979002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DF8-42F9-BFC8-D8416F36228C}"/>
                </c:ext>
              </c:extLst>
            </c:dLbl>
            <c:dLbl>
              <c:idx val="1"/>
              <c:layout>
                <c:manualLayout>
                  <c:x val="-0.13025853018372704"/>
                  <c:y val="4.409801123852807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DF8-42F9-BFC8-D8416F36228C}"/>
                </c:ext>
              </c:extLst>
            </c:dLbl>
            <c:dLbl>
              <c:idx val="2"/>
              <c:layout>
                <c:manualLayout>
                  <c:x val="0.12831277340332459"/>
                  <c:y val="-0.1592683727034120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DF8-42F9-BFC8-D8416F36228C}"/>
                </c:ext>
              </c:extLst>
            </c:dLbl>
            <c:numFmt formatCode="0.0%" sourceLinked="0"/>
            <c:spPr>
              <a:noFill/>
              <a:ln>
                <a:noFill/>
              </a:ln>
              <a:effectLst/>
            </c:spPr>
            <c:txPr>
              <a:bodyPr/>
              <a:lstStyle/>
              <a:p>
                <a:pPr>
                  <a:defRPr sz="105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Пром!$B$4:$B$6</c:f>
              <c:strCache>
                <c:ptCount val="3"/>
                <c:pt idx="0">
                  <c:v>Теплова енергія</c:v>
                </c:pt>
                <c:pt idx="1">
                  <c:v>Електроенергія</c:v>
                </c:pt>
                <c:pt idx="2">
                  <c:v>Природний газ</c:v>
                </c:pt>
              </c:strCache>
            </c:strRef>
          </c:cat>
          <c:val>
            <c:numRef>
              <c:f>Пром!$E$14:$E$16</c:f>
              <c:numCache>
                <c:formatCode>0.0</c:formatCode>
                <c:ptCount val="3"/>
                <c:pt idx="0">
                  <c:v>14359.561</c:v>
                </c:pt>
                <c:pt idx="1">
                  <c:v>262153.21999999997</c:v>
                </c:pt>
                <c:pt idx="2">
                  <c:v>374793.27007499972</c:v>
                </c:pt>
              </c:numCache>
            </c:numRef>
          </c:val>
          <c:extLst>
            <c:ext xmlns:c16="http://schemas.microsoft.com/office/drawing/2014/chart" uri="{C3380CC4-5D6E-409C-BE32-E72D297353CC}">
              <c16:uniqueId val="{00000006-5DF8-42F9-BFC8-D8416F36228C}"/>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Аркуш1!$B$14</c:f>
              <c:strCache>
                <c:ptCount val="1"/>
                <c:pt idx="0">
                  <c:v>2011-2040</c:v>
                </c:pt>
              </c:strCache>
            </c:strRef>
          </c:tx>
          <c:spPr>
            <a:ln w="28575" cap="rnd">
              <a:solidFill>
                <a:schemeClr val="accent6"/>
              </a:solidFill>
              <a:round/>
            </a:ln>
            <a:effectLst/>
          </c:spPr>
          <c:marker>
            <c:symbol val="square"/>
            <c:size val="6"/>
            <c:spPr>
              <a:solidFill>
                <a:schemeClr val="accent6"/>
              </a:solidFill>
              <a:ln w="9525">
                <a:solidFill>
                  <a:schemeClr val="accent6"/>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Аркуш1!$C$27:$N$27</c:f>
              <c:numCache>
                <c:formatCode>0.00</c:formatCode>
                <c:ptCount val="12"/>
                <c:pt idx="0">
                  <c:v>-3.080921257504134</c:v>
                </c:pt>
                <c:pt idx="1">
                  <c:v>10.075589203303981</c:v>
                </c:pt>
                <c:pt idx="2">
                  <c:v>-3.03040862001947</c:v>
                </c:pt>
                <c:pt idx="3">
                  <c:v>3.5170749651847188</c:v>
                </c:pt>
                <c:pt idx="4">
                  <c:v>13.007260955114498</c:v>
                </c:pt>
                <c:pt idx="5">
                  <c:v>30.641080287978212</c:v>
                </c:pt>
                <c:pt idx="6">
                  <c:v>-0.81976404455288365</c:v>
                </c:pt>
                <c:pt idx="7">
                  <c:v>-3.0361583571221473</c:v>
                </c:pt>
                <c:pt idx="8">
                  <c:v>-12.094216883110398</c:v>
                </c:pt>
                <c:pt idx="9">
                  <c:v>-21.114379773727933</c:v>
                </c:pt>
                <c:pt idx="10">
                  <c:v>-19.570258161082862</c:v>
                </c:pt>
                <c:pt idx="11">
                  <c:v>2.8614948173547807</c:v>
                </c:pt>
              </c:numCache>
            </c:numRef>
          </c:val>
          <c:smooth val="0"/>
          <c:extLst>
            <c:ext xmlns:c16="http://schemas.microsoft.com/office/drawing/2014/chart" uri="{C3380CC4-5D6E-409C-BE32-E72D297353CC}">
              <c16:uniqueId val="{00000000-B91B-4F53-B6E0-F98B1CF30962}"/>
            </c:ext>
          </c:extLst>
        </c:ser>
        <c:ser>
          <c:idx val="1"/>
          <c:order val="1"/>
          <c:tx>
            <c:strRef>
              <c:f>Аркуш1!$B$15</c:f>
              <c:strCache>
                <c:ptCount val="1"/>
                <c:pt idx="0">
                  <c:v>2041-2070</c:v>
                </c:pt>
              </c:strCache>
            </c:strRef>
          </c:tx>
          <c:spPr>
            <a:ln w="28575" cap="rnd">
              <a:solidFill>
                <a:schemeClr val="accent5"/>
              </a:solidFill>
              <a:round/>
            </a:ln>
            <a:effectLst/>
          </c:spPr>
          <c:marker>
            <c:symbol val="circle"/>
            <c:size val="6"/>
            <c:spPr>
              <a:solidFill>
                <a:schemeClr val="accent5"/>
              </a:solidFill>
              <a:ln w="9525">
                <a:solidFill>
                  <a:schemeClr val="accent5"/>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Аркуш1!$C$28:$N$28</c:f>
              <c:numCache>
                <c:formatCode>0.00</c:formatCode>
                <c:ptCount val="12"/>
                <c:pt idx="0">
                  <c:v>9.8270154904739488</c:v>
                </c:pt>
                <c:pt idx="1">
                  <c:v>5.76197849472904</c:v>
                </c:pt>
                <c:pt idx="2">
                  <c:v>-2.1831486122464696</c:v>
                </c:pt>
                <c:pt idx="3">
                  <c:v>4.5858696889811261</c:v>
                </c:pt>
                <c:pt idx="4">
                  <c:v>10.313016950349052</c:v>
                </c:pt>
                <c:pt idx="5">
                  <c:v>38.814888491258309</c:v>
                </c:pt>
                <c:pt idx="6">
                  <c:v>-0.32561959046367428</c:v>
                </c:pt>
                <c:pt idx="7">
                  <c:v>-4.7078645697022345</c:v>
                </c:pt>
                <c:pt idx="8">
                  <c:v>-3.4284705588069393</c:v>
                </c:pt>
                <c:pt idx="9">
                  <c:v>-17.425744988258241</c:v>
                </c:pt>
                <c:pt idx="10">
                  <c:v>-23.396414991144788</c:v>
                </c:pt>
                <c:pt idx="11">
                  <c:v>3.9570388719196785</c:v>
                </c:pt>
              </c:numCache>
            </c:numRef>
          </c:val>
          <c:smooth val="0"/>
          <c:extLst>
            <c:ext xmlns:c16="http://schemas.microsoft.com/office/drawing/2014/chart" uri="{C3380CC4-5D6E-409C-BE32-E72D297353CC}">
              <c16:uniqueId val="{00000001-B91B-4F53-B6E0-F98B1CF30962}"/>
            </c:ext>
          </c:extLst>
        </c:ser>
        <c:ser>
          <c:idx val="2"/>
          <c:order val="2"/>
          <c:tx>
            <c:strRef>
              <c:f>Аркуш1!$B$16</c:f>
              <c:strCache>
                <c:ptCount val="1"/>
                <c:pt idx="0">
                  <c:v>2071-2100</c:v>
                </c:pt>
              </c:strCache>
            </c:strRef>
          </c:tx>
          <c:spPr>
            <a:ln w="28575" cap="rnd">
              <a:solidFill>
                <a:schemeClr val="accent4"/>
              </a:solidFill>
              <a:round/>
            </a:ln>
            <a:effectLst/>
          </c:spPr>
          <c:marker>
            <c:symbol val="triangle"/>
            <c:size val="6"/>
            <c:spPr>
              <a:solidFill>
                <a:schemeClr val="accent4"/>
              </a:solidFill>
              <a:ln w="9525">
                <a:solidFill>
                  <a:schemeClr val="accent4"/>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Аркуш1!$C$29:$N$29</c:f>
              <c:numCache>
                <c:formatCode>0.00</c:formatCode>
                <c:ptCount val="12"/>
                <c:pt idx="0">
                  <c:v>7.2666943372179951</c:v>
                </c:pt>
                <c:pt idx="1">
                  <c:v>20.549359684945113</c:v>
                </c:pt>
                <c:pt idx="2">
                  <c:v>-0.78451198834674996</c:v>
                </c:pt>
                <c:pt idx="3">
                  <c:v>2.7024778187491449</c:v>
                </c:pt>
                <c:pt idx="4">
                  <c:v>10.749014434150748</c:v>
                </c:pt>
                <c:pt idx="5">
                  <c:v>35.78401802442346</c:v>
                </c:pt>
                <c:pt idx="6">
                  <c:v>6.8859813947683906</c:v>
                </c:pt>
                <c:pt idx="7">
                  <c:v>-16.916088360585476</c:v>
                </c:pt>
                <c:pt idx="8">
                  <c:v>-11.40694081463055</c:v>
                </c:pt>
                <c:pt idx="9">
                  <c:v>-21.431348190849192</c:v>
                </c:pt>
                <c:pt idx="10">
                  <c:v>-12.475234066597814</c:v>
                </c:pt>
                <c:pt idx="11">
                  <c:v>9.4582578956284422</c:v>
                </c:pt>
              </c:numCache>
            </c:numRef>
          </c:val>
          <c:smooth val="0"/>
          <c:extLst>
            <c:ext xmlns:c16="http://schemas.microsoft.com/office/drawing/2014/chart" uri="{C3380CC4-5D6E-409C-BE32-E72D297353CC}">
              <c16:uniqueId val="{00000002-B91B-4F53-B6E0-F98B1CF30962}"/>
            </c:ext>
          </c:extLst>
        </c:ser>
        <c:dLbls>
          <c:showLegendKey val="0"/>
          <c:showVal val="0"/>
          <c:showCatName val="0"/>
          <c:showSerName val="0"/>
          <c:showPercent val="0"/>
          <c:showBubbleSize val="0"/>
        </c:dLbls>
        <c:marker val="1"/>
        <c:smooth val="0"/>
        <c:axId val="1675573264"/>
        <c:axId val="1675571632"/>
      </c:lineChart>
      <c:catAx>
        <c:axId val="16755732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uk-UA"/>
                  <a:t>Місяці</a:t>
                </a:r>
              </a:p>
            </c:rich>
          </c:tx>
          <c:overlay val="0"/>
          <c:spPr>
            <a:noFill/>
            <a:ln>
              <a:noFill/>
            </a:ln>
            <a:effectLst/>
          </c:spPr>
        </c:title>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71632"/>
        <c:crosses val="autoZero"/>
        <c:auto val="1"/>
        <c:lblAlgn val="ctr"/>
        <c:lblOffset val="100"/>
        <c:noMultiLvlLbl val="0"/>
      </c:catAx>
      <c:valAx>
        <c:axId val="1675571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sz="1000" b="0" i="0" u="none" strike="noStrike" baseline="0">
                    <a:effectLst/>
                  </a:rPr>
                  <a:t>Δ</a:t>
                </a:r>
                <a:r>
                  <a:rPr lang="de-DE" sz="1000" b="0" i="0" u="none" strike="noStrike" baseline="0">
                    <a:effectLst/>
                  </a:rPr>
                  <a:t>r ,</a:t>
                </a:r>
                <a:r>
                  <a:rPr lang="uk-UA" sz="1000" b="0" i="0" u="none" strike="noStrike" baseline="0">
                    <a:effectLst/>
                  </a:rPr>
                  <a:t> мм</a:t>
                </a:r>
                <a:endParaRPr lang="uk-UA"/>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73264"/>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1"/>
    <c:plotArea>
      <c:layout>
        <c:manualLayout>
          <c:layoutTarget val="inner"/>
          <c:xMode val="edge"/>
          <c:yMode val="edge"/>
          <c:x val="0.45209068693999455"/>
          <c:y val="6.6574202496532592E-2"/>
          <c:w val="0.51391390918713875"/>
          <c:h val="0.61917896185306931"/>
        </c:manualLayout>
      </c:layout>
      <c:barChart>
        <c:barDir val="bar"/>
        <c:grouping val="clustered"/>
        <c:varyColors val="0"/>
        <c:ser>
          <c:idx val="0"/>
          <c:order val="0"/>
          <c:tx>
            <c:strRef>
              <c:f>Лист1!$A$1</c:f>
              <c:strCache>
                <c:ptCount val="1"/>
                <c:pt idx="0">
                  <c:v>Потенціал генерації сонячних електростанції різних форм власності, МВт</c:v>
                </c:pt>
              </c:strCache>
            </c:strRef>
          </c:tx>
          <c:spPr>
            <a:ln>
              <a:solidFill>
                <a:schemeClr val="tx1"/>
              </a:solidFill>
            </a:ln>
          </c:spPr>
          <c:invertIfNegative val="0"/>
          <c:dLbls>
            <c:numFmt formatCode="#,##0.0" sourceLinked="0"/>
            <c:spPr>
              <a:noFill/>
              <a:ln>
                <a:noFill/>
              </a:ln>
              <a:effectLst/>
            </c:spPr>
            <c:txPr>
              <a:bodyPr/>
              <a:lstStyle/>
              <a:p>
                <a:pPr>
                  <a:defRPr sz="12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Лист1!$A$3:$A$5</c:f>
              <c:strCache>
                <c:ptCount val="3"/>
                <c:pt idx="0">
                  <c:v>Дахові СЕС на приватних та комунальних підприємствах</c:v>
                </c:pt>
                <c:pt idx="1">
                  <c:v>Наземні промислові СЕС</c:v>
                </c:pt>
                <c:pt idx="2">
                  <c:v>Дахові приватні СЕС фізичних осіб</c:v>
                </c:pt>
              </c:strCache>
            </c:strRef>
          </c:cat>
          <c:val>
            <c:numRef>
              <c:f>Лист1!$B$3:$B$5</c:f>
              <c:numCache>
                <c:formatCode>General</c:formatCode>
                <c:ptCount val="3"/>
                <c:pt idx="0">
                  <c:v>37.5</c:v>
                </c:pt>
                <c:pt idx="1">
                  <c:v>77.5</c:v>
                </c:pt>
                <c:pt idx="2">
                  <c:v>303</c:v>
                </c:pt>
              </c:numCache>
            </c:numRef>
          </c:val>
          <c:extLst>
            <c:ext xmlns:c16="http://schemas.microsoft.com/office/drawing/2014/chart" uri="{C3380CC4-5D6E-409C-BE32-E72D297353CC}">
              <c16:uniqueId val="{00000000-67F8-4C35-AC49-70059DB6DE34}"/>
            </c:ext>
          </c:extLst>
        </c:ser>
        <c:dLbls>
          <c:showLegendKey val="0"/>
          <c:showVal val="0"/>
          <c:showCatName val="0"/>
          <c:showSerName val="0"/>
          <c:showPercent val="0"/>
          <c:showBubbleSize val="0"/>
        </c:dLbls>
        <c:gapWidth val="150"/>
        <c:axId val="1441821552"/>
        <c:axId val="1441816112"/>
      </c:barChart>
      <c:catAx>
        <c:axId val="1441821552"/>
        <c:scaling>
          <c:orientation val="minMax"/>
        </c:scaling>
        <c:delete val="0"/>
        <c:axPos val="l"/>
        <c:numFmt formatCode="General" sourceLinked="0"/>
        <c:majorTickMark val="out"/>
        <c:minorTickMark val="none"/>
        <c:tickLblPos val="nextTo"/>
        <c:txPr>
          <a:bodyPr/>
          <a:lstStyle/>
          <a:p>
            <a:pPr>
              <a:defRPr sz="1100" b="1"/>
            </a:pPr>
            <a:endParaRPr lang="ru-RU"/>
          </a:p>
        </c:txPr>
        <c:crossAx val="1441816112"/>
        <c:crosses val="autoZero"/>
        <c:auto val="1"/>
        <c:lblAlgn val="ctr"/>
        <c:lblOffset val="100"/>
        <c:noMultiLvlLbl val="0"/>
      </c:catAx>
      <c:valAx>
        <c:axId val="1441816112"/>
        <c:scaling>
          <c:orientation val="minMax"/>
        </c:scaling>
        <c:delete val="0"/>
        <c:axPos val="b"/>
        <c:majorGridlines/>
        <c:numFmt formatCode="General" sourceLinked="1"/>
        <c:majorTickMark val="out"/>
        <c:minorTickMark val="none"/>
        <c:tickLblPos val="nextTo"/>
        <c:crossAx val="1441821552"/>
        <c:crosses val="autoZero"/>
        <c:crossBetween val="between"/>
      </c:valAx>
    </c:plotArea>
    <c:legend>
      <c:legendPos val="b"/>
      <c:overlay val="0"/>
      <c:txPr>
        <a:bodyPr/>
        <a:lstStyle/>
        <a:p>
          <a:pPr>
            <a:defRPr sz="1100" b="1"/>
          </a:pPr>
          <a:endParaRPr lang="ru-RU"/>
        </a:p>
      </c:txPr>
    </c:legend>
    <c:plotVisOnly val="1"/>
    <c:dispBlanksAs val="gap"/>
    <c:showDLblsOverMax val="0"/>
  </c:chart>
  <c:spPr>
    <a:ln>
      <a:solidFill>
        <a:schemeClr val="tx1">
          <a:lumMod val="50000"/>
          <a:lumOff val="50000"/>
        </a:schemeClr>
      </a:solid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Обсяги спалюваного звалищного біогазу та згенерованої електроенергії</a:t>
            </a:r>
          </a:p>
        </c:rich>
      </c:tx>
      <c:layout>
        <c:manualLayout>
          <c:xMode val="edge"/>
          <c:yMode val="edge"/>
          <c:x val="0.19339841980945455"/>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1702449327725246"/>
          <c:y val="0.14438931653379569"/>
          <c:w val="0.85807458168147388"/>
          <c:h val="0.77211284512333589"/>
        </c:manualLayout>
      </c:layout>
      <c:barChart>
        <c:barDir val="col"/>
        <c:grouping val="clustered"/>
        <c:varyColors val="0"/>
        <c:ser>
          <c:idx val="1"/>
          <c:order val="0"/>
          <c:tx>
            <c:strRef>
              <c:f>Полігон!$D$2</c:f>
              <c:strCache>
                <c:ptCount val="1"/>
                <c:pt idx="0">
                  <c:v>Утилізація звалищного біогазу, м.куб.</c:v>
                </c:pt>
              </c:strCache>
            </c:strRef>
          </c:tx>
          <c:spPr>
            <a:solidFill>
              <a:schemeClr val="bg2">
                <a:lumMod val="50000"/>
              </a:schemeClr>
            </a:solidFill>
            <a:ln>
              <a:solidFill>
                <a:schemeClr val="tx1"/>
              </a:solidFill>
            </a:ln>
            <a:effectLst/>
          </c:spPr>
          <c:invertIfNegative val="0"/>
          <c:dPt>
            <c:idx val="5"/>
            <c:invertIfNegative val="0"/>
            <c:bubble3D val="0"/>
            <c:spPr>
              <a:solidFill>
                <a:schemeClr val="bg2">
                  <a:lumMod val="50000"/>
                </a:schemeClr>
              </a:solidFill>
              <a:ln>
                <a:solidFill>
                  <a:schemeClr val="tx1"/>
                </a:solidFill>
              </a:ln>
              <a:effectLst/>
            </c:spPr>
            <c:extLst>
              <c:ext xmlns:c16="http://schemas.microsoft.com/office/drawing/2014/chart" uri="{C3380CC4-5D6E-409C-BE32-E72D297353CC}">
                <c16:uniqueId val="{00000001-2EBF-4FBF-8886-309C22908B9A}"/>
              </c:ext>
            </c:extLst>
          </c:dPt>
          <c:dPt>
            <c:idx val="14"/>
            <c:invertIfNegative val="0"/>
            <c:bubble3D val="0"/>
            <c:spPr>
              <a:solidFill>
                <a:schemeClr val="bg2">
                  <a:lumMod val="50000"/>
                </a:schemeClr>
              </a:solidFill>
              <a:ln>
                <a:solidFill>
                  <a:schemeClr val="tx1"/>
                </a:solidFill>
              </a:ln>
              <a:effectLst/>
            </c:spPr>
            <c:extLst>
              <c:ext xmlns:c16="http://schemas.microsoft.com/office/drawing/2014/chart" uri="{C3380CC4-5D6E-409C-BE32-E72D297353CC}">
                <c16:uniqueId val="{00000003-2EBF-4FBF-8886-309C22908B9A}"/>
              </c:ext>
            </c:extLst>
          </c:dPt>
          <c:dLbls>
            <c:dLbl>
              <c:idx val="1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BF-4FBF-8886-309C22908B9A}"/>
                </c:ext>
              </c:extLst>
            </c:dLbl>
            <c:spPr>
              <a:solidFill>
                <a:schemeClr val="bg2">
                  <a:lumMod val="90000"/>
                </a:schemeClr>
              </a:solidFill>
              <a:ln w="3175">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Полігон!$C$4:$C$19</c:f>
              <c:strCache>
                <c:ptCount val="16"/>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pt idx="15">
                  <c:v>2024</c:v>
                </c:pt>
              </c:strCache>
            </c:strRef>
          </c:cat>
          <c:val>
            <c:numRef>
              <c:f>Полігон!$D$4:$D$19</c:f>
              <c:numCache>
                <c:formatCode>General</c:formatCode>
                <c:ptCount val="16"/>
                <c:pt idx="6" formatCode="#,##0">
                  <c:v>1980420</c:v>
                </c:pt>
                <c:pt idx="7" formatCode="#,##0">
                  <c:v>3200577</c:v>
                </c:pt>
                <c:pt idx="8" formatCode="#,##0">
                  <c:v>2947974</c:v>
                </c:pt>
                <c:pt idx="9" formatCode="#,##0">
                  <c:v>2916784</c:v>
                </c:pt>
                <c:pt idx="10" formatCode="#,##0">
                  <c:v>2438329</c:v>
                </c:pt>
                <c:pt idx="11" formatCode="#,##0">
                  <c:v>2605421</c:v>
                </c:pt>
                <c:pt idx="12" formatCode="#,##0">
                  <c:v>1796035</c:v>
                </c:pt>
                <c:pt idx="13" formatCode="#,##0">
                  <c:v>1616020</c:v>
                </c:pt>
                <c:pt idx="14" formatCode="#,##0">
                  <c:v>1634551</c:v>
                </c:pt>
                <c:pt idx="15" formatCode="#,##0">
                  <c:v>1651781</c:v>
                </c:pt>
              </c:numCache>
            </c:numRef>
          </c:val>
          <c:extLst>
            <c:ext xmlns:c16="http://schemas.microsoft.com/office/drawing/2014/chart" uri="{C3380CC4-5D6E-409C-BE32-E72D297353CC}">
              <c16:uniqueId val="{00000005-2EBF-4FBF-8886-309C22908B9A}"/>
            </c:ext>
          </c:extLst>
        </c:ser>
        <c:dLbls>
          <c:showLegendKey val="0"/>
          <c:showVal val="0"/>
          <c:showCatName val="0"/>
          <c:showSerName val="0"/>
          <c:showPercent val="0"/>
          <c:showBubbleSize val="0"/>
        </c:dLbls>
        <c:gapWidth val="150"/>
        <c:axId val="1441818288"/>
        <c:axId val="1441819376"/>
      </c:barChart>
      <c:lineChart>
        <c:grouping val="standard"/>
        <c:varyColors val="0"/>
        <c:ser>
          <c:idx val="0"/>
          <c:order val="1"/>
          <c:tx>
            <c:strRef>
              <c:f>Полігон!$B$2</c:f>
              <c:strCache>
                <c:ptCount val="1"/>
                <c:pt idx="0">
                  <c:v>Розрахунковий обсяг викидів у атмосферу з полігону у 2010 році</c:v>
                </c:pt>
              </c:strCache>
            </c:strRef>
          </c:tx>
          <c:spPr>
            <a:ln w="28575" cap="rnd">
              <a:noFill/>
              <a:round/>
            </a:ln>
            <a:effectLst/>
          </c:spPr>
          <c:marker>
            <c:symbol val="square"/>
            <c:size val="7"/>
            <c:spPr>
              <a:solidFill>
                <a:schemeClr val="accent2">
                  <a:lumMod val="60000"/>
                  <a:lumOff val="40000"/>
                </a:schemeClr>
              </a:solidFill>
              <a:ln w="9525">
                <a:solidFill>
                  <a:schemeClr val="tx1"/>
                </a:solidFill>
              </a:ln>
              <a:effectLst/>
            </c:spPr>
          </c:marker>
          <c:dLbls>
            <c:spPr>
              <a:solidFill>
                <a:schemeClr val="accent2">
                  <a:lumMod val="20000"/>
                  <a:lumOff val="80000"/>
                </a:schemeClr>
              </a:solidFill>
              <a:ln w="3175">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Полігон!$B$4:$B$19</c:f>
              <c:numCache>
                <c:formatCode>#,##0</c:formatCode>
                <c:ptCount val="16"/>
                <c:pt idx="1">
                  <c:v>4541820.4999999404</c:v>
                </c:pt>
              </c:numCache>
            </c:numRef>
          </c:val>
          <c:smooth val="0"/>
          <c:extLst>
            <c:ext xmlns:c16="http://schemas.microsoft.com/office/drawing/2014/chart" uri="{C3380CC4-5D6E-409C-BE32-E72D297353CC}">
              <c16:uniqueId val="{00000006-2EBF-4FBF-8886-309C22908B9A}"/>
            </c:ext>
          </c:extLst>
        </c:ser>
        <c:ser>
          <c:idx val="2"/>
          <c:order val="2"/>
          <c:tx>
            <c:strRef>
              <c:f>Полігон!$E$2</c:f>
              <c:strCache>
                <c:ptCount val="1"/>
                <c:pt idx="0">
                  <c:v>Згенерована електроенергія, кВт*год</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dLbls>
            <c:dLbl>
              <c:idx val="11"/>
              <c:layout>
                <c:manualLayout>
                  <c:x val="-6.5212743211460422E-2"/>
                  <c:y val="-0.1018352730528201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BF-4FBF-8886-309C22908B9A}"/>
                </c:ext>
              </c:extLst>
            </c:dLbl>
            <c:spPr>
              <a:solidFill>
                <a:schemeClr val="tx2">
                  <a:lumMod val="20000"/>
                  <a:lumOff val="80000"/>
                </a:schemeClr>
              </a:solidFill>
              <a:ln w="3175">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Полігон!$E$4:$E$19</c:f>
              <c:numCache>
                <c:formatCode>General</c:formatCode>
                <c:ptCount val="16"/>
                <c:pt idx="6" formatCode="#,##0">
                  <c:v>2284222</c:v>
                </c:pt>
                <c:pt idx="7" formatCode="#,##0">
                  <c:v>3703088</c:v>
                </c:pt>
                <c:pt idx="8" formatCode="#,##0">
                  <c:v>3400201</c:v>
                </c:pt>
                <c:pt idx="9" formatCode="#,##0">
                  <c:v>3384226</c:v>
                </c:pt>
                <c:pt idx="10" formatCode="#,##0">
                  <c:v>2800841</c:v>
                </c:pt>
                <c:pt idx="11" formatCode="#,##0">
                  <c:v>2649705</c:v>
                </c:pt>
                <c:pt idx="12" formatCode="#,##0">
                  <c:v>2970249</c:v>
                </c:pt>
                <c:pt idx="13" formatCode="#,##0">
                  <c:v>2463106</c:v>
                </c:pt>
                <c:pt idx="14" formatCode="#,##0">
                  <c:v>2341495</c:v>
                </c:pt>
                <c:pt idx="15" formatCode="#,##0">
                  <c:v>2845722</c:v>
                </c:pt>
              </c:numCache>
            </c:numRef>
          </c:val>
          <c:smooth val="0"/>
          <c:extLst>
            <c:ext xmlns:c16="http://schemas.microsoft.com/office/drawing/2014/chart" uri="{C3380CC4-5D6E-409C-BE32-E72D297353CC}">
              <c16:uniqueId val="{00000008-2EBF-4FBF-8886-309C22908B9A}"/>
            </c:ext>
          </c:extLst>
        </c:ser>
        <c:dLbls>
          <c:showLegendKey val="0"/>
          <c:showVal val="0"/>
          <c:showCatName val="0"/>
          <c:showSerName val="0"/>
          <c:showPercent val="0"/>
          <c:showBubbleSize val="0"/>
        </c:dLbls>
        <c:marker val="1"/>
        <c:smooth val="0"/>
        <c:axId val="1441818288"/>
        <c:axId val="1441819376"/>
      </c:lineChart>
      <c:catAx>
        <c:axId val="14418182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41819376"/>
        <c:crosses val="autoZero"/>
        <c:auto val="1"/>
        <c:lblAlgn val="ctr"/>
        <c:lblOffset val="100"/>
        <c:noMultiLvlLbl val="0"/>
      </c:catAx>
      <c:valAx>
        <c:axId val="14418193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1270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41818288"/>
        <c:crosses val="autoZero"/>
        <c:crossBetween val="between"/>
      </c:valAx>
      <c:spPr>
        <a:noFill/>
        <a:ln>
          <a:noFill/>
        </a:ln>
        <a:effectLst/>
      </c:spPr>
    </c:plotArea>
    <c:legend>
      <c:legendPos val="b"/>
      <c:layout>
        <c:manualLayout>
          <c:xMode val="edge"/>
          <c:yMode val="edge"/>
          <c:x val="0.12810858893684313"/>
          <c:y val="0.34501114546983858"/>
          <c:w val="0.28611735248575104"/>
          <c:h val="0.48563993879187523"/>
        </c:manualLayout>
      </c:layout>
      <c:overlay val="0"/>
      <c:spPr>
        <a:noFill/>
        <a:ln>
          <a:noFill/>
        </a:ln>
        <a:effectLst/>
      </c:spPr>
      <c:txPr>
        <a:bodyPr rot="0" spcFirstLastPara="1" vertOverflow="ellipsis" vert="horz" wrap="square" anchor="ctr" anchorCtr="1"/>
        <a:lstStyle/>
        <a:p>
          <a:pPr algn="just">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400" b="0" i="0" u="none" strike="noStrike" baseline="0">
                <a:effectLst/>
                <a:latin typeface="Times New Roman" panose="02020603050405020304" pitchFamily="18" charset="0"/>
                <a:cs typeface="Times New Roman" panose="02020603050405020304" pitchFamily="18" charset="0"/>
              </a:rPr>
              <a:t>Структура земельного фонду </a:t>
            </a:r>
            <a:r>
              <a:rPr lang="uk-UA" sz="1400" b="0" i="0" u="none" strike="noStrike" baseline="0">
                <a:effectLst/>
                <a:latin typeface="Times New Roman" panose="02020603050405020304" pitchFamily="18" charset="0"/>
                <a:cs typeface="Times New Roman" panose="02020603050405020304" pitchFamily="18" charset="0"/>
              </a:rPr>
              <a:t>Житомирської</a:t>
            </a:r>
            <a:r>
              <a:rPr lang="ru-RU" sz="1400" b="0" i="0" u="none" strike="noStrike" baseline="0">
                <a:effectLst/>
                <a:latin typeface="Times New Roman" panose="02020603050405020304" pitchFamily="18" charset="0"/>
                <a:cs typeface="Times New Roman" panose="02020603050405020304" pitchFamily="18" charset="0"/>
              </a:rPr>
              <a:t> МТГ</a:t>
            </a:r>
            <a:endParaRPr lang="uk-UA">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pieChart>
        <c:varyColors val="1"/>
        <c:ser>
          <c:idx val="0"/>
          <c:order val="0"/>
          <c:dPt>
            <c:idx val="0"/>
            <c:bubble3D val="0"/>
            <c:spPr>
              <a:solidFill>
                <a:srgbClr val="FFFF00"/>
              </a:solidFill>
              <a:ln w="19050">
                <a:solidFill>
                  <a:schemeClr val="lt1"/>
                </a:solidFill>
              </a:ln>
              <a:effectLst/>
            </c:spPr>
            <c:extLst>
              <c:ext xmlns:c16="http://schemas.microsoft.com/office/drawing/2014/chart" uri="{C3380CC4-5D6E-409C-BE32-E72D297353CC}">
                <c16:uniqueId val="{00000001-9ABB-4560-BBC5-6108A4AF8F9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ABB-4560-BBC5-6108A4AF8F9E}"/>
              </c:ext>
            </c:extLst>
          </c:dPt>
          <c:dPt>
            <c:idx val="2"/>
            <c:bubble3D val="0"/>
            <c:spPr>
              <a:solidFill>
                <a:schemeClr val="accent3">
                  <a:lumMod val="40000"/>
                  <a:lumOff val="60000"/>
                </a:schemeClr>
              </a:solidFill>
              <a:ln w="19050">
                <a:solidFill>
                  <a:schemeClr val="lt1"/>
                </a:solidFill>
              </a:ln>
              <a:effectLst/>
            </c:spPr>
            <c:extLst>
              <c:ext xmlns:c16="http://schemas.microsoft.com/office/drawing/2014/chart" uri="{C3380CC4-5D6E-409C-BE32-E72D297353CC}">
                <c16:uniqueId val="{00000005-9ABB-4560-BBC5-6108A4AF8F9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ABB-4560-BBC5-6108A4AF8F9E}"/>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9ABB-4560-BBC5-6108A4AF8F9E}"/>
              </c:ext>
            </c:extLst>
          </c:dPt>
          <c:dPt>
            <c:idx val="5"/>
            <c:bubble3D val="0"/>
            <c:spPr>
              <a:solidFill>
                <a:schemeClr val="accent3">
                  <a:lumMod val="75000"/>
                </a:schemeClr>
              </a:solidFill>
              <a:ln w="19050">
                <a:solidFill>
                  <a:schemeClr val="lt1"/>
                </a:solidFill>
              </a:ln>
              <a:effectLst/>
            </c:spPr>
            <c:extLst>
              <c:ext xmlns:c16="http://schemas.microsoft.com/office/drawing/2014/chart" uri="{C3380CC4-5D6E-409C-BE32-E72D297353CC}">
                <c16:uniqueId val="{0000000B-9ABB-4560-BBC5-6108A4AF8F9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9ABB-4560-BBC5-6108A4AF8F9E}"/>
              </c:ext>
            </c:extLst>
          </c:dPt>
          <c:dPt>
            <c:idx val="7"/>
            <c:bubble3D val="0"/>
            <c:spPr>
              <a:solidFill>
                <a:schemeClr val="tx2">
                  <a:lumMod val="60000"/>
                  <a:lumOff val="40000"/>
                </a:schemeClr>
              </a:solidFill>
              <a:ln w="19050">
                <a:solidFill>
                  <a:schemeClr val="lt1"/>
                </a:solidFill>
              </a:ln>
              <a:effectLst/>
            </c:spPr>
            <c:extLst>
              <c:ext xmlns:c16="http://schemas.microsoft.com/office/drawing/2014/chart" uri="{C3380CC4-5D6E-409C-BE32-E72D297353CC}">
                <c16:uniqueId val="{0000000F-9ABB-4560-BBC5-6108A4AF8F9E}"/>
              </c:ext>
            </c:extLst>
          </c:dPt>
          <c:dPt>
            <c:idx val="8"/>
            <c:bubble3D val="0"/>
            <c:spPr>
              <a:solidFill>
                <a:schemeClr val="accent6"/>
              </a:solidFill>
              <a:ln w="19050">
                <a:solidFill>
                  <a:schemeClr val="lt1"/>
                </a:solidFill>
              </a:ln>
              <a:effectLst/>
            </c:spPr>
            <c:extLst>
              <c:ext xmlns:c16="http://schemas.microsoft.com/office/drawing/2014/chart" uri="{C3380CC4-5D6E-409C-BE32-E72D297353CC}">
                <c16:uniqueId val="{00000011-9ABB-4560-BBC5-6108A4AF8F9E}"/>
              </c:ext>
            </c:extLst>
          </c:dPt>
          <c:dLbls>
            <c:dLbl>
              <c:idx val="0"/>
              <c:layout>
                <c:manualLayout>
                  <c:x val="-0.11831846019247588"/>
                  <c:y val="8.626932050160396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ABB-4560-BBC5-6108A4AF8F9E}"/>
                </c:ext>
              </c:extLst>
            </c:dLbl>
            <c:dLbl>
              <c:idx val="1"/>
              <c:layout>
                <c:manualLayout>
                  <c:x val="0.1013428477690289"/>
                  <c:y val="-0.1167490522018081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ABB-4560-BBC5-6108A4AF8F9E}"/>
                </c:ext>
              </c:extLst>
            </c:dLbl>
            <c:dLbl>
              <c:idx val="2"/>
              <c:layout>
                <c:manualLayout>
                  <c:x val="-2.4554461942257216E-2"/>
                  <c:y val="1.360017497812773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ABB-4560-BBC5-6108A4AF8F9E}"/>
                </c:ext>
              </c:extLst>
            </c:dLbl>
            <c:dLbl>
              <c:idx val="3"/>
              <c:layout>
                <c:manualLayout>
                  <c:x val="-1.8744094488188975E-2"/>
                  <c:y val="-2.862642169728783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ABB-4560-BBC5-6108A4AF8F9E}"/>
                </c:ext>
              </c:extLst>
            </c:dLbl>
            <c:dLbl>
              <c:idx val="4"/>
              <c:layout>
                <c:manualLayout>
                  <c:x val="-7.1655730533683286E-3"/>
                  <c:y val="-4.06638232720909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ABB-4560-BBC5-6108A4AF8F9E}"/>
                </c:ext>
              </c:extLst>
            </c:dLbl>
            <c:dLbl>
              <c:idx val="6"/>
              <c:layout>
                <c:manualLayout>
                  <c:x val="-4.547758092738409E-2"/>
                  <c:y val="1.511847477398658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9ABB-4560-BBC5-6108A4AF8F9E}"/>
                </c:ext>
              </c:extLst>
            </c:dLbl>
            <c:dLbl>
              <c:idx val="7"/>
              <c:layout>
                <c:manualLayout>
                  <c:x val="7.9104330708661425E-3"/>
                  <c:y val="-2.945173519976669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F-9ABB-4560-BBC5-6108A4AF8F9E}"/>
                </c:ext>
              </c:extLst>
            </c:dLbl>
            <c:dLbl>
              <c:idx val="8"/>
              <c:layout>
                <c:manualLayout>
                  <c:x val="1.4816929133858268E-2"/>
                  <c:y val="-3.10341936424613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1-9ABB-4560-BBC5-6108A4AF8F9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Аркуш1!$A$6:$A$14</c:f>
              <c:strCache>
                <c:ptCount val="9"/>
                <c:pt idx="0">
                  <c:v>забудовані землі </c:v>
                </c:pt>
                <c:pt idx="1">
                  <c:v>рілля </c:v>
                </c:pt>
                <c:pt idx="2">
                  <c:v>сіножаті</c:v>
                </c:pt>
                <c:pt idx="3">
                  <c:v>пасовища </c:v>
                </c:pt>
                <c:pt idx="4">
                  <c:v>багаторічні насадження </c:v>
                </c:pt>
                <c:pt idx="5">
                  <c:v>ліси і інші лісовкриті площі </c:v>
                </c:pt>
                <c:pt idx="6">
                  <c:v>болота </c:v>
                </c:pt>
                <c:pt idx="7">
                  <c:v>землі водного фонду </c:v>
                </c:pt>
                <c:pt idx="8">
                  <c:v>інші землі </c:v>
                </c:pt>
              </c:strCache>
            </c:strRef>
          </c:cat>
          <c:val>
            <c:numRef>
              <c:f>Аркуш1!$B$6:$B$14</c:f>
              <c:numCache>
                <c:formatCode>General</c:formatCode>
                <c:ptCount val="9"/>
                <c:pt idx="0">
                  <c:v>4170.21</c:v>
                </c:pt>
                <c:pt idx="1">
                  <c:v>3040.14</c:v>
                </c:pt>
                <c:pt idx="2">
                  <c:v>74.709999999999994</c:v>
                </c:pt>
                <c:pt idx="3">
                  <c:v>299.89</c:v>
                </c:pt>
                <c:pt idx="4">
                  <c:v>340.8</c:v>
                </c:pt>
                <c:pt idx="5">
                  <c:v>665.9</c:v>
                </c:pt>
                <c:pt idx="6">
                  <c:v>48.36</c:v>
                </c:pt>
                <c:pt idx="7">
                  <c:v>245.17</c:v>
                </c:pt>
                <c:pt idx="8">
                  <c:v>451.23</c:v>
                </c:pt>
              </c:numCache>
            </c:numRef>
          </c:val>
          <c:extLst>
            <c:ext xmlns:c16="http://schemas.microsoft.com/office/drawing/2014/chart" uri="{C3380CC4-5D6E-409C-BE32-E72D297353CC}">
              <c16:uniqueId val="{00000012-9ABB-4560-BBC5-6108A4AF8F9E}"/>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Відносна зміна середньомісячної кількості опадів</a:t>
            </a:r>
            <a:r>
              <a:rPr lang="en-US"/>
              <a:t> </a:t>
            </a:r>
            <a:r>
              <a:rPr lang="uk-UA"/>
              <a:t>(</a:t>
            </a:r>
            <a:r>
              <a:rPr lang="de-DE"/>
              <a:t>RCP 8,5)</a:t>
            </a:r>
          </a:p>
        </c:rich>
      </c:tx>
      <c:overlay val="0"/>
      <c:spPr>
        <a:noFill/>
        <a:ln>
          <a:noFill/>
        </a:ln>
        <a:effectLst/>
      </c:spPr>
    </c:title>
    <c:autoTitleDeleted val="0"/>
    <c:plotArea>
      <c:layout/>
      <c:lineChart>
        <c:grouping val="standard"/>
        <c:varyColors val="0"/>
        <c:ser>
          <c:idx val="0"/>
          <c:order val="0"/>
          <c:tx>
            <c:strRef>
              <c:f>Аркуш1!$B$14</c:f>
              <c:strCache>
                <c:ptCount val="1"/>
                <c:pt idx="0">
                  <c:v>2011-2040</c:v>
                </c:pt>
              </c:strCache>
            </c:strRef>
          </c:tx>
          <c:spPr>
            <a:ln w="28575" cap="rnd">
              <a:solidFill>
                <a:schemeClr val="accent6"/>
              </a:solidFill>
              <a:round/>
            </a:ln>
            <a:effectLst/>
          </c:spPr>
          <c:marker>
            <c:symbol val="square"/>
            <c:size val="6"/>
            <c:spPr>
              <a:solidFill>
                <a:schemeClr val="accent6"/>
              </a:solidFill>
              <a:ln w="9525">
                <a:solidFill>
                  <a:schemeClr val="accent6"/>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Аркуш1!$C$30:$N$30</c:f>
              <c:numCache>
                <c:formatCode>0.00</c:formatCode>
                <c:ptCount val="12"/>
                <c:pt idx="0">
                  <c:v>-7.0807705738974365</c:v>
                </c:pt>
                <c:pt idx="1">
                  <c:v>4.1644806594408639</c:v>
                </c:pt>
                <c:pt idx="2">
                  <c:v>2.0997895921843082</c:v>
                </c:pt>
                <c:pt idx="3">
                  <c:v>4.8370163406995745</c:v>
                </c:pt>
                <c:pt idx="4">
                  <c:v>16.007557360312873</c:v>
                </c:pt>
                <c:pt idx="5">
                  <c:v>18.300934319326693</c:v>
                </c:pt>
                <c:pt idx="6">
                  <c:v>-0.93883972175829911</c:v>
                </c:pt>
                <c:pt idx="7">
                  <c:v>-6.8040536090769121</c:v>
                </c:pt>
                <c:pt idx="8">
                  <c:v>-8.2565106042538474</c:v>
                </c:pt>
                <c:pt idx="9">
                  <c:v>-2.7421162463815603</c:v>
                </c:pt>
                <c:pt idx="10">
                  <c:v>-6.6146806805855176</c:v>
                </c:pt>
                <c:pt idx="11">
                  <c:v>12.196681541248482</c:v>
                </c:pt>
              </c:numCache>
            </c:numRef>
          </c:val>
          <c:smooth val="0"/>
          <c:extLst>
            <c:ext xmlns:c16="http://schemas.microsoft.com/office/drawing/2014/chart" uri="{C3380CC4-5D6E-409C-BE32-E72D297353CC}">
              <c16:uniqueId val="{00000000-E629-414A-A812-83572A76A976}"/>
            </c:ext>
          </c:extLst>
        </c:ser>
        <c:ser>
          <c:idx val="1"/>
          <c:order val="1"/>
          <c:tx>
            <c:strRef>
              <c:f>Аркуш1!$B$15</c:f>
              <c:strCache>
                <c:ptCount val="1"/>
                <c:pt idx="0">
                  <c:v>2041-2070</c:v>
                </c:pt>
              </c:strCache>
            </c:strRef>
          </c:tx>
          <c:spPr>
            <a:ln w="28575" cap="rnd">
              <a:solidFill>
                <a:schemeClr val="accent5"/>
              </a:solidFill>
              <a:round/>
            </a:ln>
            <a:effectLst/>
          </c:spPr>
          <c:marker>
            <c:symbol val="circle"/>
            <c:size val="6"/>
            <c:spPr>
              <a:solidFill>
                <a:schemeClr val="accent5"/>
              </a:solidFill>
              <a:ln w="9525">
                <a:solidFill>
                  <a:schemeClr val="accent5"/>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Аркуш1!$C$31:$N$31</c:f>
              <c:numCache>
                <c:formatCode>0.00</c:formatCode>
                <c:ptCount val="12"/>
                <c:pt idx="0">
                  <c:v>-5.5836303515857502</c:v>
                </c:pt>
                <c:pt idx="1">
                  <c:v>27.511238000099738</c:v>
                </c:pt>
                <c:pt idx="2">
                  <c:v>-1.5546055188496979</c:v>
                </c:pt>
                <c:pt idx="3">
                  <c:v>-1.2842499248216952</c:v>
                </c:pt>
                <c:pt idx="4">
                  <c:v>2.7644911929061089</c:v>
                </c:pt>
                <c:pt idx="5">
                  <c:v>37.246985856612454</c:v>
                </c:pt>
                <c:pt idx="6">
                  <c:v>9.3451291794637967</c:v>
                </c:pt>
                <c:pt idx="7">
                  <c:v>-17.497670923455985</c:v>
                </c:pt>
                <c:pt idx="8">
                  <c:v>-27.078066035619926</c:v>
                </c:pt>
                <c:pt idx="9">
                  <c:v>-8.6162923749570695</c:v>
                </c:pt>
                <c:pt idx="10">
                  <c:v>-13.070638102621064</c:v>
                </c:pt>
                <c:pt idx="11">
                  <c:v>10.964960331858151</c:v>
                </c:pt>
              </c:numCache>
            </c:numRef>
          </c:val>
          <c:smooth val="0"/>
          <c:extLst>
            <c:ext xmlns:c16="http://schemas.microsoft.com/office/drawing/2014/chart" uri="{C3380CC4-5D6E-409C-BE32-E72D297353CC}">
              <c16:uniqueId val="{00000001-E629-414A-A812-83572A76A976}"/>
            </c:ext>
          </c:extLst>
        </c:ser>
        <c:ser>
          <c:idx val="2"/>
          <c:order val="2"/>
          <c:tx>
            <c:strRef>
              <c:f>Аркуш1!$B$16</c:f>
              <c:strCache>
                <c:ptCount val="1"/>
                <c:pt idx="0">
                  <c:v>2071-2100</c:v>
                </c:pt>
              </c:strCache>
            </c:strRef>
          </c:tx>
          <c:spPr>
            <a:ln w="28575" cap="rnd">
              <a:solidFill>
                <a:schemeClr val="accent4"/>
              </a:solidFill>
              <a:round/>
            </a:ln>
            <a:effectLst/>
          </c:spPr>
          <c:marker>
            <c:symbol val="triangle"/>
            <c:size val="6"/>
            <c:spPr>
              <a:solidFill>
                <a:schemeClr val="accent4"/>
              </a:solidFill>
              <a:ln w="9525">
                <a:solidFill>
                  <a:schemeClr val="accent4"/>
                </a:solidFill>
              </a:ln>
              <a:effectLst/>
            </c:spPr>
          </c:marker>
          <c:cat>
            <c:numRef>
              <c:f>Аркуш1!$C$3:$N$3</c:f>
              <c:numCache>
                <c:formatCode>@</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Аркуш1!$C$32:$N$32</c:f>
              <c:numCache>
                <c:formatCode>0.00</c:formatCode>
                <c:ptCount val="12"/>
                <c:pt idx="0">
                  <c:v>5.4919335881450309</c:v>
                </c:pt>
                <c:pt idx="1">
                  <c:v>35.838986689473955</c:v>
                </c:pt>
                <c:pt idx="2">
                  <c:v>0.12648499717867878</c:v>
                </c:pt>
                <c:pt idx="3">
                  <c:v>-10.773192949477377</c:v>
                </c:pt>
                <c:pt idx="4">
                  <c:v>23.308221164062218</c:v>
                </c:pt>
                <c:pt idx="5">
                  <c:v>34.712142663151766</c:v>
                </c:pt>
                <c:pt idx="6">
                  <c:v>-7.1989913857617012</c:v>
                </c:pt>
                <c:pt idx="7">
                  <c:v>-33.284725714589918</c:v>
                </c:pt>
                <c:pt idx="8">
                  <c:v>-33.066094487984984</c:v>
                </c:pt>
                <c:pt idx="9">
                  <c:v>-31.163947837643533</c:v>
                </c:pt>
                <c:pt idx="10">
                  <c:v>-10.891974173484314</c:v>
                </c:pt>
                <c:pt idx="11">
                  <c:v>6.5037533697437624</c:v>
                </c:pt>
              </c:numCache>
            </c:numRef>
          </c:val>
          <c:smooth val="0"/>
          <c:extLst>
            <c:ext xmlns:c16="http://schemas.microsoft.com/office/drawing/2014/chart" uri="{C3380CC4-5D6E-409C-BE32-E72D297353CC}">
              <c16:uniqueId val="{00000002-E629-414A-A812-83572A76A976}"/>
            </c:ext>
          </c:extLst>
        </c:ser>
        <c:dLbls>
          <c:showLegendKey val="0"/>
          <c:showVal val="0"/>
          <c:showCatName val="0"/>
          <c:showSerName val="0"/>
          <c:showPercent val="0"/>
          <c:showBubbleSize val="0"/>
        </c:dLbls>
        <c:marker val="1"/>
        <c:smooth val="0"/>
        <c:axId val="1675569456"/>
        <c:axId val="1874249808"/>
      </c:lineChart>
      <c:catAx>
        <c:axId val="16755694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uk-UA"/>
                  <a:t>Місяці</a:t>
                </a:r>
              </a:p>
            </c:rich>
          </c:tx>
          <c:overlay val="0"/>
          <c:spPr>
            <a:noFill/>
            <a:ln>
              <a:noFill/>
            </a:ln>
            <a:effectLst/>
          </c:spPr>
        </c:title>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74249808"/>
        <c:crosses val="autoZero"/>
        <c:auto val="1"/>
        <c:lblAlgn val="ctr"/>
        <c:lblOffset val="100"/>
        <c:noMultiLvlLbl val="0"/>
      </c:catAx>
      <c:valAx>
        <c:axId val="1874249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sz="1000" b="0" i="0" u="none" strike="noStrike" baseline="0">
                    <a:effectLst/>
                  </a:rPr>
                  <a:t>Δ</a:t>
                </a:r>
                <a:r>
                  <a:rPr lang="de-DE" sz="1000" b="0" i="0" u="none" strike="noStrike" baseline="0">
                    <a:effectLst/>
                  </a:rPr>
                  <a:t>r </a:t>
                </a:r>
                <a:r>
                  <a:rPr lang="uk-UA" sz="1000" b="0" i="0" u="none" strike="noStrike" baseline="0">
                    <a:effectLst/>
                  </a:rPr>
                  <a:t>, мм</a:t>
                </a:r>
                <a:endParaRPr lang="uk-UA"/>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75569456"/>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29"/>
    </mc:Choice>
    <mc:Fallback>
      <c:style val="29"/>
    </mc:Fallback>
  </mc:AlternateContent>
  <c:chart>
    <c:title>
      <c:tx>
        <c:rich>
          <a:bodyPr/>
          <a:lstStyle/>
          <a:p>
            <a:pPr>
              <a:defRPr sz="1200"/>
            </a:pPr>
            <a:r>
              <a:rPr lang="ru-RU" sz="1200"/>
              <a:t>Кількість наявного населення м. Житомир у період 2010-2020 рр.</a:t>
            </a:r>
          </a:p>
        </c:rich>
      </c:tx>
      <c:overlay val="0"/>
    </c:title>
    <c:autoTitleDeleted val="0"/>
    <c:plotArea>
      <c:layout/>
      <c:barChart>
        <c:barDir val="col"/>
        <c:grouping val="clustered"/>
        <c:varyColors val="0"/>
        <c:ser>
          <c:idx val="0"/>
          <c:order val="0"/>
          <c:tx>
            <c:strRef>
              <c:f>Лист1!$E$1</c:f>
              <c:strCache>
                <c:ptCount val="1"/>
                <c:pt idx="0">
                  <c:v>Кількість наявного населення м. Житомир у період 2010-2020рр</c:v>
                </c:pt>
              </c:strCache>
            </c:strRef>
          </c:tx>
          <c:invertIfNegative val="0"/>
          <c:dLbls>
            <c:spPr>
              <a:noFill/>
              <a:ln>
                <a:noFill/>
              </a:ln>
              <a:effectLst/>
            </c:spPr>
            <c:txPr>
              <a:bodyPr/>
              <a:lstStyle/>
              <a:p>
                <a:pPr>
                  <a:defRPr sz="9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Лист1!$D$4:$N$4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Лист1!$D$5:$N$5</c:f>
              <c:numCache>
                <c:formatCode>General</c:formatCode>
                <c:ptCount val="11"/>
                <c:pt idx="0">
                  <c:v>271.7</c:v>
                </c:pt>
                <c:pt idx="1">
                  <c:v>271.7</c:v>
                </c:pt>
                <c:pt idx="2">
                  <c:v>271.8</c:v>
                </c:pt>
                <c:pt idx="3">
                  <c:v>271.3</c:v>
                </c:pt>
                <c:pt idx="4">
                  <c:v>270.89999999999998</c:v>
                </c:pt>
                <c:pt idx="5">
                  <c:v>269.89999999999998</c:v>
                </c:pt>
                <c:pt idx="6" formatCode="0.0">
                  <c:v>267.39999999999998</c:v>
                </c:pt>
                <c:pt idx="7" formatCode="0.0">
                  <c:v>266.39999999999998</c:v>
                </c:pt>
                <c:pt idx="8" formatCode="0.0">
                  <c:v>265.2</c:v>
                </c:pt>
                <c:pt idx="9" formatCode="0.0">
                  <c:v>263.89999999999998</c:v>
                </c:pt>
                <c:pt idx="10" formatCode="0.0">
                  <c:v>264.3</c:v>
                </c:pt>
              </c:numCache>
            </c:numRef>
          </c:val>
          <c:extLst>
            <c:ext xmlns:c16="http://schemas.microsoft.com/office/drawing/2014/chart" uri="{C3380CC4-5D6E-409C-BE32-E72D297353CC}">
              <c16:uniqueId val="{00000000-DF5E-45B6-AB5F-6FE2221C6353}"/>
            </c:ext>
          </c:extLst>
        </c:ser>
        <c:dLbls>
          <c:showLegendKey val="0"/>
          <c:showVal val="0"/>
          <c:showCatName val="0"/>
          <c:showSerName val="0"/>
          <c:showPercent val="0"/>
          <c:showBubbleSize val="0"/>
        </c:dLbls>
        <c:gapWidth val="150"/>
        <c:axId val="1874245456"/>
        <c:axId val="1874250896"/>
      </c:barChart>
      <c:catAx>
        <c:axId val="1874245456"/>
        <c:scaling>
          <c:orientation val="minMax"/>
        </c:scaling>
        <c:delete val="0"/>
        <c:axPos val="b"/>
        <c:numFmt formatCode="General" sourceLinked="1"/>
        <c:majorTickMark val="out"/>
        <c:minorTickMark val="none"/>
        <c:tickLblPos val="nextTo"/>
        <c:crossAx val="1874250896"/>
        <c:crosses val="autoZero"/>
        <c:auto val="1"/>
        <c:lblAlgn val="ctr"/>
        <c:lblOffset val="100"/>
        <c:noMultiLvlLbl val="0"/>
      </c:catAx>
      <c:valAx>
        <c:axId val="1874250896"/>
        <c:scaling>
          <c:orientation val="minMax"/>
          <c:min val="0"/>
        </c:scaling>
        <c:delete val="0"/>
        <c:axPos val="l"/>
        <c:majorGridlines/>
        <c:title>
          <c:tx>
            <c:rich>
              <a:bodyPr rot="0" vert="horz"/>
              <a:lstStyle/>
              <a:p>
                <a:pPr>
                  <a:defRPr/>
                </a:pPr>
                <a:r>
                  <a:rPr lang="ru-RU"/>
                  <a:t>Тис. осіб</a:t>
                </a:r>
              </a:p>
            </c:rich>
          </c:tx>
          <c:layout>
            <c:manualLayout>
              <c:xMode val="edge"/>
              <c:yMode val="edge"/>
              <c:x val="1.6666666666666666E-2"/>
              <c:y val="0.20305737824438611"/>
            </c:manualLayout>
          </c:layout>
          <c:overlay val="0"/>
        </c:title>
        <c:numFmt formatCode="General" sourceLinked="1"/>
        <c:majorTickMark val="out"/>
        <c:minorTickMark val="none"/>
        <c:tickLblPos val="nextTo"/>
        <c:crossAx val="1874245456"/>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Середня кількість штатних працівників, </a:t>
            </a:r>
            <a:br>
              <a:rPr lang="ru-RU" sz="1200"/>
            </a:br>
            <a:r>
              <a:rPr lang="ru-RU" sz="1200"/>
              <a:t>тис. осіб</a:t>
            </a:r>
          </a:p>
        </c:rich>
      </c:tx>
      <c:overlay val="0"/>
    </c:title>
    <c:autoTitleDeleted val="0"/>
    <c:plotArea>
      <c:layout/>
      <c:lineChart>
        <c:grouping val="standard"/>
        <c:varyColors val="0"/>
        <c:ser>
          <c:idx val="0"/>
          <c:order val="0"/>
          <c:dLbls>
            <c:spPr>
              <a:noFill/>
              <a:ln>
                <a:noFill/>
              </a:ln>
              <a:effectLst/>
            </c:spPr>
            <c:txPr>
              <a:bodyPr/>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соцеконом!$C$4:$M$4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соцеконом!$C$6:$M$6</c:f>
              <c:numCache>
                <c:formatCode>General</c:formatCode>
                <c:ptCount val="11"/>
                <c:pt idx="0">
                  <c:v>89.4</c:v>
                </c:pt>
                <c:pt idx="1">
                  <c:v>88.1</c:v>
                </c:pt>
                <c:pt idx="2">
                  <c:v>86.5</c:v>
                </c:pt>
                <c:pt idx="3">
                  <c:v>85.2</c:v>
                </c:pt>
                <c:pt idx="4">
                  <c:v>83.8</c:v>
                </c:pt>
                <c:pt idx="5">
                  <c:v>79.900000000000006</c:v>
                </c:pt>
                <c:pt idx="6">
                  <c:v>78.3</c:v>
                </c:pt>
                <c:pt idx="7">
                  <c:v>75.2</c:v>
                </c:pt>
                <c:pt idx="8">
                  <c:v>75.3</c:v>
                </c:pt>
                <c:pt idx="9">
                  <c:v>75.900000000000006</c:v>
                </c:pt>
                <c:pt idx="10">
                  <c:v>75</c:v>
                </c:pt>
              </c:numCache>
            </c:numRef>
          </c:val>
          <c:smooth val="0"/>
          <c:extLst>
            <c:ext xmlns:c16="http://schemas.microsoft.com/office/drawing/2014/chart" uri="{C3380CC4-5D6E-409C-BE32-E72D297353CC}">
              <c16:uniqueId val="{00000000-7A02-45F8-A6F5-21FB31C512EC}"/>
            </c:ext>
          </c:extLst>
        </c:ser>
        <c:dLbls>
          <c:showLegendKey val="0"/>
          <c:showVal val="0"/>
          <c:showCatName val="0"/>
          <c:showSerName val="0"/>
          <c:showPercent val="0"/>
          <c:showBubbleSize val="0"/>
        </c:dLbls>
        <c:marker val="1"/>
        <c:smooth val="0"/>
        <c:axId val="1874243824"/>
        <c:axId val="1874244368"/>
      </c:lineChart>
      <c:catAx>
        <c:axId val="1874243824"/>
        <c:scaling>
          <c:orientation val="minMax"/>
        </c:scaling>
        <c:delete val="0"/>
        <c:axPos val="b"/>
        <c:numFmt formatCode="General" sourceLinked="1"/>
        <c:majorTickMark val="out"/>
        <c:minorTickMark val="none"/>
        <c:tickLblPos val="nextTo"/>
        <c:crossAx val="1874244368"/>
        <c:crosses val="autoZero"/>
        <c:auto val="1"/>
        <c:lblAlgn val="ctr"/>
        <c:lblOffset val="100"/>
        <c:noMultiLvlLbl val="0"/>
      </c:catAx>
      <c:valAx>
        <c:axId val="1874244368"/>
        <c:scaling>
          <c:orientation val="minMax"/>
          <c:min val="0"/>
        </c:scaling>
        <c:delete val="0"/>
        <c:axPos val="l"/>
        <c:majorGridlines/>
        <c:numFmt formatCode="General" sourceLinked="1"/>
        <c:majorTickMark val="out"/>
        <c:minorTickMark val="none"/>
        <c:tickLblPos val="nextTo"/>
        <c:crossAx val="187424382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74875804884251"/>
          <c:y val="4.3033022035036318E-2"/>
          <c:w val="0.77713756368689213"/>
          <c:h val="0.69805072331074891"/>
        </c:manualLayout>
      </c:layout>
      <c:barChart>
        <c:barDir val="col"/>
        <c:grouping val="clustered"/>
        <c:varyColors val="0"/>
        <c:ser>
          <c:idx val="0"/>
          <c:order val="0"/>
          <c:tx>
            <c:strRef>
              <c:f>Бюджет!$B$31</c:f>
              <c:strCache>
                <c:ptCount val="1"/>
                <c:pt idx="0">
                  <c:v>Доходи міського бюджету</c:v>
                </c:pt>
              </c:strCache>
            </c:strRef>
          </c:tx>
          <c:spPr>
            <a:ln>
              <a:solidFill>
                <a:schemeClr val="tx1"/>
              </a:solidFill>
            </a:ln>
          </c:spPr>
          <c:invertIfNegative val="0"/>
          <c:cat>
            <c:numRef>
              <c:f>Бюджет!$A$35:$A$45</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Бюджет!$B$35:$B$45</c:f>
              <c:numCache>
                <c:formatCode>General</c:formatCode>
                <c:ptCount val="11"/>
                <c:pt idx="0">
                  <c:v>649.1</c:v>
                </c:pt>
                <c:pt idx="1">
                  <c:v>769.8</c:v>
                </c:pt>
                <c:pt idx="2">
                  <c:v>1036.0999999999999</c:v>
                </c:pt>
                <c:pt idx="3">
                  <c:v>1001.9</c:v>
                </c:pt>
                <c:pt idx="4">
                  <c:v>1252.2</c:v>
                </c:pt>
                <c:pt idx="5">
                  <c:v>1523.1</c:v>
                </c:pt>
                <c:pt idx="6">
                  <c:v>2042.6</c:v>
                </c:pt>
                <c:pt idx="7">
                  <c:v>2859</c:v>
                </c:pt>
                <c:pt idx="8">
                  <c:v>3154.2</c:v>
                </c:pt>
                <c:pt idx="9">
                  <c:v>3186.3</c:v>
                </c:pt>
                <c:pt idx="10">
                  <c:v>2749.6</c:v>
                </c:pt>
              </c:numCache>
            </c:numRef>
          </c:val>
          <c:extLst>
            <c:ext xmlns:c16="http://schemas.microsoft.com/office/drawing/2014/chart" uri="{C3380CC4-5D6E-409C-BE32-E72D297353CC}">
              <c16:uniqueId val="{00000000-CA67-469B-BB5A-48A1D1066C1E}"/>
            </c:ext>
          </c:extLst>
        </c:ser>
        <c:ser>
          <c:idx val="1"/>
          <c:order val="1"/>
          <c:tx>
            <c:strRef>
              <c:f>Бюджет!$C$31</c:f>
              <c:strCache>
                <c:ptCount val="1"/>
                <c:pt idx="0">
                  <c:v>Доходи загального фонду міського бюджету</c:v>
                </c:pt>
              </c:strCache>
            </c:strRef>
          </c:tx>
          <c:spPr>
            <a:ln>
              <a:solidFill>
                <a:schemeClr val="tx1"/>
              </a:solidFill>
            </a:ln>
          </c:spPr>
          <c:invertIfNegative val="0"/>
          <c:cat>
            <c:numRef>
              <c:f>Бюджет!$A$35:$A$45</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Бюджет!$C$35:$C$45</c:f>
              <c:numCache>
                <c:formatCode>General</c:formatCode>
                <c:ptCount val="11"/>
                <c:pt idx="0">
                  <c:v>596.79999999999995</c:v>
                </c:pt>
                <c:pt idx="1">
                  <c:v>687.2</c:v>
                </c:pt>
                <c:pt idx="2">
                  <c:v>878.2</c:v>
                </c:pt>
                <c:pt idx="3">
                  <c:v>870.9</c:v>
                </c:pt>
                <c:pt idx="4">
                  <c:v>971.8</c:v>
                </c:pt>
                <c:pt idx="5">
                  <c:v>1508.9</c:v>
                </c:pt>
                <c:pt idx="6">
                  <c:v>1979.1</c:v>
                </c:pt>
                <c:pt idx="7">
                  <c:v>2741.2</c:v>
                </c:pt>
                <c:pt idx="8">
                  <c:v>3014.9</c:v>
                </c:pt>
                <c:pt idx="9">
                  <c:v>3003.5</c:v>
                </c:pt>
                <c:pt idx="10">
                  <c:v>2583.6999999999998</c:v>
                </c:pt>
              </c:numCache>
            </c:numRef>
          </c:val>
          <c:extLst>
            <c:ext xmlns:c16="http://schemas.microsoft.com/office/drawing/2014/chart" uri="{C3380CC4-5D6E-409C-BE32-E72D297353CC}">
              <c16:uniqueId val="{00000001-CA67-469B-BB5A-48A1D1066C1E}"/>
            </c:ext>
          </c:extLst>
        </c:ser>
        <c:ser>
          <c:idx val="2"/>
          <c:order val="2"/>
          <c:tx>
            <c:strRef>
              <c:f>Бюджет!$D$31</c:f>
              <c:strCache>
                <c:ptCount val="1"/>
                <c:pt idx="0">
                  <c:v>Доходи спеціального фонду міського бюджету</c:v>
                </c:pt>
              </c:strCache>
            </c:strRef>
          </c:tx>
          <c:spPr>
            <a:ln>
              <a:solidFill>
                <a:schemeClr val="tx1"/>
              </a:solidFill>
            </a:ln>
          </c:spPr>
          <c:invertIfNegative val="0"/>
          <c:cat>
            <c:numRef>
              <c:f>Бюджет!$A$35:$A$45</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Бюджет!$D$35:$D$45</c:f>
              <c:numCache>
                <c:formatCode>General</c:formatCode>
                <c:ptCount val="11"/>
                <c:pt idx="0">
                  <c:v>52.3</c:v>
                </c:pt>
                <c:pt idx="1">
                  <c:v>82.6</c:v>
                </c:pt>
                <c:pt idx="2">
                  <c:v>157.9</c:v>
                </c:pt>
                <c:pt idx="3">
                  <c:v>131</c:v>
                </c:pt>
                <c:pt idx="4">
                  <c:v>280.39999999999998</c:v>
                </c:pt>
                <c:pt idx="5">
                  <c:v>14.2</c:v>
                </c:pt>
                <c:pt idx="6">
                  <c:v>63.5</c:v>
                </c:pt>
                <c:pt idx="7">
                  <c:v>117.8</c:v>
                </c:pt>
                <c:pt idx="8">
                  <c:v>139.30000000000001</c:v>
                </c:pt>
                <c:pt idx="9">
                  <c:v>182.8</c:v>
                </c:pt>
                <c:pt idx="10">
                  <c:v>166</c:v>
                </c:pt>
              </c:numCache>
            </c:numRef>
          </c:val>
          <c:extLst>
            <c:ext xmlns:c16="http://schemas.microsoft.com/office/drawing/2014/chart" uri="{C3380CC4-5D6E-409C-BE32-E72D297353CC}">
              <c16:uniqueId val="{00000002-CA67-469B-BB5A-48A1D1066C1E}"/>
            </c:ext>
          </c:extLst>
        </c:ser>
        <c:dLbls>
          <c:showLegendKey val="0"/>
          <c:showVal val="0"/>
          <c:showCatName val="0"/>
          <c:showSerName val="0"/>
          <c:showPercent val="0"/>
          <c:showBubbleSize val="0"/>
        </c:dLbls>
        <c:gapWidth val="150"/>
        <c:axId val="1874249264"/>
        <c:axId val="1874248720"/>
      </c:barChart>
      <c:catAx>
        <c:axId val="1874249264"/>
        <c:scaling>
          <c:orientation val="minMax"/>
        </c:scaling>
        <c:delete val="0"/>
        <c:axPos val="b"/>
        <c:numFmt formatCode="General" sourceLinked="1"/>
        <c:majorTickMark val="out"/>
        <c:minorTickMark val="none"/>
        <c:tickLblPos val="nextTo"/>
        <c:crossAx val="1874248720"/>
        <c:crosses val="autoZero"/>
        <c:auto val="1"/>
        <c:lblAlgn val="ctr"/>
        <c:lblOffset val="100"/>
        <c:noMultiLvlLbl val="0"/>
      </c:catAx>
      <c:valAx>
        <c:axId val="1874248720"/>
        <c:scaling>
          <c:orientation val="minMax"/>
        </c:scaling>
        <c:delete val="0"/>
        <c:axPos val="l"/>
        <c:majorGridlines/>
        <c:title>
          <c:tx>
            <c:rich>
              <a:bodyPr rot="0" vert="horz"/>
              <a:lstStyle/>
              <a:p>
                <a:pPr>
                  <a:defRPr sz="1000"/>
                </a:pPr>
                <a:r>
                  <a:rPr lang="ru-RU" sz="1000"/>
                  <a:t>млн.грн.</a:t>
                </a:r>
              </a:p>
            </c:rich>
          </c:tx>
          <c:layout>
            <c:manualLayout>
              <c:xMode val="edge"/>
              <c:yMode val="edge"/>
              <c:x val="2.2222222222222223E-2"/>
              <c:y val="2.8102716890118486E-2"/>
            </c:manualLayout>
          </c:layout>
          <c:overlay val="0"/>
        </c:title>
        <c:numFmt formatCode="General" sourceLinked="1"/>
        <c:majorTickMark val="out"/>
        <c:minorTickMark val="none"/>
        <c:tickLblPos val="nextTo"/>
        <c:crossAx val="1874249264"/>
        <c:crosses val="autoZero"/>
        <c:crossBetween val="between"/>
      </c:valAx>
    </c:plotArea>
    <c:legend>
      <c:legendPos val="b"/>
      <c:layout>
        <c:manualLayout>
          <c:xMode val="edge"/>
          <c:yMode val="edge"/>
          <c:x val="0.20105957516895961"/>
          <c:y val="0.85078901415848474"/>
          <c:w val="0.57246543101608049"/>
          <c:h val="0.12580548554894652"/>
        </c:manualLayout>
      </c:layout>
      <c:overlay val="0"/>
      <c:txPr>
        <a:bodyPr/>
        <a:lstStyle/>
        <a:p>
          <a:pPr>
            <a:defRPr sz="1000"/>
          </a:pPr>
          <a:endParaRPr lang="ru-RU"/>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Бюджет!$B$59</c:f>
              <c:strCache>
                <c:ptCount val="1"/>
                <c:pt idx="0">
                  <c:v>Видатки міського бюджету</c:v>
                </c:pt>
              </c:strCache>
            </c:strRef>
          </c:tx>
          <c:spPr>
            <a:ln>
              <a:solidFill>
                <a:schemeClr val="tx1"/>
              </a:solidFill>
            </a:ln>
          </c:spPr>
          <c:invertIfNegative val="0"/>
          <c:cat>
            <c:numRef>
              <c:f>Бюджет!$A$63:$A$73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Бюджет!$B$63:$B$73</c:f>
              <c:numCache>
                <c:formatCode>General</c:formatCode>
                <c:ptCount val="11"/>
                <c:pt idx="0">
                  <c:v>670.4</c:v>
                </c:pt>
                <c:pt idx="1">
                  <c:v>769.8</c:v>
                </c:pt>
                <c:pt idx="2">
                  <c:v>1038.2</c:v>
                </c:pt>
                <c:pt idx="3">
                  <c:v>1010.9</c:v>
                </c:pt>
                <c:pt idx="4">
                  <c:v>1286.5</c:v>
                </c:pt>
                <c:pt idx="5">
                  <c:v>1577.3</c:v>
                </c:pt>
                <c:pt idx="6">
                  <c:v>2140.8000000000002</c:v>
                </c:pt>
                <c:pt idx="7">
                  <c:v>2871.1</c:v>
                </c:pt>
                <c:pt idx="8">
                  <c:v>3147.1</c:v>
                </c:pt>
                <c:pt idx="9">
                  <c:v>3156.7</c:v>
                </c:pt>
                <c:pt idx="10">
                  <c:v>2745.6</c:v>
                </c:pt>
              </c:numCache>
            </c:numRef>
          </c:val>
          <c:extLst>
            <c:ext xmlns:c16="http://schemas.microsoft.com/office/drawing/2014/chart" uri="{C3380CC4-5D6E-409C-BE32-E72D297353CC}">
              <c16:uniqueId val="{00000000-88BE-47A4-AE1C-915B5EE4CD10}"/>
            </c:ext>
          </c:extLst>
        </c:ser>
        <c:ser>
          <c:idx val="1"/>
          <c:order val="1"/>
          <c:tx>
            <c:strRef>
              <c:f>Бюджет!$C$59</c:f>
              <c:strCache>
                <c:ptCount val="1"/>
                <c:pt idx="0">
                  <c:v>Видатки загального фонду міського бюджету</c:v>
                </c:pt>
              </c:strCache>
            </c:strRef>
          </c:tx>
          <c:spPr>
            <a:ln>
              <a:solidFill>
                <a:schemeClr val="tx1"/>
              </a:solidFill>
            </a:ln>
          </c:spPr>
          <c:invertIfNegative val="0"/>
          <c:cat>
            <c:numRef>
              <c:f>Бюджет!$A$63:$A$73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Бюджет!$C$63:$C$73</c:f>
              <c:numCache>
                <c:formatCode>General</c:formatCode>
                <c:ptCount val="11"/>
                <c:pt idx="0">
                  <c:v>603.6</c:v>
                </c:pt>
                <c:pt idx="1">
                  <c:v>669.4</c:v>
                </c:pt>
                <c:pt idx="2">
                  <c:v>889.3</c:v>
                </c:pt>
                <c:pt idx="3">
                  <c:v>881.1</c:v>
                </c:pt>
                <c:pt idx="4">
                  <c:v>942.2</c:v>
                </c:pt>
                <c:pt idx="5">
                  <c:v>1244.7</c:v>
                </c:pt>
                <c:pt idx="6">
                  <c:v>1642.8</c:v>
                </c:pt>
                <c:pt idx="7">
                  <c:v>2398.1</c:v>
                </c:pt>
                <c:pt idx="8">
                  <c:v>2745.7</c:v>
                </c:pt>
                <c:pt idx="9">
                  <c:v>2780.8</c:v>
                </c:pt>
                <c:pt idx="10">
                  <c:v>2364.6</c:v>
                </c:pt>
              </c:numCache>
            </c:numRef>
          </c:val>
          <c:extLst>
            <c:ext xmlns:c16="http://schemas.microsoft.com/office/drawing/2014/chart" uri="{C3380CC4-5D6E-409C-BE32-E72D297353CC}">
              <c16:uniqueId val="{00000001-88BE-47A4-AE1C-915B5EE4CD10}"/>
            </c:ext>
          </c:extLst>
        </c:ser>
        <c:ser>
          <c:idx val="2"/>
          <c:order val="2"/>
          <c:tx>
            <c:strRef>
              <c:f>Бюджет!$D$59</c:f>
              <c:strCache>
                <c:ptCount val="1"/>
                <c:pt idx="0">
                  <c:v>Видатки спеціального фонду міського буюджету</c:v>
                </c:pt>
              </c:strCache>
            </c:strRef>
          </c:tx>
          <c:spPr>
            <a:ln>
              <a:solidFill>
                <a:schemeClr val="tx1"/>
              </a:solidFill>
            </a:ln>
          </c:spPr>
          <c:invertIfNegative val="0"/>
          <c:cat>
            <c:numRef>
              <c:f>Бюджет!$A$63:$A$73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Бюджет!$D$63:$D$73</c:f>
              <c:numCache>
                <c:formatCode>General</c:formatCode>
                <c:ptCount val="11"/>
                <c:pt idx="0">
                  <c:v>66.8</c:v>
                </c:pt>
                <c:pt idx="1">
                  <c:v>100.4</c:v>
                </c:pt>
                <c:pt idx="2">
                  <c:v>148.69999999999999</c:v>
                </c:pt>
                <c:pt idx="3">
                  <c:v>129.80000000000001</c:v>
                </c:pt>
                <c:pt idx="4">
                  <c:v>344.3</c:v>
                </c:pt>
                <c:pt idx="5">
                  <c:v>332.6</c:v>
                </c:pt>
                <c:pt idx="6">
                  <c:v>498</c:v>
                </c:pt>
                <c:pt idx="7">
                  <c:v>473</c:v>
                </c:pt>
                <c:pt idx="8">
                  <c:v>401.4</c:v>
                </c:pt>
                <c:pt idx="9">
                  <c:v>375.9</c:v>
                </c:pt>
                <c:pt idx="10">
                  <c:v>381</c:v>
                </c:pt>
              </c:numCache>
            </c:numRef>
          </c:val>
          <c:extLst>
            <c:ext xmlns:c16="http://schemas.microsoft.com/office/drawing/2014/chart" uri="{C3380CC4-5D6E-409C-BE32-E72D297353CC}">
              <c16:uniqueId val="{00000002-88BE-47A4-AE1C-915B5EE4CD10}"/>
            </c:ext>
          </c:extLst>
        </c:ser>
        <c:dLbls>
          <c:showLegendKey val="0"/>
          <c:showVal val="0"/>
          <c:showCatName val="0"/>
          <c:showSerName val="0"/>
          <c:showPercent val="0"/>
          <c:showBubbleSize val="0"/>
        </c:dLbls>
        <c:gapWidth val="150"/>
        <c:axId val="1874246544"/>
        <c:axId val="1874250352"/>
      </c:barChart>
      <c:catAx>
        <c:axId val="1874246544"/>
        <c:scaling>
          <c:orientation val="minMax"/>
        </c:scaling>
        <c:delete val="0"/>
        <c:axPos val="b"/>
        <c:numFmt formatCode="General" sourceLinked="1"/>
        <c:majorTickMark val="out"/>
        <c:minorTickMark val="none"/>
        <c:tickLblPos val="nextTo"/>
        <c:crossAx val="1874250352"/>
        <c:crosses val="autoZero"/>
        <c:auto val="1"/>
        <c:lblAlgn val="ctr"/>
        <c:lblOffset val="100"/>
        <c:noMultiLvlLbl val="0"/>
      </c:catAx>
      <c:valAx>
        <c:axId val="1874250352"/>
        <c:scaling>
          <c:orientation val="minMax"/>
        </c:scaling>
        <c:delete val="0"/>
        <c:axPos val="l"/>
        <c:majorGridlines/>
        <c:title>
          <c:tx>
            <c:rich>
              <a:bodyPr rot="0" vert="horz"/>
              <a:lstStyle/>
              <a:p>
                <a:pPr>
                  <a:defRPr/>
                </a:pPr>
                <a:r>
                  <a:rPr lang="ru-RU"/>
                  <a:t>млн.грн.</a:t>
                </a:r>
              </a:p>
            </c:rich>
          </c:tx>
          <c:layout>
            <c:manualLayout>
              <c:xMode val="edge"/>
              <c:yMode val="edge"/>
              <c:x val="2.2222222222222223E-2"/>
              <c:y val="2.8102716890118486E-2"/>
            </c:manualLayout>
          </c:layout>
          <c:overlay val="0"/>
        </c:title>
        <c:numFmt formatCode="General" sourceLinked="1"/>
        <c:majorTickMark val="out"/>
        <c:minorTickMark val="none"/>
        <c:tickLblPos val="nextTo"/>
        <c:crossAx val="1874246544"/>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Бюджет!$B$77</c:f>
              <c:strCache>
                <c:ptCount val="1"/>
                <c:pt idx="0">
                  <c:v>Надходження бюджету розвитку м. Житомир</c:v>
                </c:pt>
              </c:strCache>
            </c:strRef>
          </c:tx>
          <c:spPr>
            <a:ln>
              <a:solidFill>
                <a:schemeClr val="tx1"/>
              </a:solidFill>
            </a:ln>
          </c:spPr>
          <c:invertIfNegative val="0"/>
          <c:cat>
            <c:numRef>
              <c:f>Бюджет!$A$63:$A$73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Бюджет!$E$35:$E$45</c:f>
              <c:numCache>
                <c:formatCode>General</c:formatCode>
                <c:ptCount val="11"/>
                <c:pt idx="0">
                  <c:v>16.399999999999999</c:v>
                </c:pt>
                <c:pt idx="1">
                  <c:v>24.2</c:v>
                </c:pt>
                <c:pt idx="2">
                  <c:v>60.2</c:v>
                </c:pt>
                <c:pt idx="3">
                  <c:v>71.5</c:v>
                </c:pt>
                <c:pt idx="4">
                  <c:v>85.1</c:v>
                </c:pt>
                <c:pt idx="5">
                  <c:v>5.6</c:v>
                </c:pt>
                <c:pt idx="6">
                  <c:v>10</c:v>
                </c:pt>
                <c:pt idx="7">
                  <c:v>41.5</c:v>
                </c:pt>
                <c:pt idx="8">
                  <c:v>52.6</c:v>
                </c:pt>
                <c:pt idx="9">
                  <c:v>98.8</c:v>
                </c:pt>
                <c:pt idx="10">
                  <c:v>63.7</c:v>
                </c:pt>
              </c:numCache>
            </c:numRef>
          </c:val>
          <c:extLst>
            <c:ext xmlns:c16="http://schemas.microsoft.com/office/drawing/2014/chart" uri="{C3380CC4-5D6E-409C-BE32-E72D297353CC}">
              <c16:uniqueId val="{00000000-4695-4576-8C8A-7770E8CEDC44}"/>
            </c:ext>
          </c:extLst>
        </c:ser>
        <c:ser>
          <c:idx val="1"/>
          <c:order val="1"/>
          <c:tx>
            <c:strRef>
              <c:f>Бюджет!$B$78</c:f>
              <c:strCache>
                <c:ptCount val="1"/>
                <c:pt idx="0">
                  <c:v>Видатки бюджету розвитку м. Житомир</c:v>
                </c:pt>
              </c:strCache>
            </c:strRef>
          </c:tx>
          <c:spPr>
            <a:ln>
              <a:solidFill>
                <a:schemeClr val="tx1"/>
              </a:solidFill>
            </a:ln>
          </c:spPr>
          <c:invertIfNegative val="0"/>
          <c:cat>
            <c:numRef>
              <c:f>Бюджет!$A$63:$A$73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Бюджет!$E$63:$E$73</c:f>
              <c:numCache>
                <c:formatCode>General</c:formatCode>
                <c:ptCount val="11"/>
                <c:pt idx="0">
                  <c:v>20.3</c:v>
                </c:pt>
                <c:pt idx="1">
                  <c:v>32.200000000000003</c:v>
                </c:pt>
                <c:pt idx="2">
                  <c:v>55.3</c:v>
                </c:pt>
                <c:pt idx="3">
                  <c:v>62.6</c:v>
                </c:pt>
                <c:pt idx="4">
                  <c:v>134.19999999999999</c:v>
                </c:pt>
                <c:pt idx="5">
                  <c:v>268.7</c:v>
                </c:pt>
                <c:pt idx="6">
                  <c:v>436.6</c:v>
                </c:pt>
                <c:pt idx="7">
                  <c:v>413.1</c:v>
                </c:pt>
                <c:pt idx="8">
                  <c:v>324.10000000000002</c:v>
                </c:pt>
                <c:pt idx="9">
                  <c:v>313.39999999999998</c:v>
                </c:pt>
                <c:pt idx="10">
                  <c:v>303</c:v>
                </c:pt>
              </c:numCache>
            </c:numRef>
          </c:val>
          <c:extLst>
            <c:ext xmlns:c16="http://schemas.microsoft.com/office/drawing/2014/chart" uri="{C3380CC4-5D6E-409C-BE32-E72D297353CC}">
              <c16:uniqueId val="{00000001-4695-4576-8C8A-7770E8CEDC44}"/>
            </c:ext>
          </c:extLst>
        </c:ser>
        <c:dLbls>
          <c:showLegendKey val="0"/>
          <c:showVal val="0"/>
          <c:showCatName val="0"/>
          <c:showSerName val="0"/>
          <c:showPercent val="0"/>
          <c:showBubbleSize val="0"/>
        </c:dLbls>
        <c:gapWidth val="150"/>
        <c:axId val="1874247088"/>
        <c:axId val="1874247632"/>
      </c:barChart>
      <c:catAx>
        <c:axId val="1874247088"/>
        <c:scaling>
          <c:orientation val="minMax"/>
        </c:scaling>
        <c:delete val="0"/>
        <c:axPos val="b"/>
        <c:numFmt formatCode="General" sourceLinked="1"/>
        <c:majorTickMark val="out"/>
        <c:minorTickMark val="none"/>
        <c:tickLblPos val="nextTo"/>
        <c:crossAx val="1874247632"/>
        <c:crosses val="autoZero"/>
        <c:auto val="1"/>
        <c:lblAlgn val="ctr"/>
        <c:lblOffset val="100"/>
        <c:noMultiLvlLbl val="0"/>
      </c:catAx>
      <c:valAx>
        <c:axId val="1874247632"/>
        <c:scaling>
          <c:orientation val="minMax"/>
        </c:scaling>
        <c:delete val="0"/>
        <c:axPos val="l"/>
        <c:majorGridlines/>
        <c:title>
          <c:tx>
            <c:rich>
              <a:bodyPr rot="0" vert="horz"/>
              <a:lstStyle/>
              <a:p>
                <a:pPr>
                  <a:defRPr/>
                </a:pPr>
                <a:r>
                  <a:rPr lang="ru-RU"/>
                  <a:t>млн.грн.</a:t>
                </a:r>
              </a:p>
            </c:rich>
          </c:tx>
          <c:layout>
            <c:manualLayout>
              <c:xMode val="edge"/>
              <c:yMode val="edge"/>
              <c:x val="1.9444444444444445E-2"/>
              <c:y val="4.4587777829545393E-2"/>
            </c:manualLayout>
          </c:layout>
          <c:overlay val="0"/>
        </c:title>
        <c:numFmt formatCode="General" sourceLinked="1"/>
        <c:majorTickMark val="out"/>
        <c:minorTickMark val="none"/>
        <c:tickLblPos val="nextTo"/>
        <c:crossAx val="1874247088"/>
        <c:crosses val="autoZero"/>
        <c:crossBetween val="between"/>
      </c:valAx>
    </c:plotArea>
    <c:legend>
      <c:legendPos val="b"/>
      <c:layout>
        <c:manualLayout>
          <c:xMode val="edge"/>
          <c:yMode val="edge"/>
          <c:x val="0.24954186231308248"/>
          <c:y val="0.88798150031326051"/>
          <c:w val="0.5009162753738351"/>
          <c:h val="0.11077408116778195"/>
        </c:manualLayout>
      </c:layout>
      <c:overlay val="0"/>
      <c:txPr>
        <a:bodyPr/>
        <a:lstStyle/>
        <a:p>
          <a:pPr>
            <a:defRPr sz="1000"/>
          </a:pPr>
          <a:endParaRPr lang="ru-RU"/>
        </a:p>
      </c:txPr>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AY5kdPZ+iEf48EUM2sPz3phsXQ==">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IuUCCgp0ZXh0L3BsYWluEtYC0IQg0Y/QutC10YHRjCDRgNC+0Lci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IuUCCgp0ZXh0L3BsYWluEtYC0IQg0Y/QutC10YHRjCDRgNC+0Lci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MghoLnBrd3FhMTIJaC4zOWtrOHh1MgloLjFvcHVqNW4yCWguNDhwaTF0ZzIJaC4ybnVzYzE5MgloLjEzMDJtOTIyCWguM216cTR3djIJaC4yMjUwZjRv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206</Pages>
  <Words>258680</Words>
  <Characters>147448</Characters>
  <Application>Microsoft Office Word</Application>
  <DocSecurity>0</DocSecurity>
  <Lines>1228</Lines>
  <Paragraphs>810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405318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Gala;Гончарук О.О. (ДЕР)</dc:creator>
  <cp:lastModifiedBy>Borys Pakholiuk</cp:lastModifiedBy>
  <cp:revision>4</cp:revision>
  <cp:lastPrinted>2025-03-26T09:19:00Z</cp:lastPrinted>
  <dcterms:created xsi:type="dcterms:W3CDTF">2025-03-25T20:21:00Z</dcterms:created>
  <dcterms:modified xsi:type="dcterms:W3CDTF">2025-03-26T09:52:00Z</dcterms:modified>
</cp:coreProperties>
</file>