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575832">
        <w:rPr>
          <w:szCs w:val="28"/>
          <w:lang w:val="uk-UA"/>
        </w:rPr>
        <w:t xml:space="preserve"> </w:t>
      </w:r>
      <w:r w:rsidR="004F73E5">
        <w:rPr>
          <w:szCs w:val="28"/>
          <w:lang w:val="uk-UA"/>
        </w:rPr>
        <w:t xml:space="preserve">              </w:t>
      </w:r>
      <w:r w:rsidR="009C3573">
        <w:rPr>
          <w:szCs w:val="28"/>
          <w:lang w:val="uk-UA"/>
        </w:rPr>
        <w:t xml:space="preserve">до </w:t>
      </w:r>
      <w:proofErr w:type="spellStart"/>
      <w:r w:rsidR="004F73E5">
        <w:rPr>
          <w:szCs w:val="28"/>
          <w:lang w:val="uk-UA"/>
        </w:rPr>
        <w:t>проєкту</w:t>
      </w:r>
      <w:proofErr w:type="spellEnd"/>
      <w:r w:rsidR="004F73E5">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82FFD"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82FFD"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D82FFD"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1C316F" w:rsidP="002413E1">
            <w:pPr>
              <w:suppressAutoHyphens w:val="0"/>
              <w:ind w:firstLine="2"/>
              <w:jc w:val="both"/>
              <w:rPr>
                <w:szCs w:val="28"/>
                <w:lang w:val="uk-UA" w:eastAsia="ru-RU"/>
              </w:rPr>
            </w:pPr>
            <w:r>
              <w:rPr>
                <w:szCs w:val="28"/>
                <w:lang w:val="uk-UA" w:eastAsia="ru-RU"/>
              </w:rPr>
              <w:t>4</w:t>
            </w:r>
            <w:r w:rsidR="000E5DD9">
              <w:rPr>
                <w:szCs w:val="28"/>
                <w:lang w:val="uk-UA" w:eastAsia="ru-RU"/>
              </w:rPr>
              <w:t> 86</w:t>
            </w:r>
            <w:r w:rsidR="00D82FFD">
              <w:rPr>
                <w:szCs w:val="28"/>
                <w:lang w:val="uk-UA" w:eastAsia="ru-RU"/>
              </w:rPr>
              <w:t>2</w:t>
            </w:r>
            <w:r w:rsidR="008E5E91">
              <w:rPr>
                <w:szCs w:val="28"/>
                <w:lang w:val="uk-UA" w:eastAsia="ru-RU"/>
              </w:rPr>
              <w:t> </w:t>
            </w:r>
            <w:r w:rsidR="00D82FFD">
              <w:rPr>
                <w:szCs w:val="28"/>
                <w:lang w:val="uk-UA" w:eastAsia="ru-RU"/>
              </w:rPr>
              <w:t>507</w:t>
            </w:r>
            <w:r w:rsidR="008E5E91">
              <w:rPr>
                <w:szCs w:val="28"/>
                <w:lang w:val="uk-UA" w:eastAsia="ru-RU"/>
              </w:rPr>
              <w:t>,</w:t>
            </w:r>
            <w:r w:rsidR="00D82FFD">
              <w:rPr>
                <w:szCs w:val="28"/>
                <w:lang w:val="uk-UA" w:eastAsia="ru-RU"/>
              </w:rPr>
              <w:t>3</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1C316F" w:rsidP="002413E1">
            <w:pPr>
              <w:suppressAutoHyphens w:val="0"/>
              <w:ind w:firstLine="2"/>
              <w:jc w:val="both"/>
              <w:rPr>
                <w:szCs w:val="28"/>
                <w:lang w:val="uk-UA" w:eastAsia="ru-RU"/>
              </w:rPr>
            </w:pPr>
            <w:r>
              <w:rPr>
                <w:szCs w:val="28"/>
                <w:lang w:val="uk-UA" w:eastAsia="ru-RU"/>
              </w:rPr>
              <w:t>1 23</w:t>
            </w:r>
            <w:r w:rsidR="00D82FFD">
              <w:rPr>
                <w:szCs w:val="28"/>
                <w:lang w:val="uk-UA" w:eastAsia="ru-RU"/>
              </w:rPr>
              <w:t>3</w:t>
            </w:r>
            <w:r w:rsidR="008E5E91">
              <w:rPr>
                <w:szCs w:val="28"/>
                <w:lang w:val="uk-UA" w:eastAsia="ru-RU"/>
              </w:rPr>
              <w:t> </w:t>
            </w:r>
            <w:r w:rsidR="00D82FFD">
              <w:rPr>
                <w:szCs w:val="28"/>
                <w:lang w:val="uk-UA" w:eastAsia="ru-RU"/>
              </w:rPr>
              <w:t>704</w:t>
            </w:r>
            <w:r w:rsidR="008E5E91">
              <w:rPr>
                <w:szCs w:val="28"/>
                <w:lang w:val="uk-UA" w:eastAsia="ru-RU"/>
              </w:rPr>
              <w:t>,</w:t>
            </w:r>
            <w:r w:rsidR="00D82FFD">
              <w:rPr>
                <w:szCs w:val="28"/>
                <w:lang w:val="uk-UA" w:eastAsia="ru-RU"/>
              </w:rPr>
              <w:t>5</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0E5DD9" w:rsidP="002413E1">
            <w:pPr>
              <w:suppressAutoHyphens w:val="0"/>
              <w:ind w:firstLine="2"/>
              <w:jc w:val="both"/>
              <w:rPr>
                <w:szCs w:val="28"/>
                <w:lang w:val="uk-UA" w:eastAsia="ru-RU"/>
              </w:rPr>
            </w:pPr>
            <w:r>
              <w:rPr>
                <w:szCs w:val="28"/>
                <w:lang w:val="uk-UA" w:eastAsia="ru-RU"/>
              </w:rPr>
              <w:t>3 628 802,8</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8E5E91" w:rsidP="002413E1">
            <w:pPr>
              <w:suppressAutoHyphens w:val="0"/>
              <w:ind w:right="-2" w:firstLine="2"/>
              <w:jc w:val="both"/>
              <w:rPr>
                <w:rFonts w:eastAsiaTheme="minorHAnsi"/>
                <w:color w:val="000000"/>
                <w:sz w:val="27"/>
                <w:szCs w:val="27"/>
                <w:lang w:val="uk-UA" w:eastAsia="en-US"/>
              </w:rPr>
            </w:pPr>
            <w:r>
              <w:rPr>
                <w:rFonts w:eastAsiaTheme="minorHAnsi"/>
                <w:color w:val="000000"/>
                <w:sz w:val="27"/>
                <w:szCs w:val="27"/>
                <w:lang w:val="uk-UA" w:eastAsia="en-US"/>
              </w:rPr>
              <w:t xml:space="preserve">запровадження </w:t>
            </w:r>
            <w:proofErr w:type="spellStart"/>
            <w:r w:rsidR="002413E1" w:rsidRPr="005F2965">
              <w:rPr>
                <w:rFonts w:eastAsiaTheme="minorHAnsi"/>
                <w:color w:val="000000"/>
                <w:sz w:val="27"/>
                <w:szCs w:val="27"/>
                <w:lang w:val="uk-UA" w:eastAsia="en-US"/>
              </w:rPr>
              <w:t>клієнтоорієнтованої</w:t>
            </w:r>
            <w:proofErr w:type="spellEnd"/>
            <w:r w:rsidR="002413E1"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D82FFD"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0" w:name="_MON_1773558252"/>
    <w:bookmarkEnd w:id="0"/>
    <w:p w:rsidR="00D644F7" w:rsidRDefault="00AD7120" w:rsidP="001C316F">
      <w:pPr>
        <w:widowControl w:val="0"/>
        <w:suppressAutoHyphens w:val="0"/>
        <w:spacing w:after="120"/>
        <w:ind w:left="-142" w:firstLine="142"/>
        <w:jc w:val="both"/>
        <w:rPr>
          <w:b/>
          <w:szCs w:val="28"/>
          <w:u w:val="single"/>
          <w:lang w:val="en-US" w:eastAsia="ru-RU"/>
        </w:rPr>
      </w:pPr>
      <w:r w:rsidRPr="00133165">
        <w:rPr>
          <w:b/>
          <w:szCs w:val="28"/>
          <w:lang w:val="en-US" w:eastAsia="ru-RU"/>
        </w:rPr>
        <w:object w:dxaOrig="10907" w:dyaOrig="5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82.25pt;height:276pt" o:ole="">
            <v:imagedata r:id="rId9" o:title=""/>
          </v:shape>
          <o:OLEObject Type="Embed" ProgID="Excel.Sheet.12" ShapeID="_x0000_i1028" DrawAspect="Content" ObjectID="_1817731959" r:id="rId10"/>
        </w:object>
      </w:r>
      <w:bookmarkStart w:id="1" w:name="_GoBack"/>
      <w:bookmarkEnd w:id="1"/>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 xml:space="preserve">Секретар міської ради                                                           </w:t>
      </w:r>
      <w:r w:rsidR="00046A66">
        <w:rPr>
          <w:szCs w:val="28"/>
          <w:lang w:val="uk-UA" w:eastAsia="ru-RU"/>
        </w:rPr>
        <w:t>Галина ШИМАНСЬКА</w:t>
      </w:r>
      <w:r>
        <w:rPr>
          <w:szCs w:val="28"/>
          <w:lang w:val="uk-UA" w:eastAsia="ru-RU"/>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1C316F">
      <w:headerReference w:type="even" r:id="rId11"/>
      <w:headerReference w:type="default" r:id="rId12"/>
      <w:footerReference w:type="even" r:id="rId13"/>
      <w:footerReference w:type="default" r:id="rId14"/>
      <w:headerReference w:type="first" r:id="rId15"/>
      <w:footerReference w:type="first" r:id="rId16"/>
      <w:pgSz w:w="11906" w:h="16838" w:code="9"/>
      <w:pgMar w:top="238" w:right="567" w:bottom="1134" w:left="1560"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AD7120">
          <w:rPr>
            <w:noProof/>
          </w:rPr>
          <w:t>13</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0C3A"/>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0E5DD9"/>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C316F"/>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E7A2C"/>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D7EA8"/>
    <w:rsid w:val="004E2FFE"/>
    <w:rsid w:val="004F73E5"/>
    <w:rsid w:val="00502D53"/>
    <w:rsid w:val="00505FA6"/>
    <w:rsid w:val="005141BE"/>
    <w:rsid w:val="00520B48"/>
    <w:rsid w:val="005239B7"/>
    <w:rsid w:val="0053472F"/>
    <w:rsid w:val="00536FDF"/>
    <w:rsid w:val="00542930"/>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74023"/>
    <w:rsid w:val="006A5367"/>
    <w:rsid w:val="006A6FE9"/>
    <w:rsid w:val="006B1176"/>
    <w:rsid w:val="006B72D4"/>
    <w:rsid w:val="006C2298"/>
    <w:rsid w:val="006C3F35"/>
    <w:rsid w:val="006D462E"/>
    <w:rsid w:val="006D70B6"/>
    <w:rsid w:val="006D70BA"/>
    <w:rsid w:val="006E1CB7"/>
    <w:rsid w:val="006E5355"/>
    <w:rsid w:val="006E5AFB"/>
    <w:rsid w:val="006E74C9"/>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8E5E91"/>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C3573"/>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D7120"/>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331A"/>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1685"/>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5E06"/>
    <w:rsid w:val="00CC6EB2"/>
    <w:rsid w:val="00CD407B"/>
    <w:rsid w:val="00CE1796"/>
    <w:rsid w:val="00CE4C71"/>
    <w:rsid w:val="00CF0D58"/>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66CB0"/>
    <w:rsid w:val="00D76CC2"/>
    <w:rsid w:val="00D82FFD"/>
    <w:rsid w:val="00D93665"/>
    <w:rsid w:val="00D97769"/>
    <w:rsid w:val="00DA1EBF"/>
    <w:rsid w:val="00DB17E4"/>
    <w:rsid w:val="00DB4FAC"/>
    <w:rsid w:val="00DB5CCA"/>
    <w:rsid w:val="00DC1588"/>
    <w:rsid w:val="00DD1BCD"/>
    <w:rsid w:val="00DD353C"/>
    <w:rsid w:val="00DE310D"/>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099"/>
    <w:rsid w:val="00EC73EA"/>
    <w:rsid w:val="00ED2F0C"/>
    <w:rsid w:val="00ED3069"/>
    <w:rsid w:val="00ED7E82"/>
    <w:rsid w:val="00EE302F"/>
    <w:rsid w:val="00EF5D24"/>
    <w:rsid w:val="00F06BE1"/>
    <w:rsid w:val="00F06F8F"/>
    <w:rsid w:val="00F21D3B"/>
    <w:rsid w:val="00F222FA"/>
    <w:rsid w:val="00F32097"/>
    <w:rsid w:val="00F36A30"/>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53CA10BD"/>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233E0D-13F5-4623-BAE5-767B21CF2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12</Pages>
  <Words>3646</Words>
  <Characters>20787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334</cp:revision>
  <cp:lastPrinted>2025-03-13T09:00:00Z</cp:lastPrinted>
  <dcterms:created xsi:type="dcterms:W3CDTF">2020-09-03T08:36:00Z</dcterms:created>
  <dcterms:modified xsi:type="dcterms:W3CDTF">2025-08-26T13:46:00Z</dcterms:modified>
</cp:coreProperties>
</file>