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8" w:rsidRPr="008A1D6C" w:rsidRDefault="00477648" w:rsidP="00477648">
      <w:pPr>
        <w:jc w:val="center"/>
        <w:rPr>
          <w:b/>
          <w:sz w:val="32"/>
          <w:szCs w:val="32"/>
          <w:lang w:val="uk-UA"/>
        </w:rPr>
      </w:pPr>
      <w:r w:rsidRPr="008A1D6C">
        <w:rPr>
          <w:b/>
          <w:sz w:val="32"/>
          <w:szCs w:val="32"/>
          <w:lang w:val="uk-UA"/>
        </w:rPr>
        <w:t xml:space="preserve">Ставки податків </w:t>
      </w:r>
      <w:r w:rsidRPr="008A1D6C">
        <w:rPr>
          <w:b/>
          <w:sz w:val="32"/>
          <w:szCs w:val="32"/>
          <w:u w:val="single"/>
          <w:lang w:val="uk-UA"/>
        </w:rPr>
        <w:t>по території села Вереси</w:t>
      </w:r>
      <w:r w:rsidRPr="008A1D6C">
        <w:rPr>
          <w:b/>
          <w:sz w:val="32"/>
          <w:szCs w:val="32"/>
          <w:lang w:val="uk-UA"/>
        </w:rPr>
        <w:t xml:space="preserve"> у 202</w:t>
      </w:r>
      <w:r w:rsidR="009A7FC3">
        <w:rPr>
          <w:b/>
          <w:sz w:val="32"/>
          <w:szCs w:val="32"/>
          <w:lang w:val="uk-UA"/>
        </w:rPr>
        <w:t>5</w:t>
      </w:r>
      <w:r w:rsidRPr="008A1D6C">
        <w:rPr>
          <w:b/>
          <w:sz w:val="32"/>
          <w:szCs w:val="32"/>
          <w:lang w:val="uk-UA"/>
        </w:rPr>
        <w:t xml:space="preserve"> році</w:t>
      </w:r>
    </w:p>
    <w:p w:rsidR="00477648" w:rsidRPr="005377ED" w:rsidRDefault="00477648" w:rsidP="00477648">
      <w:pPr>
        <w:rPr>
          <w:b/>
          <w:lang w:val="uk-UA"/>
        </w:rPr>
      </w:pP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  <w:r w:rsidRPr="00C71730">
        <w:rPr>
          <w:b/>
          <w:sz w:val="28"/>
          <w:szCs w:val="28"/>
          <w:lang w:val="uk-UA"/>
        </w:rPr>
        <w:t>Земельний податок</w:t>
      </w: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</w:p>
    <w:p w:rsidR="00477648" w:rsidRDefault="00477648" w:rsidP="00477648">
      <w:pPr>
        <w:ind w:firstLine="708"/>
        <w:jc w:val="both"/>
        <w:rPr>
          <w:b/>
          <w:sz w:val="28"/>
          <w:szCs w:val="28"/>
          <w:lang w:val="uk-UA"/>
        </w:rPr>
      </w:pPr>
      <w:r w:rsidRPr="008A164C">
        <w:rPr>
          <w:sz w:val="28"/>
          <w:szCs w:val="28"/>
          <w:lang w:val="uk-UA"/>
        </w:rPr>
        <w:t>За інформацією Державної служби України з питань геодезії, картографії та кадастру з</w:t>
      </w:r>
      <w:r w:rsidRPr="008A164C">
        <w:rPr>
          <w:color w:val="000000"/>
          <w:sz w:val="28"/>
          <w:szCs w:val="28"/>
          <w:shd w:val="clear" w:color="auto" w:fill="FFFFFF"/>
          <w:lang w:val="uk-UA"/>
        </w:rPr>
        <w:t>начення коефіцієнта індексації нормативно</w:t>
      </w:r>
      <w:r w:rsidR="008A164C" w:rsidRPr="008A164C">
        <w:rPr>
          <w:color w:val="000000"/>
          <w:sz w:val="28"/>
          <w:szCs w:val="28"/>
          <w:shd w:val="clear" w:color="auto" w:fill="FFFFFF"/>
          <w:lang w:val="uk-UA"/>
        </w:rPr>
        <w:t>ї грошової оцінки земель за 2024</w:t>
      </w:r>
      <w:r w:rsidRPr="008A164C">
        <w:rPr>
          <w:color w:val="000000"/>
          <w:sz w:val="28"/>
          <w:szCs w:val="28"/>
          <w:shd w:val="clear" w:color="auto" w:fill="FFFFFF"/>
          <w:lang w:val="uk-UA"/>
        </w:rPr>
        <w:t xml:space="preserve"> рік становить </w:t>
      </w:r>
      <w:r w:rsidRPr="008A164C">
        <w:rPr>
          <w:b/>
          <w:color w:val="000000"/>
          <w:sz w:val="28"/>
          <w:szCs w:val="28"/>
          <w:shd w:val="clear" w:color="auto" w:fill="FFFFFF"/>
          <w:lang w:val="uk-UA"/>
        </w:rPr>
        <w:t>1,</w:t>
      </w:r>
      <w:r w:rsidR="008A164C" w:rsidRPr="008A164C">
        <w:rPr>
          <w:b/>
          <w:color w:val="000000"/>
          <w:sz w:val="28"/>
          <w:szCs w:val="28"/>
          <w:shd w:val="clear" w:color="auto" w:fill="FFFFFF"/>
          <w:lang w:val="uk-UA"/>
        </w:rPr>
        <w:t>12</w:t>
      </w:r>
      <w:r w:rsidRPr="008A164C">
        <w:rPr>
          <w:b/>
          <w:sz w:val="28"/>
          <w:szCs w:val="28"/>
          <w:lang w:val="uk-UA"/>
        </w:rPr>
        <w:t>.</w:t>
      </w:r>
      <w:r w:rsidRPr="008F3471">
        <w:rPr>
          <w:b/>
          <w:sz w:val="28"/>
          <w:szCs w:val="28"/>
          <w:lang w:val="uk-UA"/>
        </w:rPr>
        <w:t xml:space="preserve"> </w:t>
      </w:r>
    </w:p>
    <w:p w:rsidR="00477648" w:rsidRPr="008F3471" w:rsidRDefault="00477648" w:rsidP="00477648">
      <w:pPr>
        <w:ind w:firstLine="708"/>
        <w:jc w:val="both"/>
        <w:rPr>
          <w:b/>
          <w:sz w:val="28"/>
          <w:szCs w:val="28"/>
          <w:lang w:val="uk-UA"/>
        </w:rPr>
      </w:pPr>
    </w:p>
    <w:p w:rsidR="00477648" w:rsidRPr="005377ED" w:rsidRDefault="00477648" w:rsidP="00477648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проведено</w:t>
      </w:r>
      <w:r w:rsidRPr="005377ED">
        <w:rPr>
          <w:lang w:val="uk-UA"/>
        </w:rPr>
        <w:t>, для: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особистого селянського господарства для юридичних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0,5 відсотка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відсотка та фізичних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0,3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будівництва та обслуговування житлового будинку, господарських будівель і споруд (присадибні ділянки), дачне будівництво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відсоток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0,03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 будівництва індивідуальних гаражів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1,0 відсоток;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t>;</w:t>
      </w:r>
    </w:p>
    <w:p w:rsidR="00477648" w:rsidRPr="005377ED" w:rsidRDefault="00477648" w:rsidP="00477648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:rsidR="00477648" w:rsidRPr="005377ED" w:rsidRDefault="00477648" w:rsidP="00477648">
      <w:pPr>
        <w:jc w:val="both"/>
        <w:rPr>
          <w:lang w:val="uk-UA"/>
        </w:rPr>
      </w:pPr>
    </w:p>
    <w:p w:rsidR="00477648" w:rsidRPr="005377ED" w:rsidRDefault="00477648" w:rsidP="00477648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не проведено</w:t>
      </w:r>
      <w:r w:rsidRPr="005377ED">
        <w:rPr>
          <w:lang w:val="uk-UA"/>
        </w:rPr>
        <w:t xml:space="preserve"> </w:t>
      </w:r>
      <w:r w:rsidRPr="00F52FDC">
        <w:rPr>
          <w:szCs w:val="28"/>
          <w:lang w:val="uk-UA"/>
        </w:rPr>
        <w:t xml:space="preserve">(від нормативної грошової оцінки одиниці площі ріллі по Житомирській області) </w:t>
      </w:r>
      <w:r w:rsidRPr="005377ED">
        <w:rPr>
          <w:lang w:val="uk-UA"/>
        </w:rPr>
        <w:t>для: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 xml:space="preserve">ведення особистого селянського господарства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індивідуального садівництва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городництва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відсотка;</w:t>
      </w:r>
    </w:p>
    <w:p w:rsidR="00477648" w:rsidRPr="005377ED" w:rsidRDefault="00477648" w:rsidP="00477648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:rsidR="00477648" w:rsidRPr="005377ED" w:rsidRDefault="00477648" w:rsidP="00477648">
      <w:pPr>
        <w:jc w:val="both"/>
        <w:rPr>
          <w:rFonts w:eastAsia="Times New Roman"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  <w:r w:rsidRPr="005377ED">
        <w:rPr>
          <w:b/>
          <w:lang w:val="uk-UA"/>
        </w:rPr>
        <w:tab/>
      </w:r>
    </w:p>
    <w:p w:rsidR="00477648" w:rsidRPr="00C148CA" w:rsidRDefault="00477648" w:rsidP="00477648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Єдиний податок</w:t>
      </w:r>
    </w:p>
    <w:p w:rsidR="00477648" w:rsidRPr="005377ED" w:rsidRDefault="00477648" w:rsidP="00477648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3300"/>
        <w:gridCol w:w="3259"/>
        <w:gridCol w:w="3619"/>
      </w:tblGrid>
      <w:tr w:rsidR="00477648" w:rsidRPr="005377ED" w:rsidTr="000674BC">
        <w:tc>
          <w:tcPr>
            <w:tcW w:w="3300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прож. мін.  </w:t>
            </w:r>
            <w:r>
              <w:rPr>
                <w:lang w:val="uk-UA"/>
              </w:rPr>
              <w:t>–</w:t>
            </w:r>
            <w:r w:rsidRPr="00537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302,8</w:t>
            </w:r>
            <w:r w:rsidRPr="005377ED">
              <w:rPr>
                <w:lang w:val="uk-UA"/>
              </w:rPr>
              <w:t xml:space="preserve"> 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477648" w:rsidRPr="005377ED" w:rsidTr="000674BC">
        <w:tc>
          <w:tcPr>
            <w:tcW w:w="3300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- 1 </w:t>
            </w:r>
            <w:r w:rsidR="009554EF">
              <w:rPr>
                <w:lang w:val="uk-UA"/>
              </w:rPr>
              <w:t>600</w:t>
            </w:r>
            <w:r w:rsidRPr="005377ED">
              <w:rPr>
                <w:lang w:val="uk-UA"/>
              </w:rPr>
              <w:t>,00 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477648" w:rsidRPr="005377ED" w:rsidTr="000674BC">
        <w:tc>
          <w:tcPr>
            <w:tcW w:w="3300" w:type="dxa"/>
            <w:vMerge w:val="restart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3% доходу</w:t>
            </w:r>
          </w:p>
        </w:tc>
      </w:tr>
      <w:tr w:rsidR="00477648" w:rsidRPr="005377ED" w:rsidTr="000674BC">
        <w:tc>
          <w:tcPr>
            <w:tcW w:w="3300" w:type="dxa"/>
            <w:vMerge/>
          </w:tcPr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5% доходу</w:t>
            </w:r>
          </w:p>
        </w:tc>
      </w:tr>
      <w:tr w:rsidR="00477648" w:rsidRPr="00275467" w:rsidTr="000674BC">
        <w:tblPrEx>
          <w:tblLook w:val="0000"/>
        </w:tblPrEx>
        <w:trPr>
          <w:trHeight w:val="585"/>
        </w:trPr>
        <w:tc>
          <w:tcPr>
            <w:tcW w:w="3300" w:type="dxa"/>
            <w:tcBorders>
              <w:bottom w:val="single" w:sz="4" w:space="0" w:color="auto"/>
            </w:tcBorders>
          </w:tcPr>
          <w:p w:rsidR="00477648" w:rsidRPr="005377ED" w:rsidRDefault="00477648" w:rsidP="000674BC">
            <w:pPr>
              <w:ind w:firstLine="708"/>
              <w:jc w:val="center"/>
              <w:rPr>
                <w:lang w:val="uk-UA"/>
              </w:rPr>
            </w:pPr>
          </w:p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  <w:r w:rsidRPr="005377ED">
              <w:rPr>
                <w:lang w:val="uk-UA"/>
              </w:rPr>
              <w:t>ІV група</w:t>
            </w:r>
          </w:p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8" w:type="dxa"/>
            <w:gridSpan w:val="2"/>
            <w:tcBorders>
              <w:bottom w:val="single" w:sz="4" w:space="0" w:color="auto"/>
            </w:tcBorders>
            <w:vAlign w:val="center"/>
          </w:tcPr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  <w:r w:rsidRPr="005377ED">
              <w:rPr>
                <w:shd w:val="clear" w:color="auto" w:fill="FFFFFF"/>
                <w:lang w:val="uk-UA"/>
              </w:rPr>
              <w:t>Для платників єдиного податку четвертої групи розмір ставок податку з одного гектара сільськогосподарських угідь та/або земель водного фонду залежить від категорії (типу) земель, їх розташування та визначається Податковим кодексом України.</w:t>
            </w:r>
          </w:p>
        </w:tc>
      </w:tr>
    </w:tbl>
    <w:p w:rsidR="00477648" w:rsidRDefault="0047764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</w:p>
    <w:p w:rsidR="003C7B28" w:rsidRDefault="003C7B2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  <w:r w:rsidRPr="008A1D6C">
        <w:rPr>
          <w:b/>
          <w:sz w:val="28"/>
          <w:szCs w:val="28"/>
          <w:lang w:val="uk-UA"/>
        </w:rPr>
        <w:lastRenderedPageBreak/>
        <w:t>Податок на нерухоме майно, відмінне від земельної ділянки</w:t>
      </w:r>
    </w:p>
    <w:p w:rsidR="00477648" w:rsidRPr="008A1D6C" w:rsidRDefault="00477648" w:rsidP="00477648">
      <w:pPr>
        <w:jc w:val="center"/>
        <w:rPr>
          <w:b/>
          <w:sz w:val="28"/>
          <w:szCs w:val="28"/>
          <w:lang w:val="uk-UA"/>
        </w:rPr>
      </w:pPr>
    </w:p>
    <w:tbl>
      <w:tblPr>
        <w:tblW w:w="1000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01"/>
      </w:tblGrid>
      <w:tr w:rsidR="00477648" w:rsidRPr="005377ED" w:rsidTr="000674BC">
        <w:trPr>
          <w:trHeight w:val="186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477648" w:rsidRPr="005377ED" w:rsidTr="000674BC">
        <w:trPr>
          <w:trHeight w:val="1343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сплата  за  2023  рік  </w:t>
            </w:r>
            <w:r w:rsidRPr="005377ED">
              <w:rPr>
                <w:i/>
                <w:lang w:val="uk-UA"/>
              </w:rPr>
              <w:t>у відсотках до мін. з/п 6 700 грн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нерухомість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0,25% (16,75 грн)  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0,5% (33,50 грн) 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сплата  за  202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4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 рік 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7 100</w:t>
            </w:r>
            <w:r w:rsidRPr="005377ED">
              <w:rPr>
                <w:i/>
                <w:lang w:val="uk-UA"/>
              </w:rPr>
              <w:t xml:space="preserve"> грн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нерухомість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0,25% (1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7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,75 грн)  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67920">
              <w:rPr>
                <w:rFonts w:eastAsia="Times New Roman"/>
                <w:color w:val="000000"/>
                <w:kern w:val="24"/>
              </w:rPr>
              <w:t>3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5,</w:t>
            </w:r>
            <w:r w:rsidRPr="00567920">
              <w:rPr>
                <w:rFonts w:eastAsia="Times New Roman"/>
                <w:color w:val="000000"/>
                <w:kern w:val="24"/>
              </w:rPr>
              <w:t>50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</w:tc>
      </w:tr>
      <w:tr w:rsidR="00477648" w:rsidRPr="005377ED" w:rsidTr="000674BC">
        <w:trPr>
          <w:trHeight w:val="255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i/>
                <w:lang w:val="uk-UA"/>
              </w:rPr>
              <w:t>за</w:t>
            </w:r>
            <w:r w:rsidRPr="005377ED">
              <w:rPr>
                <w:i/>
                <w:lang w:val="uk-UA"/>
              </w:rPr>
              <w:t xml:space="preserve"> 202</w:t>
            </w:r>
            <w:r w:rsidR="00B31EED" w:rsidRPr="00B31EED">
              <w:rPr>
                <w:i/>
              </w:rPr>
              <w:t>5</w:t>
            </w:r>
            <w:r>
              <w:rPr>
                <w:i/>
                <w:lang w:val="uk-UA"/>
              </w:rPr>
              <w:t xml:space="preserve">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 w:rsidR="00B31EED" w:rsidRPr="00B31EED">
              <w:rPr>
                <w:i/>
              </w:rPr>
              <w:t>8 0</w:t>
            </w:r>
            <w:r>
              <w:rPr>
                <w:i/>
                <w:lang w:val="uk-UA"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 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– 0,5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%  (</w:t>
            </w:r>
            <w:r w:rsidR="00B31EED" w:rsidRPr="00B31EED">
              <w:rPr>
                <w:rFonts w:eastAsia="Times New Roman"/>
                <w:color w:val="000000"/>
                <w:kern w:val="24"/>
              </w:rPr>
              <w:t>40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="00B31EED" w:rsidRPr="00B31EED">
              <w:rPr>
                <w:rFonts w:eastAsia="Times New Roman"/>
                <w:color w:val="000000"/>
                <w:kern w:val="24"/>
              </w:rPr>
              <w:t>0</w:t>
            </w:r>
            <w:r w:rsidRPr="00567920">
              <w:rPr>
                <w:rFonts w:eastAsia="Times New Roman"/>
                <w:color w:val="000000"/>
                <w:kern w:val="24"/>
              </w:rPr>
              <w:t>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</w:tc>
      </w:tr>
      <w:tr w:rsidR="00477648" w:rsidRPr="005377ED" w:rsidTr="000674BC">
        <w:tblPrEx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10001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квартири понад 300 кв. м та будинки понад 500 кв. м з 01.01.2016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:rsidR="00477648" w:rsidRDefault="00477648" w:rsidP="00477648">
      <w:pPr>
        <w:jc w:val="center"/>
        <w:rPr>
          <w:b/>
          <w:lang w:val="uk-UA"/>
        </w:rPr>
      </w:pPr>
    </w:p>
    <w:p w:rsidR="00477648" w:rsidRPr="00C148CA" w:rsidRDefault="00477648" w:rsidP="00477648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Транспортний податок</w:t>
      </w:r>
    </w:p>
    <w:tbl>
      <w:tblPr>
        <w:tblW w:w="100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65"/>
      </w:tblGrid>
      <w:tr w:rsidR="00477648" w:rsidRPr="005377ED" w:rsidTr="000674BC">
        <w:trPr>
          <w:trHeight w:val="184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 xml:space="preserve">Встановлено з розрахунку на календарний рік </w:t>
            </w:r>
          </w:p>
        </w:tc>
      </w:tr>
      <w:tr w:rsidR="00477648" w:rsidRPr="005377ED" w:rsidTr="000674BC">
        <w:trPr>
          <w:trHeight w:val="1178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477648" w:rsidRPr="00C148CA" w:rsidRDefault="00477648" w:rsidP="00C47368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k-UA"/>
        </w:rPr>
      </w:pPr>
      <w:r w:rsidRPr="00C148CA">
        <w:rPr>
          <w:rFonts w:eastAsia="Times New Roman"/>
          <w:b/>
          <w:bCs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</w:tblGrid>
      <w:tr w:rsidR="00477648" w:rsidRPr="005377ED" w:rsidTr="000674BC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7648" w:rsidRPr="005377ED" w:rsidRDefault="00477648" w:rsidP="000674BC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Встановлено за кожну добу тимчасового розміщення однієї особи у місцях проживання (ночівлі)</w:t>
            </w:r>
          </w:p>
        </w:tc>
      </w:tr>
      <w:tr w:rsidR="00477648" w:rsidRPr="005377ED" w:rsidTr="000674BC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7648" w:rsidRPr="005377ED" w:rsidRDefault="00477648" w:rsidP="000674BC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 від розміру мінімальної заробітної плати, встановленої законом на 1 січня звітного (податкового) року </w:t>
            </w:r>
          </w:p>
          <w:p w:rsidR="00C47368" w:rsidRPr="005377ED" w:rsidRDefault="00C47368" w:rsidP="00C47368">
            <w:pPr>
              <w:spacing w:after="100" w:afterAutospacing="1"/>
              <w:rPr>
                <w:lang w:val="uk-UA"/>
              </w:rPr>
            </w:pPr>
            <w:r w:rsidRPr="005377ED">
              <w:rPr>
                <w:lang w:val="uk-UA"/>
              </w:rPr>
              <w:t>для внутрішнього туризму - 0,25 відсотка</w:t>
            </w:r>
            <w:r w:rsidR="009554EF">
              <w:rPr>
                <w:lang w:val="uk-UA"/>
              </w:rPr>
              <w:t xml:space="preserve"> (20,00</w:t>
            </w:r>
            <w:r>
              <w:rPr>
                <w:lang w:val="uk-UA"/>
              </w:rPr>
              <w:t xml:space="preserve"> грн)</w:t>
            </w:r>
          </w:p>
          <w:p w:rsidR="00477648" w:rsidRPr="005377ED" w:rsidRDefault="00C47368" w:rsidP="00C47368">
            <w:pPr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для в'їзного туризму - 2,5 відсотка</w:t>
            </w:r>
            <w:r w:rsidR="009554EF">
              <w:rPr>
                <w:lang w:val="uk-UA"/>
              </w:rPr>
              <w:t xml:space="preserve"> (200,0</w:t>
            </w:r>
            <w:r>
              <w:rPr>
                <w:lang w:val="uk-UA"/>
              </w:rPr>
              <w:t>0 грн)</w:t>
            </w:r>
          </w:p>
        </w:tc>
      </w:tr>
    </w:tbl>
    <w:p w:rsidR="00561839" w:rsidRPr="00561839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C47368" w:rsidRDefault="00C47368" w:rsidP="00C47368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r w:rsidRPr="0071588E">
        <w:rPr>
          <w:b/>
          <w:sz w:val="28"/>
          <w:szCs w:val="28"/>
        </w:rPr>
        <w:t xml:space="preserve">громади </w:t>
      </w:r>
    </w:p>
    <w:p w:rsidR="00C47368" w:rsidRPr="007D0F94" w:rsidRDefault="00C47368" w:rsidP="00C47368">
      <w:pPr>
        <w:ind w:firstLine="709"/>
        <w:jc w:val="center"/>
        <w:rPr>
          <w:b/>
          <w:sz w:val="28"/>
          <w:szCs w:val="28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71"/>
        <w:gridCol w:w="3466"/>
        <w:gridCol w:w="1996"/>
        <w:gridCol w:w="2704"/>
      </w:tblGrid>
      <w:tr w:rsidR="00275467" w:rsidTr="005409E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некомерційної діяльності, у тому числі для проживання фізичних осіб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виробничої діяльності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іншої комерційної діяльності</w:t>
            </w:r>
          </w:p>
        </w:tc>
      </w:tr>
      <w:tr w:rsidR="00275467" w:rsidTr="005409E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41,38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62,07</w:t>
            </w:r>
          </w:p>
        </w:tc>
      </w:tr>
      <w:tr w:rsidR="00275467" w:rsidTr="005409E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11.04.2024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41,59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62,38</w:t>
            </w:r>
          </w:p>
        </w:tc>
      </w:tr>
      <w:tr w:rsidR="00275467" w:rsidTr="005409E8">
        <w:trPr>
          <w:trHeight w:val="19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23.05.2024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42,08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63,13</w:t>
            </w:r>
          </w:p>
        </w:tc>
      </w:tr>
      <w:tr w:rsidR="00275467" w:rsidTr="005409E8">
        <w:trPr>
          <w:trHeight w:val="28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.0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21,</w:t>
            </w:r>
            <w:r>
              <w:rPr>
                <w:lang w:val="en-US"/>
              </w:rPr>
              <w:t>68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04</w:t>
            </w:r>
          </w:p>
        </w:tc>
      </w:tr>
      <w:tr w:rsidR="00275467" w:rsidTr="005409E8">
        <w:trPr>
          <w:trHeight w:val="22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01.11.2024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275467" w:rsidTr="005409E8">
        <w:trPr>
          <w:trHeight w:val="25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275467" w:rsidTr="005409E8">
        <w:trPr>
          <w:trHeight w:val="32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з 25.02.2025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23,29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46,57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Pr="00835E56" w:rsidRDefault="00275467" w:rsidP="005409E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69,86</w:t>
            </w:r>
          </w:p>
        </w:tc>
      </w:tr>
      <w:tr w:rsidR="00275467" w:rsidTr="005409E8">
        <w:trPr>
          <w:trHeight w:val="31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з 2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.0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Pr="008C5231" w:rsidRDefault="00275467" w:rsidP="005409E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72,33</w:t>
            </w:r>
          </w:p>
        </w:tc>
      </w:tr>
      <w:tr w:rsidR="00275467" w:rsidTr="005409E8">
        <w:trPr>
          <w:trHeight w:val="2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Default="00275467" w:rsidP="005409E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з 11.09.2025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Pr="00994DC6" w:rsidRDefault="00275467" w:rsidP="005409E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24,</w:t>
            </w:r>
            <w:r>
              <w:rPr>
                <w:lang w:val="en-US"/>
              </w:rPr>
              <w:t>79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Pr="00994DC6" w:rsidRDefault="00275467" w:rsidP="005409E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9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58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7" w:rsidRPr="00994DC6" w:rsidRDefault="00275467" w:rsidP="005409E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</w:t>
            </w:r>
            <w:r>
              <w:rPr>
                <w:lang w:val="en-US"/>
              </w:rPr>
              <w:t>4</w:t>
            </w:r>
            <w:r>
              <w:rPr>
                <w:lang w:val="uk-UA"/>
              </w:rPr>
              <w:t>,3</w:t>
            </w:r>
            <w:r>
              <w:rPr>
                <w:lang w:val="en-US"/>
              </w:rPr>
              <w:t>7</w:t>
            </w:r>
          </w:p>
        </w:tc>
      </w:tr>
    </w:tbl>
    <w:p w:rsidR="0042408D" w:rsidRPr="007D0F94" w:rsidRDefault="0042408D"/>
    <w:sectPr w:rsidR="0042408D" w:rsidRPr="007D0F94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648"/>
    <w:rsid w:val="000A696F"/>
    <w:rsid w:val="001F338E"/>
    <w:rsid w:val="002662C8"/>
    <w:rsid w:val="00275467"/>
    <w:rsid w:val="00290215"/>
    <w:rsid w:val="003C7B28"/>
    <w:rsid w:val="003F4987"/>
    <w:rsid w:val="0042408D"/>
    <w:rsid w:val="00477648"/>
    <w:rsid w:val="004C6010"/>
    <w:rsid w:val="00515D4A"/>
    <w:rsid w:val="00561839"/>
    <w:rsid w:val="005E5C9A"/>
    <w:rsid w:val="007D0F94"/>
    <w:rsid w:val="008A164C"/>
    <w:rsid w:val="0090306F"/>
    <w:rsid w:val="009554EF"/>
    <w:rsid w:val="009A7FC3"/>
    <w:rsid w:val="00B31EED"/>
    <w:rsid w:val="00BA1B9D"/>
    <w:rsid w:val="00BF7ACB"/>
    <w:rsid w:val="00C47368"/>
    <w:rsid w:val="00E330A6"/>
    <w:rsid w:val="00FD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6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uzg.zt.rada@gmail.com</dc:creator>
  <cp:keywords/>
  <dc:description/>
  <cp:lastModifiedBy>Пользователь Windows</cp:lastModifiedBy>
  <cp:revision>19</cp:revision>
  <cp:lastPrinted>2025-01-20T09:32:00Z</cp:lastPrinted>
  <dcterms:created xsi:type="dcterms:W3CDTF">2024-05-31T06:37:00Z</dcterms:created>
  <dcterms:modified xsi:type="dcterms:W3CDTF">2025-09-15T07:43:00Z</dcterms:modified>
</cp:coreProperties>
</file>