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59" w:rsidRPr="001A7B38" w:rsidRDefault="00697C59" w:rsidP="00697C59">
      <w:pPr>
        <w:jc w:val="center"/>
        <w:rPr>
          <w:b/>
          <w:sz w:val="32"/>
          <w:szCs w:val="32"/>
          <w:lang w:val="uk-UA"/>
        </w:rPr>
      </w:pPr>
      <w:r w:rsidRPr="001A7B38">
        <w:rPr>
          <w:b/>
          <w:sz w:val="32"/>
          <w:szCs w:val="32"/>
          <w:lang w:val="uk-UA"/>
        </w:rPr>
        <w:t xml:space="preserve">Ставки податків </w:t>
      </w:r>
      <w:r w:rsidR="009F0E8D">
        <w:rPr>
          <w:b/>
          <w:sz w:val="32"/>
          <w:szCs w:val="32"/>
          <w:u w:val="single"/>
          <w:lang w:val="uk-UA"/>
        </w:rPr>
        <w:t xml:space="preserve">по </w:t>
      </w:r>
      <w:r w:rsidR="00FA1EFE" w:rsidRPr="001A7B38">
        <w:rPr>
          <w:b/>
          <w:sz w:val="32"/>
          <w:szCs w:val="32"/>
          <w:u w:val="single"/>
          <w:lang w:val="uk-UA"/>
        </w:rPr>
        <w:t>території міста Житомира</w:t>
      </w:r>
      <w:r w:rsidR="00FA1EFE" w:rsidRPr="001A7B38">
        <w:rPr>
          <w:b/>
          <w:sz w:val="32"/>
          <w:szCs w:val="32"/>
          <w:lang w:val="uk-UA"/>
        </w:rPr>
        <w:t xml:space="preserve"> </w:t>
      </w:r>
      <w:r w:rsidR="00CD6D9B" w:rsidRPr="001A7B38">
        <w:rPr>
          <w:b/>
          <w:sz w:val="32"/>
          <w:szCs w:val="32"/>
          <w:lang w:val="uk-UA"/>
        </w:rPr>
        <w:t>у 202</w:t>
      </w:r>
      <w:r w:rsidR="00B2558B" w:rsidRPr="00B2558B">
        <w:rPr>
          <w:b/>
          <w:sz w:val="32"/>
          <w:szCs w:val="32"/>
        </w:rPr>
        <w:t>6</w:t>
      </w:r>
      <w:r w:rsidR="008C3205" w:rsidRPr="001A7B38">
        <w:rPr>
          <w:b/>
          <w:sz w:val="32"/>
          <w:szCs w:val="32"/>
          <w:lang w:val="uk-UA"/>
        </w:rPr>
        <w:t xml:space="preserve"> році</w:t>
      </w:r>
      <w:r w:rsidR="00FA1EFE" w:rsidRPr="001A7B38">
        <w:rPr>
          <w:b/>
          <w:sz w:val="32"/>
          <w:szCs w:val="32"/>
          <w:lang w:val="uk-UA"/>
        </w:rPr>
        <w:t xml:space="preserve"> </w:t>
      </w:r>
    </w:p>
    <w:p w:rsidR="00697C59" w:rsidRPr="005377ED" w:rsidRDefault="00697C59" w:rsidP="00697C59">
      <w:pPr>
        <w:jc w:val="center"/>
        <w:rPr>
          <w:b/>
          <w:lang w:val="uk-UA"/>
        </w:rPr>
      </w:pPr>
    </w:p>
    <w:p w:rsidR="008C3205" w:rsidRPr="003E3F4D" w:rsidRDefault="00697C59" w:rsidP="00697C59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Земельний податок</w:t>
      </w:r>
    </w:p>
    <w:p w:rsidR="00143F47" w:rsidRPr="005377ED" w:rsidRDefault="00143F47" w:rsidP="00697C59">
      <w:pPr>
        <w:jc w:val="center"/>
        <w:rPr>
          <w:b/>
          <w:lang w:val="uk-UA"/>
        </w:rPr>
      </w:pPr>
    </w:p>
    <w:p w:rsidR="000932D1" w:rsidRPr="000932D1" w:rsidRDefault="00143F47" w:rsidP="00143F47">
      <w:pPr>
        <w:jc w:val="both"/>
        <w:rPr>
          <w:b/>
          <w:sz w:val="28"/>
          <w:szCs w:val="28"/>
          <w:lang w:val="uk-UA"/>
        </w:rPr>
      </w:pPr>
      <w:r w:rsidRPr="005377ED">
        <w:rPr>
          <w:lang w:val="uk-UA"/>
        </w:rPr>
        <w:tab/>
      </w:r>
      <w:r w:rsidRPr="00E72A1E">
        <w:rPr>
          <w:sz w:val="28"/>
          <w:szCs w:val="28"/>
          <w:lang w:val="uk-UA"/>
        </w:rPr>
        <w:t xml:space="preserve">За інформацією Державної служби України з питань геодезії, картографії та кадастру </w:t>
      </w:r>
      <w:r w:rsidR="005631C2" w:rsidRPr="00E72A1E">
        <w:rPr>
          <w:sz w:val="28"/>
          <w:szCs w:val="28"/>
          <w:lang w:val="uk-UA"/>
        </w:rPr>
        <w:t>з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E72A1E" w:rsidRPr="00E72A1E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D51B7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="008635DD" w:rsidRPr="00E72A1E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D51B7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E72A1E">
        <w:rPr>
          <w:b/>
          <w:sz w:val="28"/>
          <w:szCs w:val="28"/>
          <w:lang w:val="uk-UA"/>
        </w:rPr>
        <w:t>.</w:t>
      </w:r>
      <w:r w:rsidR="00A52B8E" w:rsidRPr="008F3471">
        <w:rPr>
          <w:b/>
          <w:sz w:val="28"/>
          <w:szCs w:val="28"/>
          <w:lang w:val="uk-UA"/>
        </w:rPr>
        <w:t xml:space="preserve"> </w:t>
      </w:r>
    </w:p>
    <w:p w:rsidR="00143F47" w:rsidRDefault="00F21A82" w:rsidP="00F21A82">
      <w:pPr>
        <w:ind w:firstLine="708"/>
        <w:jc w:val="both"/>
        <w:rPr>
          <w:color w:val="000000"/>
          <w:spacing w:val="-6"/>
          <w:sz w:val="28"/>
          <w:szCs w:val="28"/>
          <w:shd w:val="clear" w:color="auto" w:fill="FFFFFF"/>
          <w:lang w:val="uk-UA"/>
        </w:rPr>
      </w:pPr>
      <w:r w:rsidRPr="008F3471">
        <w:rPr>
          <w:sz w:val="28"/>
          <w:szCs w:val="28"/>
          <w:lang w:val="uk-UA"/>
        </w:rPr>
        <w:t>З 01.01.2024 введено в дію</w:t>
      </w:r>
      <w:r w:rsidR="00A52B8E" w:rsidRPr="008F3471">
        <w:rPr>
          <w:sz w:val="28"/>
          <w:szCs w:val="28"/>
          <w:lang w:val="uk-UA"/>
        </w:rPr>
        <w:t xml:space="preserve"> нов</w:t>
      </w:r>
      <w:r w:rsidRPr="008F3471">
        <w:rPr>
          <w:sz w:val="28"/>
          <w:szCs w:val="28"/>
          <w:lang w:val="uk-UA"/>
        </w:rPr>
        <w:t>у</w:t>
      </w:r>
      <w:r w:rsidR="00A52B8E" w:rsidRPr="008F3471">
        <w:rPr>
          <w:sz w:val="28"/>
          <w:szCs w:val="28"/>
          <w:lang w:val="uk-UA"/>
        </w:rPr>
        <w:t xml:space="preserve"> </w:t>
      </w:r>
      <w:r w:rsidRPr="008F3471">
        <w:rPr>
          <w:sz w:val="28"/>
          <w:szCs w:val="28"/>
          <w:lang w:val="uk-UA"/>
        </w:rPr>
        <w:t>нормативно грошову оцінку земель міста Житомира.</w:t>
      </w:r>
      <w:r w:rsidR="008F3471" w:rsidRPr="008F3471">
        <w:rPr>
          <w:sz w:val="28"/>
          <w:szCs w:val="28"/>
          <w:lang w:val="uk-UA"/>
        </w:rPr>
        <w:t xml:space="preserve"> </w:t>
      </w:r>
      <w:r w:rsidR="000932D1">
        <w:rPr>
          <w:sz w:val="28"/>
          <w:szCs w:val="28"/>
          <w:lang w:val="uk-UA"/>
        </w:rPr>
        <w:t>Справляння</w:t>
      </w:r>
      <w:r w:rsidR="008F3471" w:rsidRPr="008F3471">
        <w:rPr>
          <w:sz w:val="28"/>
          <w:szCs w:val="28"/>
          <w:lang w:val="uk-UA"/>
        </w:rPr>
        <w:t xml:space="preserve"> плати за землю здійсню</w:t>
      </w:r>
      <w:r w:rsidR="00DD51B7">
        <w:rPr>
          <w:sz w:val="28"/>
          <w:szCs w:val="28"/>
          <w:lang w:val="uk-UA"/>
        </w:rPr>
        <w:t>ється</w:t>
      </w:r>
      <w:r w:rsidR="008F3471" w:rsidRPr="008F3471">
        <w:rPr>
          <w:sz w:val="28"/>
          <w:szCs w:val="28"/>
          <w:lang w:val="uk-UA"/>
        </w:rPr>
        <w:t xml:space="preserve"> з врахуванням даних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з 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>витягу з технічної документації про нормативну грошову оцінку земельної ділянки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>.</w:t>
      </w:r>
    </w:p>
    <w:p w:rsidR="00DD51B7" w:rsidRPr="00DD51B7" w:rsidRDefault="00DD51B7" w:rsidP="00F21A82">
      <w:pPr>
        <w:ind w:firstLine="708"/>
        <w:jc w:val="both"/>
        <w:rPr>
          <w:sz w:val="28"/>
          <w:szCs w:val="28"/>
          <w:lang w:val="uk-UA"/>
        </w:rPr>
      </w:pPr>
      <w:r w:rsidRPr="00DD51B7">
        <w:rPr>
          <w:sz w:val="28"/>
          <w:szCs w:val="28"/>
          <w:lang w:val="uk-UA"/>
        </w:rPr>
        <w:t>Витяги, які були та будуть сформовані в період з 01</w:t>
      </w:r>
      <w:r>
        <w:rPr>
          <w:sz w:val="28"/>
          <w:szCs w:val="28"/>
          <w:lang w:val="uk-UA"/>
        </w:rPr>
        <w:t>.01</w:t>
      </w:r>
      <w:r w:rsidRPr="00DD51B7">
        <w:rPr>
          <w:sz w:val="28"/>
          <w:szCs w:val="28"/>
          <w:lang w:val="uk-UA"/>
        </w:rPr>
        <w:t xml:space="preserve"> до 15</w:t>
      </w:r>
      <w:r>
        <w:rPr>
          <w:sz w:val="28"/>
          <w:szCs w:val="28"/>
          <w:lang w:val="uk-UA"/>
        </w:rPr>
        <w:t>.01.2026</w:t>
      </w:r>
      <w:r w:rsidRPr="00DD51B7">
        <w:rPr>
          <w:sz w:val="28"/>
          <w:szCs w:val="28"/>
          <w:lang w:val="uk-UA"/>
        </w:rPr>
        <w:t>, не містять коефіцієнтів індексації за 2025 рік. Відповідно значення нормативної грошової оцінки земельних ділянок, зазначене в цих витягах, потребуватиме перерахунку із застосуванням коефіцієнта індексації за 2025 рік.</w:t>
      </w:r>
    </w:p>
    <w:p w:rsidR="00685BE9" w:rsidRPr="00813AF8" w:rsidRDefault="000932D1" w:rsidP="00F21A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користування земельними ділянками згідно договорів про встановлення земельного сервітуту </w:t>
      </w:r>
      <w:r w:rsidR="00813AF8" w:rsidRPr="00813AF8">
        <w:rPr>
          <w:sz w:val="28"/>
          <w:szCs w:val="28"/>
          <w:lang w:val="uk-UA"/>
        </w:rPr>
        <w:t>плата здійснюється з врахуванням коефіцієнта індексації нормативної грошової оцінки земель.</w:t>
      </w:r>
    </w:p>
    <w:p w:rsidR="00697C59" w:rsidRPr="005377ED" w:rsidRDefault="00697C59" w:rsidP="008C3205">
      <w:pPr>
        <w:ind w:firstLine="708"/>
        <w:jc w:val="both"/>
        <w:rPr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8C3205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3205" w:rsidRPr="005377ED" w:rsidRDefault="0073258C" w:rsidP="0073258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Ставки земельного податку в</w:t>
            </w:r>
            <w:r w:rsidR="008C3205" w:rsidRPr="005377ED">
              <w:rPr>
                <w:lang w:val="uk-UA"/>
              </w:rPr>
              <w:t>становл</w:t>
            </w:r>
            <w:r w:rsidR="00234394" w:rsidRPr="005377ED">
              <w:rPr>
                <w:lang w:val="uk-UA"/>
              </w:rPr>
              <w:t>ено</w:t>
            </w:r>
            <w:r w:rsidR="008C3205" w:rsidRPr="005377ED">
              <w:rPr>
                <w:lang w:val="uk-UA"/>
              </w:rPr>
              <w:t xml:space="preserve"> з розрахунку на календарний рік за земельні ділянки, нормативну грошову оцінку яких проведено</w:t>
            </w:r>
            <w:r w:rsidR="003D798B">
              <w:rPr>
                <w:lang w:val="uk-UA"/>
              </w:rPr>
              <w:t xml:space="preserve"> (у відсотках до НГО)</w:t>
            </w:r>
          </w:p>
        </w:tc>
      </w:tr>
      <w:tr w:rsidR="008C3205" w:rsidRPr="007D54D0" w:rsidTr="00DE27DA">
        <w:trPr>
          <w:trHeight w:val="3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3258C" w:rsidRPr="00401800" w:rsidRDefault="009A5E03" w:rsidP="00071E2A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 особи 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та обслуговування житлового будинку, господарських будівель і споруд (присадибні ділянки), індивідуальне дачне будівництво)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1728E2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Міноборони, територіальних органів, закладів, установ і підприємств, що належать до сфери управління Міністерства оборони України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F03289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гаражні, гаражно-будівельні кооперативи, житлово-будівельні (житлові) кооперативи, об’єднання співвласників багатоквартирних будинків, колективного житлового будівництва, будівель тимчасового проживання, гуртожитків та виробничі житлово ремонтно-експлуатаційні підприємства міської ради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0447A5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(землі лісогосподарського призначення):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нормативну грошову оцінку яких проведено - 0,1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розташовані за межами населених пунктів або в межах населених пунктів, нормативну грошову оцінку яких не проведено -  0,1 відсотка від нормативної грошової оцінки площі ріллі по Житомирській області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та споруд залізничного транспорту – 1,2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54D0" w:rsidRPr="005377ED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eastAsia="Times New Roman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(інші категорії земель) – 1 відсоток</w:t>
            </w:r>
            <w:r w:rsid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143F47" w:rsidRPr="005377ED" w:rsidRDefault="00143F47" w:rsidP="00304629">
      <w:pPr>
        <w:rPr>
          <w:b/>
          <w:lang w:val="uk-UA"/>
        </w:rPr>
      </w:pPr>
    </w:p>
    <w:p w:rsidR="00F030A2" w:rsidRPr="005377ED" w:rsidRDefault="00236590" w:rsidP="00E41E10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234394" w:rsidRPr="001A7B38" w:rsidRDefault="00697C59" w:rsidP="00697C5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Єдиний податок</w:t>
      </w:r>
    </w:p>
    <w:p w:rsidR="00697C59" w:rsidRPr="005377ED" w:rsidRDefault="00697C59" w:rsidP="00234394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295"/>
        <w:gridCol w:w="3259"/>
        <w:gridCol w:w="3619"/>
      </w:tblGrid>
      <w:tr w:rsidR="00234394" w:rsidRPr="005377ED" w:rsidTr="003F3838">
        <w:tc>
          <w:tcPr>
            <w:tcW w:w="3295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234394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</w:t>
            </w:r>
            <w:r w:rsidR="004C0A9A" w:rsidRPr="005377ED">
              <w:rPr>
                <w:lang w:val="uk-UA"/>
              </w:rPr>
              <w:t>прож</w:t>
            </w:r>
            <w:r w:rsidRPr="005377ED">
              <w:rPr>
                <w:lang w:val="uk-UA"/>
              </w:rPr>
              <w:t xml:space="preserve">. </w:t>
            </w:r>
            <w:r w:rsidR="004C0A9A" w:rsidRPr="005377ED">
              <w:rPr>
                <w:lang w:val="uk-UA"/>
              </w:rPr>
              <w:t>мін.</w:t>
            </w:r>
            <w:r w:rsidRPr="005377ED">
              <w:rPr>
                <w:lang w:val="uk-UA"/>
              </w:rPr>
              <w:t xml:space="preserve">  </w:t>
            </w:r>
            <w:r w:rsidR="00205035"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636EFD">
              <w:t>332,80</w:t>
            </w:r>
            <w:r w:rsidR="00574CF0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234394" w:rsidRDefault="00234394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4719AF" w:rsidRPr="005377ED">
              <w:rPr>
                <w:lang w:val="uk-UA"/>
              </w:rPr>
              <w:t>1</w:t>
            </w:r>
            <w:r w:rsidR="00117767">
              <w:rPr>
                <w:lang w:val="uk-UA"/>
              </w:rPr>
              <w:t> 729,40</w:t>
            </w:r>
            <w:r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 w:val="restart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234394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3 % доходу</w:t>
            </w:r>
          </w:p>
          <w:p w:rsidR="00F030A2" w:rsidRPr="005377ED" w:rsidRDefault="00F030A2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/>
          </w:tcPr>
          <w:p w:rsidR="00234394" w:rsidRPr="005377ED" w:rsidRDefault="00234394" w:rsidP="004617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</w:t>
            </w:r>
            <w:r w:rsidR="00F52CE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% доходу</w:t>
            </w:r>
          </w:p>
        </w:tc>
      </w:tr>
    </w:tbl>
    <w:p w:rsidR="00D94E94" w:rsidRDefault="00D94E94" w:rsidP="00CD4419">
      <w:pPr>
        <w:rPr>
          <w:b/>
          <w:lang w:val="uk-UA"/>
        </w:rPr>
      </w:pPr>
    </w:p>
    <w:p w:rsidR="00C97E7A" w:rsidRPr="003E3F4D" w:rsidRDefault="00C97E7A" w:rsidP="00C97E7A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Податок на нерухоме майно, відмінне від земельної ділянки</w:t>
      </w:r>
    </w:p>
    <w:p w:rsidR="00C97E7A" w:rsidRPr="005377ED" w:rsidRDefault="00C97E7A" w:rsidP="00C97E7A">
      <w:pPr>
        <w:jc w:val="right"/>
        <w:rPr>
          <w:i/>
          <w:lang w:val="uk-UA"/>
        </w:rPr>
      </w:pPr>
      <w:r w:rsidRPr="005377ED">
        <w:rPr>
          <w:i/>
          <w:lang w:val="uk-UA"/>
        </w:rPr>
        <w:t xml:space="preserve"> </w:t>
      </w: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97E7A" w:rsidRPr="005377ED" w:rsidTr="00CB0CD1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C97E7A" w:rsidRPr="005377ED" w:rsidTr="00CB0CD1">
        <w:trPr>
          <w:trHeight w:val="190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E578CC">
              <w:rPr>
                <w:b/>
                <w:i/>
              </w:rPr>
              <w:t>4</w:t>
            </w:r>
            <w:r w:rsidR="00B2558B" w:rsidRPr="005377ED">
              <w:rPr>
                <w:b/>
                <w:i/>
                <w:lang w:val="uk-UA"/>
              </w:rPr>
              <w:t xml:space="preserve"> рік</w:t>
            </w:r>
            <w:r w:rsidR="00B2558B"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7 100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377ED">
              <w:rPr>
                <w:rFonts w:eastAsia="Times New Roman"/>
                <w:color w:val="000000"/>
                <w:kern w:val="24"/>
              </w:rPr>
              <w:t>3</w:t>
            </w:r>
            <w:r w:rsidRPr="00E578CC">
              <w:rPr>
                <w:rFonts w:eastAsia="Times New Roman"/>
                <w:color w:val="000000"/>
                <w:kern w:val="24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5377ED">
              <w:rPr>
                <w:rFonts w:eastAsia="Times New Roman"/>
                <w:color w:val="000000"/>
                <w:kern w:val="24"/>
              </w:rPr>
              <w:t>50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73789C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(71,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b/>
                <w:i/>
                <w:lang w:val="uk-UA"/>
              </w:rPr>
            </w:pPr>
          </w:p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2025</w:t>
            </w:r>
            <w:r w:rsidR="00B2558B" w:rsidRPr="005722E7">
              <w:rPr>
                <w:b/>
                <w:i/>
                <w:lang w:val="uk-UA"/>
              </w:rPr>
              <w:t xml:space="preserve"> рік</w:t>
            </w:r>
            <w:r w:rsidR="00B2558B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8 000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E578CC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80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60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40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</w:rPr>
            </w:pPr>
          </w:p>
          <w:p w:rsidR="005722E7" w:rsidRDefault="00A470E9" w:rsidP="005722E7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636EFD">
              <w:rPr>
                <w:b/>
                <w:i/>
              </w:rPr>
              <w:t>6</w:t>
            </w:r>
            <w:r w:rsidR="005722E7" w:rsidRPr="005722E7">
              <w:rPr>
                <w:b/>
                <w:i/>
                <w:lang w:val="uk-UA"/>
              </w:rPr>
              <w:t xml:space="preserve"> рік</w:t>
            </w:r>
            <w:r w:rsidR="005722E7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5722E7" w:rsidRPr="005377ED">
              <w:rPr>
                <w:i/>
                <w:lang w:val="uk-UA"/>
              </w:rPr>
              <w:t xml:space="preserve">у відсотках до мін. з/п </w:t>
            </w:r>
            <w:r w:rsidR="005722E7">
              <w:rPr>
                <w:i/>
                <w:lang w:val="uk-UA"/>
              </w:rPr>
              <w:t xml:space="preserve"> </w:t>
            </w:r>
            <w:r w:rsidR="00636EFD">
              <w:rPr>
                <w:i/>
              </w:rPr>
              <w:t xml:space="preserve">8 </w:t>
            </w:r>
            <w:r w:rsidR="00636EFD" w:rsidRPr="00636EFD">
              <w:rPr>
                <w:i/>
              </w:rPr>
              <w:t>647</w:t>
            </w:r>
            <w:r w:rsidR="005722E7" w:rsidRPr="005377ED">
              <w:rPr>
                <w:i/>
              </w:rPr>
              <w:t xml:space="preserve"> </w:t>
            </w:r>
            <w:r w:rsidR="005722E7" w:rsidRPr="005377ED">
              <w:rPr>
                <w:i/>
                <w:lang w:val="uk-UA"/>
              </w:rPr>
              <w:t>грн</w:t>
            </w:r>
          </w:p>
          <w:p w:rsidR="005722E7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5722E7" w:rsidRPr="005377ED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Pr="005722E7" w:rsidRDefault="00E578CC" w:rsidP="0053361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567920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53361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252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– </w:t>
            </w:r>
            <w:r w:rsidR="00A14D46" w:rsidRPr="00A470E9">
              <w:rPr>
                <w:lang w:val="uk-UA"/>
              </w:rPr>
              <w:t>сплата</w:t>
            </w:r>
            <w:r w:rsidR="00A14D46">
              <w:rPr>
                <w:b/>
                <w:i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lang w:val="uk-UA"/>
              </w:rPr>
              <w:t xml:space="preserve">за </w:t>
            </w:r>
            <w:r w:rsidR="00117767">
              <w:rPr>
                <w:b/>
                <w:i/>
                <w:lang w:val="uk-UA"/>
              </w:rPr>
              <w:t>2026</w:t>
            </w:r>
            <w:r w:rsidRPr="005377ED">
              <w:rPr>
                <w:b/>
                <w:i/>
                <w:lang w:val="uk-UA"/>
              </w:rPr>
              <w:t xml:space="preserve"> р</w:t>
            </w:r>
            <w:r>
              <w:rPr>
                <w:b/>
                <w:i/>
                <w:lang w:val="uk-UA"/>
              </w:rPr>
              <w:t>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EA0F42" w:rsidRPr="00EA0F42">
              <w:rPr>
                <w:i/>
              </w:rPr>
              <w:t xml:space="preserve">8 </w:t>
            </w:r>
            <w:r w:rsidR="00117767">
              <w:rPr>
                <w:i/>
                <w:lang w:val="uk-UA"/>
              </w:rPr>
              <w:t>647</w:t>
            </w:r>
            <w:r w:rsidRPr="005377ED">
              <w:rPr>
                <w:i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C97E7A" w:rsidRPr="009A5CF2" w:rsidRDefault="00C97E7A" w:rsidP="00963B43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</w:t>
            </w:r>
            <w:r w:rsidR="00963B43">
              <w:rPr>
                <w:rFonts w:eastAsia="Times New Roman"/>
                <w:color w:val="000000"/>
                <w:kern w:val="24"/>
                <w:lang w:val="uk-UA"/>
              </w:rPr>
              <w:t xml:space="preserve"> - 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1%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183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0D83" w:rsidRDefault="001D0D83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963B43" w:rsidRPr="009E03A7" w:rsidRDefault="009E03A7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а саме</w:t>
            </w:r>
            <w:r w:rsidR="00BE0C20">
              <w:rPr>
                <w:rFonts w:eastAsia="Times New Roman"/>
                <w:color w:val="000000"/>
                <w:kern w:val="24"/>
                <w:lang w:val="uk-UA"/>
              </w:rPr>
              <w:t>, частини міста для застосування юридичними та фізичними особами</w:t>
            </w: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: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центральна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Східна (перехрестя вул. Східної та Домбровської) вул. Домбровського, вул. Хлібна, вул. Л.Українки, пров.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Пивоварений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вул. Ольжича, вул. Перемоги, через майдан Соборний, вул. Леха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Качинського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пров. 4-Чуднівський, по берегу річки Тетерів, до перехрестя вул. Шевченка та вул. Робітничої, вул. Робітнича, вул. Довженка (до перехрестя вул. Довженка та Східної) вул. Східна до вул. Домбровського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1,0%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грн);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серединна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вул. В. Бердичівська, вул. Вітрука, вул. Вокзальна, майдан Привокзальний, проспект Незалежності, вул. Перемоги, через майдан Короленка, вул. Короленка, пров. Набережний, вул. Набережна річки Кам’янка, вул. Ольжича, вул. Маяковського, вул. Троянівська,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Мальованська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Набережна, перехрестя з вул. Чуднівська,  по берегу річки Тетерів, вул. Робітнича, Жуйка, вул. В.Бердичівська,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Смолянський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майдан,  вул. Селецька, до перехрестя з вул. Вітрука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грн); </w:t>
            </w:r>
          </w:p>
          <w:p w:rsidR="00C97E7A" w:rsidRPr="005377ED" w:rsidRDefault="00E578CC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інші – 0,5%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D3740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lang w:val="uk-UA"/>
              </w:rPr>
            </w:pPr>
          </w:p>
        </w:tc>
      </w:tr>
      <w:tr w:rsidR="00C97E7A" w:rsidRPr="005377ED" w:rsidTr="00CB0CD1">
        <w:trPr>
          <w:trHeight w:val="8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квартири понад 300 кв. м та будинки понад 500 кв. м з 01.01.2016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C97E7A" w:rsidRPr="005377ED" w:rsidRDefault="00C97E7A" w:rsidP="00C97E7A">
      <w:pPr>
        <w:jc w:val="both"/>
        <w:rPr>
          <w:b/>
          <w:lang w:val="uk-UA"/>
        </w:rPr>
      </w:pPr>
    </w:p>
    <w:p w:rsidR="001A7B38" w:rsidRDefault="001A7B38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2F2E7C" w:rsidRDefault="002F2E7C" w:rsidP="00CD4419">
      <w:pPr>
        <w:rPr>
          <w:b/>
          <w:lang w:val="uk-UA"/>
        </w:rPr>
      </w:pPr>
    </w:p>
    <w:p w:rsidR="00697C59" w:rsidRDefault="00697C59" w:rsidP="00CD441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Транспортний податок</w:t>
      </w:r>
    </w:p>
    <w:p w:rsidR="001A7B38" w:rsidRPr="001A7B38" w:rsidRDefault="001A7B38" w:rsidP="00CD4419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47A4E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234394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Встановл</w:t>
            </w:r>
            <w:r w:rsidR="00234394" w:rsidRPr="005377ED">
              <w:rPr>
                <w:lang w:val="uk-UA"/>
              </w:rPr>
              <w:t>ено</w:t>
            </w:r>
            <w:r w:rsidRPr="005377ED">
              <w:rPr>
                <w:lang w:val="uk-UA"/>
              </w:rPr>
              <w:t xml:space="preserve"> з розрахунку на календарний рік </w:t>
            </w:r>
          </w:p>
        </w:tc>
      </w:tr>
      <w:tr w:rsidR="00047A4E" w:rsidRPr="005377ED" w:rsidTr="003F3838">
        <w:trPr>
          <w:trHeight w:val="117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1B0CB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D94E94" w:rsidRPr="005377ED" w:rsidRDefault="00D94E94" w:rsidP="00B02457">
      <w:pPr>
        <w:shd w:val="clear" w:color="auto" w:fill="FFFFFF"/>
        <w:spacing w:after="100" w:afterAutospacing="1"/>
        <w:jc w:val="center"/>
        <w:rPr>
          <w:b/>
          <w:lang w:val="uk-UA"/>
        </w:rPr>
      </w:pPr>
    </w:p>
    <w:p w:rsidR="00B02457" w:rsidRPr="001A7B38" w:rsidRDefault="00B02457" w:rsidP="00B02457">
      <w:pPr>
        <w:shd w:val="clear" w:color="auto" w:fill="FFFFFF"/>
        <w:spacing w:after="100" w:afterAutospacing="1"/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B02457" w:rsidRPr="005377ED" w:rsidTr="00B7372A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B02457" w:rsidP="00E41E10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Встановлено за кожну добу тимчасового розміщення однієї особи</w:t>
            </w:r>
            <w:r w:rsidR="00E41E1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у місцях проживання (ночівлі)</w:t>
            </w:r>
          </w:p>
        </w:tc>
      </w:tr>
      <w:tr w:rsidR="00B02457" w:rsidRPr="005377ED" w:rsidTr="00B7372A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E41E10" w:rsidP="00B02457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</w:t>
            </w:r>
            <w:r w:rsidR="00B02457" w:rsidRPr="005377ED">
              <w:rPr>
                <w:lang w:val="uk-UA"/>
              </w:rPr>
              <w:t>ід розміру мінімальної заробітної плати, встановленої законом на 1 січня звітного (податкового) року </w:t>
            </w:r>
          </w:p>
          <w:p w:rsidR="00B02457" w:rsidRPr="005377ED" w:rsidRDefault="00B02457" w:rsidP="00B02457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21,62</w:t>
            </w:r>
            <w:r w:rsidR="002F2E7C">
              <w:rPr>
                <w:lang w:val="uk-UA"/>
              </w:rPr>
              <w:t xml:space="preserve"> грн)</w:t>
            </w:r>
          </w:p>
          <w:p w:rsidR="00B02457" w:rsidRPr="005377ED" w:rsidRDefault="00B02457" w:rsidP="00117767">
            <w:pPr>
              <w:rPr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216,17</w:t>
            </w:r>
            <w:r w:rsidR="001B17F4" w:rsidRPr="001B17F4">
              <w:t xml:space="preserve"> </w:t>
            </w:r>
            <w:r w:rsidR="002F2E7C">
              <w:rPr>
                <w:lang w:val="uk-UA"/>
              </w:rPr>
              <w:t>грн)</w:t>
            </w:r>
          </w:p>
        </w:tc>
      </w:tr>
    </w:tbl>
    <w:p w:rsidR="00B02457" w:rsidRDefault="00B02457" w:rsidP="003E1F5C">
      <w:pPr>
        <w:rPr>
          <w:b/>
          <w:lang w:val="uk-UA"/>
        </w:rPr>
      </w:pPr>
    </w:p>
    <w:p w:rsidR="00C97E7A" w:rsidRPr="005377ED" w:rsidRDefault="00C97E7A" w:rsidP="003E1F5C">
      <w:pPr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71588E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8F790D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117767" w:rsidRPr="0071588E" w:rsidRDefault="00117767" w:rsidP="008F790D">
      <w:pPr>
        <w:ind w:firstLine="709"/>
        <w:jc w:val="center"/>
        <w:rPr>
          <w:b/>
          <w:sz w:val="28"/>
          <w:szCs w:val="28"/>
          <w:lang w:val="uk-UA"/>
        </w:rPr>
      </w:pPr>
    </w:p>
    <w:p w:rsidR="00A75D25" w:rsidRDefault="00A75D25" w:rsidP="008F790D">
      <w:pPr>
        <w:ind w:firstLine="709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117767" w:rsidTr="0080731C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117767" w:rsidTr="0080731C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117767" w:rsidTr="0080731C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35E5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117767" w:rsidTr="0080731C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C5231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117767" w:rsidTr="0080731C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117767" w:rsidTr="00FA5A7D">
        <w:trPr>
          <w:trHeight w:val="26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FA5A7D" w:rsidTr="0080731C">
        <w:trPr>
          <w:trHeight w:val="27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C02BD9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021D">
              <w:rPr>
                <w:lang w:val="uk-UA"/>
              </w:rPr>
              <w:t xml:space="preserve"> 31.03.2026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4F021D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4F021D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4F021D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75,42</w:t>
            </w:r>
          </w:p>
        </w:tc>
      </w:tr>
    </w:tbl>
    <w:p w:rsidR="00A75D25" w:rsidRDefault="00A75D25" w:rsidP="008F790D">
      <w:pPr>
        <w:ind w:firstLine="709"/>
        <w:jc w:val="both"/>
        <w:rPr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C97E7A" w:rsidRPr="003B4907" w:rsidRDefault="00C97E7A" w:rsidP="00CD4419">
      <w:pPr>
        <w:jc w:val="center"/>
        <w:rPr>
          <w:b/>
          <w:lang w:val="en-US"/>
        </w:rPr>
      </w:pPr>
    </w:p>
    <w:sectPr w:rsidR="00C97E7A" w:rsidRPr="003B4907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81"/>
    <w:multiLevelType w:val="hybridMultilevel"/>
    <w:tmpl w:val="396C2EDE"/>
    <w:lvl w:ilvl="0" w:tplc="F67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6B2C"/>
    <w:multiLevelType w:val="multilevel"/>
    <w:tmpl w:val="A4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BE2"/>
    <w:multiLevelType w:val="hybridMultilevel"/>
    <w:tmpl w:val="93B4EFE2"/>
    <w:lvl w:ilvl="0" w:tplc="0A2E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205"/>
    <w:rsid w:val="00016837"/>
    <w:rsid w:val="00035EFF"/>
    <w:rsid w:val="00036693"/>
    <w:rsid w:val="0003693D"/>
    <w:rsid w:val="00041F9E"/>
    <w:rsid w:val="00047A4E"/>
    <w:rsid w:val="00050C9B"/>
    <w:rsid w:val="00056868"/>
    <w:rsid w:val="000603B4"/>
    <w:rsid w:val="00061111"/>
    <w:rsid w:val="0008424E"/>
    <w:rsid w:val="000932D1"/>
    <w:rsid w:val="00093C55"/>
    <w:rsid w:val="00093EEB"/>
    <w:rsid w:val="000C1B24"/>
    <w:rsid w:val="000F0587"/>
    <w:rsid w:val="000F2D4D"/>
    <w:rsid w:val="000F7ED1"/>
    <w:rsid w:val="001021F4"/>
    <w:rsid w:val="00117767"/>
    <w:rsid w:val="00125B0D"/>
    <w:rsid w:val="00134B26"/>
    <w:rsid w:val="00142E00"/>
    <w:rsid w:val="00143F47"/>
    <w:rsid w:val="001566F4"/>
    <w:rsid w:val="00180A4B"/>
    <w:rsid w:val="001A3E2F"/>
    <w:rsid w:val="001A736F"/>
    <w:rsid w:val="001A7B38"/>
    <w:rsid w:val="001B03E2"/>
    <w:rsid w:val="001B17F4"/>
    <w:rsid w:val="001B786F"/>
    <w:rsid w:val="001D031C"/>
    <w:rsid w:val="001D0D83"/>
    <w:rsid w:val="00205035"/>
    <w:rsid w:val="00234394"/>
    <w:rsid w:val="00236590"/>
    <w:rsid w:val="00243084"/>
    <w:rsid w:val="00262589"/>
    <w:rsid w:val="00270B55"/>
    <w:rsid w:val="00277354"/>
    <w:rsid w:val="002B46F8"/>
    <w:rsid w:val="002C2E79"/>
    <w:rsid w:val="002D7BDA"/>
    <w:rsid w:val="002E67B4"/>
    <w:rsid w:val="002F0EE4"/>
    <w:rsid w:val="002F2E7C"/>
    <w:rsid w:val="002F4C68"/>
    <w:rsid w:val="002F54CF"/>
    <w:rsid w:val="00304629"/>
    <w:rsid w:val="00323983"/>
    <w:rsid w:val="0033172A"/>
    <w:rsid w:val="00331CC0"/>
    <w:rsid w:val="00340124"/>
    <w:rsid w:val="003409AC"/>
    <w:rsid w:val="003671AC"/>
    <w:rsid w:val="003A7F28"/>
    <w:rsid w:val="003B460D"/>
    <w:rsid w:val="003B4907"/>
    <w:rsid w:val="003B73B3"/>
    <w:rsid w:val="003C4D5E"/>
    <w:rsid w:val="003D798B"/>
    <w:rsid w:val="003D7CA2"/>
    <w:rsid w:val="003E1F5C"/>
    <w:rsid w:val="003E291D"/>
    <w:rsid w:val="003E3F4D"/>
    <w:rsid w:val="003E4CAB"/>
    <w:rsid w:val="003E5999"/>
    <w:rsid w:val="003F2F6E"/>
    <w:rsid w:val="003F3838"/>
    <w:rsid w:val="003F4CCA"/>
    <w:rsid w:val="00401800"/>
    <w:rsid w:val="00421C40"/>
    <w:rsid w:val="00433F10"/>
    <w:rsid w:val="004364D3"/>
    <w:rsid w:val="00453922"/>
    <w:rsid w:val="004614D2"/>
    <w:rsid w:val="004650E7"/>
    <w:rsid w:val="00466FE0"/>
    <w:rsid w:val="0046729D"/>
    <w:rsid w:val="00470C28"/>
    <w:rsid w:val="004719AF"/>
    <w:rsid w:val="00475A81"/>
    <w:rsid w:val="004762C7"/>
    <w:rsid w:val="0048008C"/>
    <w:rsid w:val="00484213"/>
    <w:rsid w:val="004A1ACD"/>
    <w:rsid w:val="004C0A9A"/>
    <w:rsid w:val="004C4125"/>
    <w:rsid w:val="004C6A28"/>
    <w:rsid w:val="004F021D"/>
    <w:rsid w:val="004F53DE"/>
    <w:rsid w:val="004F5601"/>
    <w:rsid w:val="00502750"/>
    <w:rsid w:val="00533613"/>
    <w:rsid w:val="005377ED"/>
    <w:rsid w:val="00552890"/>
    <w:rsid w:val="00556A10"/>
    <w:rsid w:val="005631C2"/>
    <w:rsid w:val="005648C7"/>
    <w:rsid w:val="00565462"/>
    <w:rsid w:val="00567920"/>
    <w:rsid w:val="005722E7"/>
    <w:rsid w:val="00574CF0"/>
    <w:rsid w:val="005C5D62"/>
    <w:rsid w:val="00615E1E"/>
    <w:rsid w:val="00626BB5"/>
    <w:rsid w:val="00636EFD"/>
    <w:rsid w:val="00653238"/>
    <w:rsid w:val="006532BD"/>
    <w:rsid w:val="00653469"/>
    <w:rsid w:val="0065428D"/>
    <w:rsid w:val="00685BE9"/>
    <w:rsid w:val="00687F1F"/>
    <w:rsid w:val="00697C59"/>
    <w:rsid w:val="006A3E09"/>
    <w:rsid w:val="006B051E"/>
    <w:rsid w:val="006B1CAA"/>
    <w:rsid w:val="006C121F"/>
    <w:rsid w:val="006C673C"/>
    <w:rsid w:val="006D075D"/>
    <w:rsid w:val="006D557C"/>
    <w:rsid w:val="006E18A9"/>
    <w:rsid w:val="006E52B8"/>
    <w:rsid w:val="006E54DE"/>
    <w:rsid w:val="0071588E"/>
    <w:rsid w:val="0071629B"/>
    <w:rsid w:val="0073258C"/>
    <w:rsid w:val="0073789C"/>
    <w:rsid w:val="00742A1C"/>
    <w:rsid w:val="00744C0F"/>
    <w:rsid w:val="0075606D"/>
    <w:rsid w:val="007762E2"/>
    <w:rsid w:val="007931E5"/>
    <w:rsid w:val="007A0EAB"/>
    <w:rsid w:val="007A270B"/>
    <w:rsid w:val="007A7048"/>
    <w:rsid w:val="007B0BD2"/>
    <w:rsid w:val="007D54D0"/>
    <w:rsid w:val="007D7B19"/>
    <w:rsid w:val="007E577F"/>
    <w:rsid w:val="007F5A1B"/>
    <w:rsid w:val="008001E5"/>
    <w:rsid w:val="0080609D"/>
    <w:rsid w:val="00813AF8"/>
    <w:rsid w:val="00835D12"/>
    <w:rsid w:val="00835E56"/>
    <w:rsid w:val="00843CD9"/>
    <w:rsid w:val="00862D3B"/>
    <w:rsid w:val="008635DD"/>
    <w:rsid w:val="008654CC"/>
    <w:rsid w:val="00875BF6"/>
    <w:rsid w:val="008773CE"/>
    <w:rsid w:val="008849AB"/>
    <w:rsid w:val="00885858"/>
    <w:rsid w:val="0089002A"/>
    <w:rsid w:val="00893787"/>
    <w:rsid w:val="008A1D6C"/>
    <w:rsid w:val="008A6337"/>
    <w:rsid w:val="008B65C6"/>
    <w:rsid w:val="008C3205"/>
    <w:rsid w:val="008C3D3B"/>
    <w:rsid w:val="008C5231"/>
    <w:rsid w:val="008D1D36"/>
    <w:rsid w:val="008D221C"/>
    <w:rsid w:val="008F3471"/>
    <w:rsid w:val="008F493A"/>
    <w:rsid w:val="008F790D"/>
    <w:rsid w:val="00915CB0"/>
    <w:rsid w:val="009258D5"/>
    <w:rsid w:val="00933873"/>
    <w:rsid w:val="0093443F"/>
    <w:rsid w:val="0094670A"/>
    <w:rsid w:val="009550E9"/>
    <w:rsid w:val="00956E38"/>
    <w:rsid w:val="00961C9D"/>
    <w:rsid w:val="00963B43"/>
    <w:rsid w:val="0097716F"/>
    <w:rsid w:val="0098225F"/>
    <w:rsid w:val="009832C4"/>
    <w:rsid w:val="00994DC6"/>
    <w:rsid w:val="009A5CF2"/>
    <w:rsid w:val="009A5E03"/>
    <w:rsid w:val="009B24D7"/>
    <w:rsid w:val="009C6932"/>
    <w:rsid w:val="009D388C"/>
    <w:rsid w:val="009E03A7"/>
    <w:rsid w:val="009E4096"/>
    <w:rsid w:val="009E43C2"/>
    <w:rsid w:val="009F0E8D"/>
    <w:rsid w:val="00A00F72"/>
    <w:rsid w:val="00A14D46"/>
    <w:rsid w:val="00A25BD1"/>
    <w:rsid w:val="00A32F45"/>
    <w:rsid w:val="00A349D7"/>
    <w:rsid w:val="00A470E9"/>
    <w:rsid w:val="00A52B8E"/>
    <w:rsid w:val="00A60908"/>
    <w:rsid w:val="00A652C9"/>
    <w:rsid w:val="00A67C7C"/>
    <w:rsid w:val="00A75D25"/>
    <w:rsid w:val="00A829F8"/>
    <w:rsid w:val="00A87A05"/>
    <w:rsid w:val="00AB3D06"/>
    <w:rsid w:val="00AB76F8"/>
    <w:rsid w:val="00AC3652"/>
    <w:rsid w:val="00AF0A58"/>
    <w:rsid w:val="00AF2009"/>
    <w:rsid w:val="00AF5615"/>
    <w:rsid w:val="00AF6D44"/>
    <w:rsid w:val="00B02457"/>
    <w:rsid w:val="00B12CFC"/>
    <w:rsid w:val="00B17928"/>
    <w:rsid w:val="00B2558B"/>
    <w:rsid w:val="00B30AB1"/>
    <w:rsid w:val="00B314D9"/>
    <w:rsid w:val="00B43D6E"/>
    <w:rsid w:val="00B47B55"/>
    <w:rsid w:val="00B66A66"/>
    <w:rsid w:val="00B7372A"/>
    <w:rsid w:val="00B8075E"/>
    <w:rsid w:val="00B93C33"/>
    <w:rsid w:val="00B9691D"/>
    <w:rsid w:val="00BB6A90"/>
    <w:rsid w:val="00BB75B3"/>
    <w:rsid w:val="00BE032C"/>
    <w:rsid w:val="00BE0458"/>
    <w:rsid w:val="00BE0C20"/>
    <w:rsid w:val="00BE5E2F"/>
    <w:rsid w:val="00BF569B"/>
    <w:rsid w:val="00BF60BD"/>
    <w:rsid w:val="00C02BD9"/>
    <w:rsid w:val="00C10186"/>
    <w:rsid w:val="00C148CA"/>
    <w:rsid w:val="00C14E4F"/>
    <w:rsid w:val="00C32F5D"/>
    <w:rsid w:val="00C344D6"/>
    <w:rsid w:val="00C4726A"/>
    <w:rsid w:val="00C474C5"/>
    <w:rsid w:val="00C550C7"/>
    <w:rsid w:val="00C71730"/>
    <w:rsid w:val="00C84E89"/>
    <w:rsid w:val="00C966BA"/>
    <w:rsid w:val="00C97E7A"/>
    <w:rsid w:val="00CA7B32"/>
    <w:rsid w:val="00CB4464"/>
    <w:rsid w:val="00CB5AA2"/>
    <w:rsid w:val="00CD3524"/>
    <w:rsid w:val="00CD3E3E"/>
    <w:rsid w:val="00CD4419"/>
    <w:rsid w:val="00CD6D9B"/>
    <w:rsid w:val="00CE1149"/>
    <w:rsid w:val="00CF12AE"/>
    <w:rsid w:val="00CF17CD"/>
    <w:rsid w:val="00D06DCB"/>
    <w:rsid w:val="00D110AA"/>
    <w:rsid w:val="00D1231F"/>
    <w:rsid w:val="00D32198"/>
    <w:rsid w:val="00D36530"/>
    <w:rsid w:val="00D36806"/>
    <w:rsid w:val="00D37403"/>
    <w:rsid w:val="00D37429"/>
    <w:rsid w:val="00D4392D"/>
    <w:rsid w:val="00D65EDA"/>
    <w:rsid w:val="00D7069F"/>
    <w:rsid w:val="00D94E94"/>
    <w:rsid w:val="00DA17D4"/>
    <w:rsid w:val="00DA25D7"/>
    <w:rsid w:val="00DA6DBF"/>
    <w:rsid w:val="00DB28D5"/>
    <w:rsid w:val="00DB4AE7"/>
    <w:rsid w:val="00DD51B7"/>
    <w:rsid w:val="00DE27DA"/>
    <w:rsid w:val="00DE559F"/>
    <w:rsid w:val="00DF18CB"/>
    <w:rsid w:val="00E25DE0"/>
    <w:rsid w:val="00E30A30"/>
    <w:rsid w:val="00E415F4"/>
    <w:rsid w:val="00E41E10"/>
    <w:rsid w:val="00E45CC2"/>
    <w:rsid w:val="00E578CC"/>
    <w:rsid w:val="00E57A93"/>
    <w:rsid w:val="00E7140F"/>
    <w:rsid w:val="00E72A1E"/>
    <w:rsid w:val="00E8224F"/>
    <w:rsid w:val="00E82608"/>
    <w:rsid w:val="00E86646"/>
    <w:rsid w:val="00E90BE7"/>
    <w:rsid w:val="00E917D3"/>
    <w:rsid w:val="00E9306C"/>
    <w:rsid w:val="00E935A6"/>
    <w:rsid w:val="00EA0F42"/>
    <w:rsid w:val="00EB2E0C"/>
    <w:rsid w:val="00EC263A"/>
    <w:rsid w:val="00EC6D35"/>
    <w:rsid w:val="00ED1B8C"/>
    <w:rsid w:val="00EE6314"/>
    <w:rsid w:val="00EF1BEB"/>
    <w:rsid w:val="00EF770C"/>
    <w:rsid w:val="00F013BF"/>
    <w:rsid w:val="00F030A2"/>
    <w:rsid w:val="00F21A82"/>
    <w:rsid w:val="00F47F43"/>
    <w:rsid w:val="00F50D4C"/>
    <w:rsid w:val="00F52CE0"/>
    <w:rsid w:val="00F54F30"/>
    <w:rsid w:val="00F566F5"/>
    <w:rsid w:val="00F604FD"/>
    <w:rsid w:val="00F63483"/>
    <w:rsid w:val="00F72F01"/>
    <w:rsid w:val="00F86E86"/>
    <w:rsid w:val="00F91881"/>
    <w:rsid w:val="00F9632A"/>
    <w:rsid w:val="00FA1EFE"/>
    <w:rsid w:val="00FA5A7D"/>
    <w:rsid w:val="00FA661D"/>
    <w:rsid w:val="00FB7B40"/>
    <w:rsid w:val="00FC5178"/>
    <w:rsid w:val="00FD5964"/>
    <w:rsid w:val="00FD6282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5"/>
    <w:rPr>
      <w:rFonts w:eastAsia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3B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E0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3B3"/>
    <w:rPr>
      <w:rFonts w:eastAsia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234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035EFF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035EFF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035EF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E0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Strong"/>
    <w:basedOn w:val="a0"/>
    <w:uiPriority w:val="22"/>
    <w:qFormat/>
    <w:rsid w:val="00BE0458"/>
    <w:rPr>
      <w:b/>
      <w:bCs/>
    </w:rPr>
  </w:style>
  <w:style w:type="paragraph" w:styleId="a5">
    <w:name w:val="Normal (Web)"/>
    <w:basedOn w:val="a"/>
    <w:uiPriority w:val="99"/>
    <w:unhideWhenUsed/>
    <w:rsid w:val="00BE0458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75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3671AC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E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5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043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60</cp:revision>
  <cp:lastPrinted>2023-12-05T10:33:00Z</cp:lastPrinted>
  <dcterms:created xsi:type="dcterms:W3CDTF">2024-05-31T06:35:00Z</dcterms:created>
  <dcterms:modified xsi:type="dcterms:W3CDTF">2026-04-27T06:45:00Z</dcterms:modified>
</cp:coreProperties>
</file>